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theme/themeOverride5.xml" ContentType="application/vnd.openxmlformats-officedocument.themeOverride+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25CFF" w:rsidRPr="00A042D3" w:rsidRDefault="00410A4D" w:rsidP="009B50F5">
      <w:pPr>
        <w:spacing w:line="480" w:lineRule="auto"/>
        <w:jc w:val="center"/>
      </w:pPr>
      <w:bookmarkStart w:id="0" w:name="_Toc22400916"/>
      <w:r w:rsidRPr="00A042D3">
        <w:rPr>
          <w:noProof/>
        </w:rPr>
        <w:drawing>
          <wp:inline distT="0" distB="0" distL="0" distR="0" wp14:anchorId="1ABC4228" wp14:editId="4342B90B">
            <wp:extent cx="1669594" cy="1600200"/>
            <wp:effectExtent l="0" t="0" r="6985" b="0"/>
            <wp:docPr id="89"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46982" cy="1674372"/>
                    </a:xfrm>
                    <a:prstGeom prst="rect">
                      <a:avLst/>
                    </a:prstGeom>
                    <a:noFill/>
                    <a:ln>
                      <a:noFill/>
                    </a:ln>
                  </pic:spPr>
                </pic:pic>
              </a:graphicData>
            </a:graphic>
          </wp:inline>
        </w:drawing>
      </w:r>
    </w:p>
    <w:p w:rsidR="00713FA4" w:rsidRDefault="00475200" w:rsidP="009B50F5">
      <w:pPr>
        <w:spacing w:line="480" w:lineRule="auto"/>
        <w:jc w:val="center"/>
      </w:pPr>
      <w:r w:rsidRPr="00A042D3">
        <w:t xml:space="preserve">GROUNDWATER POTENTIAL </w:t>
      </w:r>
      <w:r w:rsidR="00AC4DC3" w:rsidRPr="00A042D3">
        <w:t>MAPPING</w:t>
      </w:r>
      <w:r w:rsidRPr="00A042D3">
        <w:t xml:space="preserve"> </w:t>
      </w:r>
      <w:r w:rsidR="000B305E" w:rsidRPr="00A042D3">
        <w:t>USING GIS AND REMOTE SENSING</w:t>
      </w:r>
      <w:r w:rsidR="00AA0C97" w:rsidRPr="00A042D3">
        <w:t>:</w:t>
      </w:r>
      <w:r w:rsidR="000B305E" w:rsidRPr="00A042D3">
        <w:t xml:space="preserve"> </w:t>
      </w:r>
    </w:p>
    <w:p w:rsidR="00922835" w:rsidRPr="00A042D3" w:rsidRDefault="00D76566" w:rsidP="009B50F5">
      <w:pPr>
        <w:spacing w:line="480" w:lineRule="auto"/>
        <w:jc w:val="center"/>
      </w:pPr>
      <w:r w:rsidRPr="00A042D3">
        <w:t>A</w:t>
      </w:r>
      <w:r w:rsidR="00082527" w:rsidRPr="00A042D3">
        <w:t xml:space="preserve"> CASE STUDY </w:t>
      </w:r>
      <w:r w:rsidRPr="00A042D3">
        <w:t>IN</w:t>
      </w:r>
      <w:r w:rsidR="00082527" w:rsidRPr="00A042D3">
        <w:t xml:space="preserve"> </w:t>
      </w:r>
      <w:r w:rsidR="009D3FD1" w:rsidRPr="00A042D3">
        <w:t>WEYIB</w:t>
      </w:r>
      <w:r w:rsidR="00082527" w:rsidRPr="00A042D3">
        <w:t xml:space="preserve"> </w:t>
      </w:r>
      <w:r w:rsidR="00FD5A04" w:rsidRPr="00A042D3">
        <w:t>SUB-</w:t>
      </w:r>
      <w:r w:rsidR="00FA34CF" w:rsidRPr="00A042D3">
        <w:t>BASIN</w:t>
      </w:r>
      <w:r w:rsidR="00BF5E6E" w:rsidRPr="00A042D3">
        <w:t>,</w:t>
      </w:r>
      <w:r w:rsidR="00481BBB" w:rsidRPr="00A042D3">
        <w:t xml:space="preserve"> </w:t>
      </w:r>
      <w:r w:rsidR="00A472C2" w:rsidRPr="00A042D3">
        <w:t>GENALE-DAWA RIVER BASIN</w:t>
      </w:r>
      <w:r w:rsidR="00344B59" w:rsidRPr="00A042D3">
        <w:t>, SOUTH</w:t>
      </w:r>
      <w:r w:rsidR="00082527" w:rsidRPr="00A042D3">
        <w:t>EAST</w:t>
      </w:r>
      <w:r w:rsidR="00ED039A" w:rsidRPr="00A042D3">
        <w:t xml:space="preserve"> ETHIOPIA</w:t>
      </w:r>
    </w:p>
    <w:p w:rsidR="00922835" w:rsidRPr="00A042D3" w:rsidRDefault="00922835" w:rsidP="009B50F5">
      <w:pPr>
        <w:spacing w:line="480" w:lineRule="auto"/>
        <w:jc w:val="center"/>
      </w:pPr>
    </w:p>
    <w:p w:rsidR="00B74B7E" w:rsidRPr="00A042D3" w:rsidRDefault="00BF5E6E" w:rsidP="009B50F5">
      <w:pPr>
        <w:spacing w:line="480" w:lineRule="auto"/>
        <w:jc w:val="center"/>
      </w:pPr>
      <w:r w:rsidRPr="00A042D3">
        <w:t>M</w:t>
      </w:r>
      <w:r w:rsidR="00EE3437" w:rsidRPr="00A042D3">
        <w:t>.</w:t>
      </w:r>
      <w:r w:rsidRPr="00A042D3">
        <w:t>Sc</w:t>
      </w:r>
      <w:r w:rsidR="002D4745" w:rsidRPr="00A042D3">
        <w:t>. THESIS</w:t>
      </w:r>
    </w:p>
    <w:p w:rsidR="00B74B7E" w:rsidRPr="00A042D3" w:rsidRDefault="00B74B7E" w:rsidP="009B50F5">
      <w:pPr>
        <w:spacing w:line="480" w:lineRule="auto"/>
        <w:jc w:val="center"/>
      </w:pPr>
    </w:p>
    <w:p w:rsidR="00B74B7E" w:rsidRPr="00A042D3" w:rsidRDefault="00B74B7E" w:rsidP="009B50F5">
      <w:pPr>
        <w:spacing w:line="480" w:lineRule="auto"/>
        <w:jc w:val="center"/>
      </w:pPr>
    </w:p>
    <w:p w:rsidR="00581A6E" w:rsidRPr="00A042D3" w:rsidRDefault="00581A6E" w:rsidP="009B50F5">
      <w:pPr>
        <w:spacing w:line="480" w:lineRule="auto"/>
        <w:jc w:val="center"/>
      </w:pPr>
      <w:r w:rsidRPr="00A042D3">
        <w:t>ABDULGEFAR MUHIDIN MOHAMMED</w:t>
      </w:r>
    </w:p>
    <w:p w:rsidR="00581A6E" w:rsidRPr="00A042D3" w:rsidRDefault="00581A6E" w:rsidP="009B50F5">
      <w:pPr>
        <w:spacing w:line="480" w:lineRule="auto"/>
        <w:jc w:val="center"/>
      </w:pPr>
    </w:p>
    <w:p w:rsidR="009C03B6" w:rsidRPr="00A042D3" w:rsidRDefault="009C03B6" w:rsidP="009B50F5">
      <w:pPr>
        <w:spacing w:line="480" w:lineRule="auto"/>
      </w:pPr>
    </w:p>
    <w:p w:rsidR="00581A6E" w:rsidRPr="00A042D3" w:rsidRDefault="00581A6E" w:rsidP="009B50F5">
      <w:pPr>
        <w:spacing w:line="480" w:lineRule="auto"/>
        <w:jc w:val="center"/>
      </w:pPr>
      <w:r w:rsidRPr="00A042D3">
        <w:t>HAWASSA UNIVERSITY, HAWASSA, ETHIOPIA</w:t>
      </w:r>
    </w:p>
    <w:p w:rsidR="00861E0C" w:rsidRDefault="00861E0C" w:rsidP="00801F79">
      <w:pPr>
        <w:spacing w:line="480" w:lineRule="auto"/>
        <w:jc w:val="right"/>
      </w:pPr>
    </w:p>
    <w:p w:rsidR="00861E0C" w:rsidRDefault="00861E0C" w:rsidP="00801F79">
      <w:pPr>
        <w:spacing w:line="480" w:lineRule="auto"/>
        <w:jc w:val="right"/>
      </w:pPr>
    </w:p>
    <w:p w:rsidR="00A10AE3" w:rsidRPr="00A042D3" w:rsidRDefault="008231CF" w:rsidP="00801F79">
      <w:pPr>
        <w:spacing w:line="480" w:lineRule="auto"/>
        <w:jc w:val="right"/>
      </w:pPr>
      <w:r w:rsidRPr="00A042D3">
        <w:t xml:space="preserve">   </w:t>
      </w:r>
    </w:p>
    <w:p w:rsidR="003A2575" w:rsidRDefault="008231CF" w:rsidP="009B50F5">
      <w:pPr>
        <w:spacing w:line="480" w:lineRule="auto"/>
        <w:jc w:val="right"/>
      </w:pPr>
      <w:r w:rsidRPr="00A042D3">
        <w:t xml:space="preserve">  </w:t>
      </w:r>
      <w:r w:rsidR="00104E94">
        <w:t>APRIL</w:t>
      </w:r>
      <w:r w:rsidR="000D0960" w:rsidRPr="00A042D3">
        <w:t>, 2021</w:t>
      </w:r>
    </w:p>
    <w:p w:rsidR="00801F79" w:rsidRPr="00A042D3" w:rsidRDefault="00801F79" w:rsidP="00861E0C">
      <w:pPr>
        <w:spacing w:line="480" w:lineRule="auto"/>
      </w:pPr>
    </w:p>
    <w:p w:rsidR="00CF1A45" w:rsidRPr="00A042D3" w:rsidRDefault="00323E40" w:rsidP="009B50F5">
      <w:pPr>
        <w:spacing w:line="480" w:lineRule="auto"/>
        <w:jc w:val="center"/>
      </w:pPr>
      <w:r w:rsidRPr="00A042D3">
        <w:lastRenderedPageBreak/>
        <w:t xml:space="preserve">GROUNDWATER POTENTIAL MAPPING USING GIS AND REMOTE SENSING: </w:t>
      </w:r>
      <w:r w:rsidR="00D76566" w:rsidRPr="00A042D3">
        <w:t>A</w:t>
      </w:r>
      <w:r w:rsidRPr="00A042D3">
        <w:t xml:space="preserve"> CASE STUDY </w:t>
      </w:r>
      <w:r w:rsidR="00D76566" w:rsidRPr="00A042D3">
        <w:t>IN</w:t>
      </w:r>
      <w:r w:rsidRPr="00A042D3">
        <w:t xml:space="preserve"> WEYIB SUB-BASIN, GENALE-DAWA </w:t>
      </w:r>
      <w:r w:rsidR="00032C9B" w:rsidRPr="00A042D3">
        <w:t>RIVER BASIN, SOUTHEAST ETHIOPIA</w:t>
      </w:r>
    </w:p>
    <w:p w:rsidR="00032C9B" w:rsidRPr="00A042D3" w:rsidRDefault="00032C9B" w:rsidP="009B50F5">
      <w:pPr>
        <w:spacing w:line="480" w:lineRule="auto"/>
        <w:jc w:val="center"/>
      </w:pPr>
    </w:p>
    <w:p w:rsidR="00BE1DD9" w:rsidRPr="00A042D3" w:rsidRDefault="00BE1DD9" w:rsidP="009B50F5">
      <w:pPr>
        <w:spacing w:line="480" w:lineRule="auto"/>
        <w:jc w:val="center"/>
        <w:rPr>
          <w:bCs/>
        </w:rPr>
      </w:pPr>
      <w:r w:rsidRPr="00A042D3">
        <w:rPr>
          <w:bCs/>
        </w:rPr>
        <w:t>ABDULGEFAR MUHIDIN MOHAMMED</w:t>
      </w:r>
    </w:p>
    <w:p w:rsidR="0016261B" w:rsidRPr="00A042D3" w:rsidRDefault="0016261B" w:rsidP="009B50F5">
      <w:pPr>
        <w:spacing w:line="480" w:lineRule="auto"/>
        <w:jc w:val="center"/>
        <w:rPr>
          <w:bCs/>
        </w:rPr>
      </w:pPr>
    </w:p>
    <w:p w:rsidR="00A10AE3" w:rsidRPr="00A042D3" w:rsidRDefault="00A10AE3" w:rsidP="009B50F5">
      <w:pPr>
        <w:spacing w:line="480" w:lineRule="auto"/>
        <w:jc w:val="center"/>
        <w:rPr>
          <w:bCs/>
        </w:rPr>
      </w:pPr>
    </w:p>
    <w:p w:rsidR="006D2916" w:rsidRDefault="00BE1DD9" w:rsidP="009B50F5">
      <w:pPr>
        <w:spacing w:line="480" w:lineRule="auto"/>
        <w:jc w:val="center"/>
        <w:rPr>
          <w:bCs/>
        </w:rPr>
      </w:pPr>
      <w:r w:rsidRPr="00A042D3">
        <w:rPr>
          <w:bCs/>
        </w:rPr>
        <w:t xml:space="preserve">A THESIS SUBMITTED TO </w:t>
      </w:r>
      <w:r w:rsidR="009866E6" w:rsidRPr="00A042D3">
        <w:rPr>
          <w:bCs/>
        </w:rPr>
        <w:t>THE</w:t>
      </w:r>
      <w:r w:rsidR="00E903C3" w:rsidRPr="00A042D3">
        <w:rPr>
          <w:bCs/>
        </w:rPr>
        <w:t xml:space="preserve"> </w:t>
      </w:r>
    </w:p>
    <w:p w:rsidR="00BE1DD9" w:rsidRPr="00A042D3" w:rsidRDefault="00BE1DD9" w:rsidP="009B50F5">
      <w:pPr>
        <w:spacing w:line="480" w:lineRule="auto"/>
        <w:jc w:val="center"/>
        <w:rPr>
          <w:bCs/>
        </w:rPr>
      </w:pPr>
      <w:r w:rsidRPr="00A042D3">
        <w:rPr>
          <w:bCs/>
        </w:rPr>
        <w:t>DEPARTMENT OF HYDRAULIC AND WATER RESOURCES ENGINEERING</w:t>
      </w:r>
      <w:r w:rsidR="0016261B" w:rsidRPr="00A042D3">
        <w:rPr>
          <w:bCs/>
        </w:rPr>
        <w:t>,</w:t>
      </w:r>
      <w:r w:rsidR="00E903C3" w:rsidRPr="00A042D3">
        <w:rPr>
          <w:bCs/>
        </w:rPr>
        <w:t xml:space="preserve"> </w:t>
      </w:r>
      <w:r w:rsidR="009866E6" w:rsidRPr="00A042D3">
        <w:rPr>
          <w:bCs/>
        </w:rPr>
        <w:t xml:space="preserve">HAWASSA </w:t>
      </w:r>
      <w:r w:rsidRPr="00A042D3">
        <w:rPr>
          <w:bCs/>
        </w:rPr>
        <w:t>INSTITUTE OF TECHNOLOGY, SCHOOL OF</w:t>
      </w:r>
    </w:p>
    <w:p w:rsidR="00BE1DD9" w:rsidRPr="00A042D3" w:rsidRDefault="00BE1DD9" w:rsidP="009B50F5">
      <w:pPr>
        <w:spacing w:line="480" w:lineRule="auto"/>
        <w:jc w:val="center"/>
        <w:rPr>
          <w:bCs/>
        </w:rPr>
      </w:pPr>
      <w:r w:rsidRPr="00A042D3">
        <w:rPr>
          <w:bCs/>
        </w:rPr>
        <w:t>GRADUATE STUDIES, HAWASSA UNIVERSITY</w:t>
      </w:r>
    </w:p>
    <w:p w:rsidR="00BE1DD9" w:rsidRPr="00A042D3" w:rsidRDefault="00BE1DD9" w:rsidP="009B50F5">
      <w:pPr>
        <w:tabs>
          <w:tab w:val="left" w:pos="2728"/>
        </w:tabs>
        <w:spacing w:line="480" w:lineRule="auto"/>
        <w:jc w:val="center"/>
        <w:rPr>
          <w:bCs/>
        </w:rPr>
      </w:pPr>
      <w:r w:rsidRPr="00A042D3">
        <w:rPr>
          <w:bCs/>
        </w:rPr>
        <w:t>HAWASSA, ETHIOPIA</w:t>
      </w:r>
    </w:p>
    <w:p w:rsidR="00BE1DD9" w:rsidRPr="00A042D3" w:rsidRDefault="00BE1DD9" w:rsidP="009B50F5">
      <w:pPr>
        <w:tabs>
          <w:tab w:val="left" w:pos="2728"/>
        </w:tabs>
        <w:spacing w:line="480" w:lineRule="auto"/>
        <w:jc w:val="center"/>
        <w:rPr>
          <w:bCs/>
        </w:rPr>
      </w:pPr>
    </w:p>
    <w:p w:rsidR="00BE1DD9" w:rsidRPr="00A042D3" w:rsidRDefault="00BE1DD9" w:rsidP="009B50F5">
      <w:pPr>
        <w:tabs>
          <w:tab w:val="left" w:pos="2728"/>
        </w:tabs>
        <w:spacing w:line="480" w:lineRule="auto"/>
        <w:jc w:val="center"/>
        <w:rPr>
          <w:bCs/>
        </w:rPr>
      </w:pPr>
      <w:r w:rsidRPr="00A042D3">
        <w:rPr>
          <w:bCs/>
        </w:rPr>
        <w:t>IN PARTIAL FULFILLMENT OF THE</w:t>
      </w:r>
    </w:p>
    <w:p w:rsidR="00BE1DD9" w:rsidRPr="00A042D3" w:rsidRDefault="00BE1DD9" w:rsidP="009B50F5">
      <w:pPr>
        <w:tabs>
          <w:tab w:val="left" w:pos="2728"/>
        </w:tabs>
        <w:spacing w:line="480" w:lineRule="auto"/>
        <w:jc w:val="center"/>
        <w:rPr>
          <w:bCs/>
        </w:rPr>
      </w:pPr>
      <w:r w:rsidRPr="00A042D3">
        <w:rPr>
          <w:bCs/>
        </w:rPr>
        <w:t xml:space="preserve">REQUIREMENTS </w:t>
      </w:r>
      <w:r w:rsidR="009866E6" w:rsidRPr="00A042D3">
        <w:rPr>
          <w:bCs/>
        </w:rPr>
        <w:t>OF</w:t>
      </w:r>
      <w:r w:rsidRPr="00A042D3">
        <w:rPr>
          <w:bCs/>
        </w:rPr>
        <w:t xml:space="preserve"> THE</w:t>
      </w:r>
    </w:p>
    <w:p w:rsidR="00BE1DD9" w:rsidRPr="00A042D3" w:rsidRDefault="00BE1DD9" w:rsidP="009B50F5">
      <w:pPr>
        <w:tabs>
          <w:tab w:val="left" w:pos="2728"/>
        </w:tabs>
        <w:spacing w:line="480" w:lineRule="auto"/>
        <w:jc w:val="center"/>
        <w:rPr>
          <w:bCs/>
        </w:rPr>
      </w:pPr>
      <w:r w:rsidRPr="00A042D3">
        <w:rPr>
          <w:bCs/>
        </w:rPr>
        <w:t>DEGREE OF</w:t>
      </w:r>
    </w:p>
    <w:p w:rsidR="00BE1DD9" w:rsidRPr="00A042D3" w:rsidRDefault="00BE1DD9" w:rsidP="009B50F5">
      <w:pPr>
        <w:tabs>
          <w:tab w:val="left" w:pos="2728"/>
        </w:tabs>
        <w:spacing w:line="480" w:lineRule="auto"/>
        <w:jc w:val="center"/>
        <w:rPr>
          <w:bCs/>
        </w:rPr>
      </w:pPr>
    </w:p>
    <w:p w:rsidR="00BE1DD9" w:rsidRPr="00A042D3" w:rsidRDefault="00BE1DD9" w:rsidP="009B50F5">
      <w:pPr>
        <w:tabs>
          <w:tab w:val="left" w:pos="2728"/>
        </w:tabs>
        <w:spacing w:line="480" w:lineRule="auto"/>
        <w:jc w:val="center"/>
        <w:rPr>
          <w:bCs/>
        </w:rPr>
      </w:pPr>
      <w:r w:rsidRPr="00A042D3">
        <w:rPr>
          <w:bCs/>
        </w:rPr>
        <w:t>MASTER</w:t>
      </w:r>
      <w:r w:rsidR="00A2125F" w:rsidRPr="00A042D3">
        <w:rPr>
          <w:bCs/>
        </w:rPr>
        <w:t>S</w:t>
      </w:r>
      <w:r w:rsidRPr="00A042D3">
        <w:rPr>
          <w:bCs/>
        </w:rPr>
        <w:t xml:space="preserve"> OF S</w:t>
      </w:r>
      <w:r w:rsidR="00D35D20" w:rsidRPr="00A042D3">
        <w:rPr>
          <w:bCs/>
        </w:rPr>
        <w:t>CIENCE IN HYDRAULIC ENGINEERING</w:t>
      </w:r>
    </w:p>
    <w:p w:rsidR="00A10AE3" w:rsidRPr="00A042D3" w:rsidRDefault="00A10AE3" w:rsidP="009B50F5">
      <w:pPr>
        <w:spacing w:line="480" w:lineRule="auto"/>
        <w:jc w:val="right"/>
        <w:rPr>
          <w:bCs/>
        </w:rPr>
      </w:pPr>
      <w:bookmarkStart w:id="1" w:name="_Toc27316307"/>
    </w:p>
    <w:p w:rsidR="006264C1" w:rsidRPr="00A042D3" w:rsidRDefault="006264C1" w:rsidP="009B50F5">
      <w:pPr>
        <w:spacing w:line="480" w:lineRule="auto"/>
        <w:jc w:val="right"/>
      </w:pPr>
    </w:p>
    <w:p w:rsidR="00A10AE3" w:rsidRPr="00A042D3" w:rsidRDefault="00104E94" w:rsidP="009B50F5">
      <w:pPr>
        <w:spacing w:line="480" w:lineRule="auto"/>
        <w:jc w:val="right"/>
      </w:pPr>
      <w:r>
        <w:t>APRIL</w:t>
      </w:r>
      <w:r w:rsidR="009A2759" w:rsidRPr="00A042D3">
        <w:t xml:space="preserve">, </w:t>
      </w:r>
      <w:r w:rsidR="000D0960" w:rsidRPr="00A042D3">
        <w:t>202</w:t>
      </w:r>
      <w:bookmarkEnd w:id="1"/>
      <w:r w:rsidR="008231CF" w:rsidRPr="00A042D3">
        <w:t>1</w:t>
      </w:r>
    </w:p>
    <w:p w:rsidR="00206536" w:rsidRPr="00601FD1" w:rsidRDefault="00206536" w:rsidP="00D77403">
      <w:pPr>
        <w:spacing w:before="240" w:after="240"/>
        <w:jc w:val="center"/>
        <w:rPr>
          <w:b/>
        </w:rPr>
      </w:pPr>
      <w:r w:rsidRPr="00601FD1">
        <w:rPr>
          <w:b/>
        </w:rPr>
        <w:lastRenderedPageBreak/>
        <w:t>SCHOOL OF GRADUATE STUDIES</w:t>
      </w:r>
    </w:p>
    <w:p w:rsidR="00206536" w:rsidRPr="00601FD1" w:rsidRDefault="00206536" w:rsidP="00D77403">
      <w:pPr>
        <w:spacing w:before="240" w:after="240"/>
        <w:jc w:val="center"/>
        <w:rPr>
          <w:b/>
        </w:rPr>
      </w:pPr>
      <w:r w:rsidRPr="00601FD1">
        <w:rPr>
          <w:b/>
        </w:rPr>
        <w:t>HAWASSA UNIVERSITY ADVISORS’ APPROVAL SHEET</w:t>
      </w:r>
    </w:p>
    <w:p w:rsidR="00454967" w:rsidRPr="00601FD1" w:rsidRDefault="00454967" w:rsidP="00D77403">
      <w:pPr>
        <w:rPr>
          <w:rFonts w:eastAsiaTheme="minorHAnsi"/>
          <w:b/>
        </w:rPr>
      </w:pPr>
      <w:r w:rsidRPr="00601FD1">
        <w:rPr>
          <w:rFonts w:eastAsiaTheme="minorHAnsi"/>
        </w:rPr>
        <w:t>This is to certify that the thesis entitled ″</w:t>
      </w:r>
      <w:r w:rsidRPr="00601FD1">
        <w:rPr>
          <w:rFonts w:eastAsiaTheme="minorHAnsi"/>
          <w:b/>
        </w:rPr>
        <w:t>Groundwater Potentia</w:t>
      </w:r>
      <w:r w:rsidR="00945D82" w:rsidRPr="00601FD1">
        <w:rPr>
          <w:rFonts w:eastAsiaTheme="minorHAnsi"/>
          <w:b/>
        </w:rPr>
        <w:t>l Mapping using GIS and Remote S</w:t>
      </w:r>
      <w:r w:rsidRPr="00601FD1">
        <w:rPr>
          <w:rFonts w:eastAsiaTheme="minorHAnsi"/>
          <w:b/>
        </w:rPr>
        <w:t xml:space="preserve">ensing: </w:t>
      </w:r>
      <w:r w:rsidR="00D76566" w:rsidRPr="00601FD1">
        <w:rPr>
          <w:rFonts w:eastAsiaTheme="minorHAnsi"/>
          <w:b/>
        </w:rPr>
        <w:t>A</w:t>
      </w:r>
      <w:r w:rsidRPr="00601FD1">
        <w:rPr>
          <w:rFonts w:eastAsiaTheme="minorHAnsi"/>
          <w:b/>
        </w:rPr>
        <w:t xml:space="preserve"> case study </w:t>
      </w:r>
      <w:r w:rsidR="00D76566" w:rsidRPr="00601FD1">
        <w:rPr>
          <w:rFonts w:eastAsiaTheme="minorHAnsi"/>
          <w:b/>
        </w:rPr>
        <w:t>in</w:t>
      </w:r>
      <w:r w:rsidRPr="00601FD1">
        <w:rPr>
          <w:rFonts w:eastAsiaTheme="minorHAnsi"/>
          <w:b/>
        </w:rPr>
        <w:t xml:space="preserve"> Weyi</w:t>
      </w:r>
      <w:r w:rsidR="00D76566" w:rsidRPr="00601FD1">
        <w:rPr>
          <w:rFonts w:eastAsiaTheme="minorHAnsi"/>
          <w:b/>
        </w:rPr>
        <w:t>b Sub-basin, Genale-Dawa River B</w:t>
      </w:r>
      <w:r w:rsidRPr="00601FD1">
        <w:rPr>
          <w:rFonts w:eastAsiaTheme="minorHAnsi"/>
          <w:b/>
        </w:rPr>
        <w:t xml:space="preserve">asin, Southeast </w:t>
      </w:r>
      <w:r w:rsidR="009653DC" w:rsidRPr="00601FD1">
        <w:rPr>
          <w:rFonts w:eastAsiaTheme="minorHAnsi"/>
          <w:b/>
        </w:rPr>
        <w:t>Ethiopia</w:t>
      </w:r>
      <w:r w:rsidR="009653DC" w:rsidRPr="00601FD1">
        <w:rPr>
          <w:rFonts w:eastAsiaTheme="minorHAnsi"/>
        </w:rPr>
        <w:t>’’</w:t>
      </w:r>
      <w:r w:rsidRPr="00601FD1">
        <w:rPr>
          <w:rFonts w:eastAsiaTheme="minorHAnsi"/>
        </w:rPr>
        <w:t xml:space="preserve"> submitted in partial fulfillment of the requirements for the degree of </w:t>
      </w:r>
      <w:r w:rsidRPr="00601FD1">
        <w:rPr>
          <w:rFonts w:eastAsiaTheme="minorHAnsi"/>
          <w:b/>
          <w:u w:val="single"/>
        </w:rPr>
        <w:t>Master's of Science</w:t>
      </w:r>
      <w:r w:rsidRPr="00601FD1">
        <w:rPr>
          <w:rFonts w:eastAsiaTheme="minorHAnsi"/>
        </w:rPr>
        <w:t xml:space="preserve"> in </w:t>
      </w:r>
      <w:r w:rsidRPr="00601FD1">
        <w:rPr>
          <w:rFonts w:eastAsiaTheme="minorHAnsi"/>
          <w:b/>
          <w:u w:val="single"/>
        </w:rPr>
        <w:t>Hydraulic Engineering</w:t>
      </w:r>
      <w:r w:rsidRPr="00601FD1">
        <w:rPr>
          <w:rFonts w:eastAsiaTheme="minorHAnsi"/>
        </w:rPr>
        <w:t xml:space="preserve">, </w:t>
      </w:r>
      <w:r w:rsidR="00E139E4" w:rsidRPr="00601FD1">
        <w:rPr>
          <w:rFonts w:eastAsiaTheme="minorHAnsi"/>
        </w:rPr>
        <w:t xml:space="preserve">the </w:t>
      </w:r>
      <w:r w:rsidRPr="00601FD1">
        <w:rPr>
          <w:rFonts w:eastAsiaTheme="minorHAnsi"/>
        </w:rPr>
        <w:t xml:space="preserve">Graduate Program of the </w:t>
      </w:r>
      <w:r w:rsidR="00E139E4" w:rsidRPr="00601FD1">
        <w:rPr>
          <w:rFonts w:eastAsiaTheme="minorHAnsi"/>
        </w:rPr>
        <w:t xml:space="preserve">Department </w:t>
      </w:r>
      <w:r w:rsidRPr="00601FD1">
        <w:rPr>
          <w:rFonts w:eastAsiaTheme="minorHAnsi"/>
        </w:rPr>
        <w:t xml:space="preserve">of </w:t>
      </w:r>
      <w:r w:rsidR="00E139E4" w:rsidRPr="00601FD1">
        <w:rPr>
          <w:rFonts w:eastAsiaTheme="minorHAnsi"/>
        </w:rPr>
        <w:t>Hydraulic and Water Resources Engineering</w:t>
      </w:r>
      <w:r w:rsidRPr="00601FD1">
        <w:rPr>
          <w:rFonts w:eastAsiaTheme="minorHAnsi"/>
        </w:rPr>
        <w:t xml:space="preserve">, and has been carried out by </w:t>
      </w:r>
      <w:r w:rsidRPr="00601FD1">
        <w:rPr>
          <w:rFonts w:eastAsiaTheme="minorHAnsi"/>
          <w:b/>
          <w:u w:val="single"/>
        </w:rPr>
        <w:t>Abdulgefar Muhidin Mohammed</w:t>
      </w:r>
      <w:r w:rsidRPr="00601FD1">
        <w:rPr>
          <w:rFonts w:eastAsiaTheme="minorHAnsi"/>
        </w:rPr>
        <w:t xml:space="preserve"> Id No. </w:t>
      </w:r>
      <w:r w:rsidRPr="00601FD1">
        <w:rPr>
          <w:rFonts w:eastAsiaTheme="minorHAnsi"/>
          <w:b/>
          <w:u w:val="single"/>
        </w:rPr>
        <w:t>GPHydr R/001/2011</w:t>
      </w:r>
      <w:r w:rsidRPr="00601FD1">
        <w:rPr>
          <w:rFonts w:eastAsiaTheme="minorHAnsi"/>
        </w:rPr>
        <w:t>, under our supervision. Therefore, we recommend that the student has fulfilled the requirements and hence hereby can submit the thesis to the department.</w:t>
      </w:r>
    </w:p>
    <w:p w:rsidR="00454967" w:rsidRPr="00601FD1" w:rsidRDefault="00454967" w:rsidP="00D77403">
      <w:pPr>
        <w:rPr>
          <w:rFonts w:eastAsiaTheme="minorHAnsi"/>
        </w:rPr>
      </w:pPr>
    </w:p>
    <w:p w:rsidR="00454967" w:rsidRPr="00601FD1" w:rsidRDefault="00454967" w:rsidP="00D77403">
      <w:pPr>
        <w:rPr>
          <w:rFonts w:eastAsiaTheme="minorHAnsi"/>
        </w:rPr>
      </w:pPr>
      <w:r w:rsidRPr="00601FD1">
        <w:rPr>
          <w:rFonts w:eastAsiaTheme="minorHAnsi"/>
        </w:rPr>
        <w:t>Tewodros A</w:t>
      </w:r>
      <w:r w:rsidR="00F33423" w:rsidRPr="00601FD1">
        <w:rPr>
          <w:rFonts w:eastAsiaTheme="minorHAnsi"/>
        </w:rPr>
        <w:t>ssefa</w:t>
      </w:r>
      <w:r w:rsidRPr="00601FD1">
        <w:rPr>
          <w:rFonts w:eastAsiaTheme="minorHAnsi"/>
          <w:b/>
        </w:rPr>
        <w:t xml:space="preserve"> </w:t>
      </w:r>
      <w:r w:rsidRPr="00601FD1">
        <w:rPr>
          <w:rFonts w:eastAsiaTheme="minorHAnsi"/>
        </w:rPr>
        <w:t>(Ph</w:t>
      </w:r>
      <w:r w:rsidR="009D71A8" w:rsidRPr="00601FD1">
        <w:rPr>
          <w:rFonts w:eastAsiaTheme="minorHAnsi"/>
        </w:rPr>
        <w:t>.</w:t>
      </w:r>
      <w:r w:rsidRPr="00601FD1">
        <w:rPr>
          <w:rFonts w:eastAsiaTheme="minorHAnsi"/>
        </w:rPr>
        <w:t>D</w:t>
      </w:r>
      <w:r w:rsidR="009D71A8" w:rsidRPr="00601FD1">
        <w:rPr>
          <w:rFonts w:eastAsiaTheme="minorHAnsi"/>
        </w:rPr>
        <w:t>.</w:t>
      </w:r>
      <w:r w:rsidRPr="00601FD1">
        <w:rPr>
          <w:rFonts w:eastAsiaTheme="minorHAnsi"/>
        </w:rPr>
        <w:t>)</w:t>
      </w:r>
      <w:r w:rsidR="00B54E8C" w:rsidRPr="00601FD1">
        <w:rPr>
          <w:rFonts w:eastAsiaTheme="minorHAnsi"/>
        </w:rPr>
        <w:tab/>
      </w:r>
      <w:r w:rsidRPr="00601FD1">
        <w:rPr>
          <w:rFonts w:eastAsiaTheme="minorHAnsi"/>
        </w:rPr>
        <w:t>---------------------------</w:t>
      </w:r>
      <w:r w:rsidR="00B54E8C" w:rsidRPr="00601FD1">
        <w:rPr>
          <w:rFonts w:eastAsiaTheme="minorHAnsi"/>
        </w:rPr>
        <w:tab/>
      </w:r>
      <w:r w:rsidR="00B54E8C" w:rsidRPr="00601FD1">
        <w:rPr>
          <w:rFonts w:eastAsiaTheme="minorHAnsi"/>
        </w:rPr>
        <w:tab/>
      </w:r>
      <w:r w:rsidR="00B54E8C" w:rsidRPr="00601FD1">
        <w:rPr>
          <w:rFonts w:eastAsiaTheme="minorHAnsi"/>
        </w:rPr>
        <w:tab/>
      </w:r>
      <w:r w:rsidRPr="00601FD1">
        <w:rPr>
          <w:rFonts w:eastAsiaTheme="minorHAnsi"/>
        </w:rPr>
        <w:t xml:space="preserve">--------------------------- </w:t>
      </w:r>
    </w:p>
    <w:p w:rsidR="00454967" w:rsidRPr="00601FD1" w:rsidRDefault="00454967" w:rsidP="00D77403">
      <w:pPr>
        <w:rPr>
          <w:rFonts w:eastAsiaTheme="minorHAnsi"/>
        </w:rPr>
      </w:pPr>
    </w:p>
    <w:p w:rsidR="00454967" w:rsidRPr="00601FD1" w:rsidRDefault="00454967" w:rsidP="00D77403">
      <w:pPr>
        <w:rPr>
          <w:rFonts w:eastAsiaTheme="minorHAnsi"/>
        </w:rPr>
      </w:pPr>
      <w:r w:rsidRPr="00601FD1">
        <w:rPr>
          <w:rFonts w:eastAsiaTheme="minorHAnsi"/>
        </w:rPr>
        <w:t>Major advisor</w:t>
      </w:r>
      <w:r w:rsidR="00B54E8C" w:rsidRPr="00601FD1">
        <w:rPr>
          <w:rFonts w:eastAsiaTheme="minorHAnsi"/>
        </w:rPr>
        <w:tab/>
      </w:r>
      <w:r w:rsidR="00B54E8C" w:rsidRPr="00601FD1">
        <w:rPr>
          <w:rFonts w:eastAsiaTheme="minorHAnsi"/>
        </w:rPr>
        <w:tab/>
      </w:r>
      <w:r w:rsidR="00B54E8C" w:rsidRPr="00601FD1">
        <w:rPr>
          <w:rFonts w:eastAsiaTheme="minorHAnsi"/>
        </w:rPr>
        <w:tab/>
      </w:r>
      <w:r w:rsidR="00B54E8C" w:rsidRPr="00601FD1">
        <w:rPr>
          <w:rFonts w:eastAsiaTheme="minorHAnsi"/>
        </w:rPr>
        <w:tab/>
      </w:r>
      <w:r w:rsidRPr="00601FD1">
        <w:rPr>
          <w:rFonts w:eastAsiaTheme="minorHAnsi"/>
        </w:rPr>
        <w:t>Signature</w:t>
      </w:r>
      <w:r w:rsidR="00B54E8C" w:rsidRPr="00601FD1">
        <w:rPr>
          <w:rFonts w:eastAsiaTheme="minorHAnsi"/>
        </w:rPr>
        <w:tab/>
      </w:r>
      <w:r w:rsidR="00B54E8C" w:rsidRPr="00601FD1">
        <w:rPr>
          <w:rFonts w:eastAsiaTheme="minorHAnsi"/>
        </w:rPr>
        <w:tab/>
      </w:r>
      <w:r w:rsidR="00B54E8C" w:rsidRPr="00601FD1">
        <w:rPr>
          <w:rFonts w:eastAsiaTheme="minorHAnsi"/>
        </w:rPr>
        <w:tab/>
      </w:r>
      <w:r w:rsidR="00B54E8C" w:rsidRPr="00601FD1">
        <w:rPr>
          <w:rFonts w:eastAsiaTheme="minorHAnsi"/>
        </w:rPr>
        <w:tab/>
      </w:r>
      <w:r w:rsidRPr="00601FD1">
        <w:rPr>
          <w:rFonts w:eastAsiaTheme="minorHAnsi"/>
        </w:rPr>
        <w:t xml:space="preserve">Date  </w:t>
      </w:r>
    </w:p>
    <w:p w:rsidR="00454967" w:rsidRPr="00601FD1" w:rsidRDefault="00454967" w:rsidP="00D77403">
      <w:pPr>
        <w:rPr>
          <w:rFonts w:eastAsiaTheme="minorHAnsi"/>
        </w:rPr>
      </w:pPr>
    </w:p>
    <w:p w:rsidR="00454967" w:rsidRPr="00601FD1" w:rsidRDefault="00F33423" w:rsidP="00D77403">
      <w:pPr>
        <w:rPr>
          <w:rFonts w:eastAsiaTheme="minorHAnsi"/>
        </w:rPr>
      </w:pPr>
      <w:r w:rsidRPr="00601FD1">
        <w:rPr>
          <w:rFonts w:eastAsiaTheme="minorHAnsi"/>
        </w:rPr>
        <w:t>Teshale Tadesse</w:t>
      </w:r>
      <w:r w:rsidR="00454967" w:rsidRPr="00601FD1">
        <w:rPr>
          <w:rFonts w:eastAsiaTheme="minorHAnsi"/>
        </w:rPr>
        <w:t xml:space="preserve"> (M</w:t>
      </w:r>
      <w:r w:rsidR="00011AFA" w:rsidRPr="00601FD1">
        <w:rPr>
          <w:rFonts w:eastAsiaTheme="minorHAnsi"/>
        </w:rPr>
        <w:t>.</w:t>
      </w:r>
      <w:r w:rsidR="00454967" w:rsidRPr="00601FD1">
        <w:rPr>
          <w:rFonts w:eastAsiaTheme="minorHAnsi"/>
        </w:rPr>
        <w:t>Sc</w:t>
      </w:r>
      <w:r w:rsidR="00011AFA" w:rsidRPr="00601FD1">
        <w:rPr>
          <w:rFonts w:eastAsiaTheme="minorHAnsi"/>
        </w:rPr>
        <w:t>.</w:t>
      </w:r>
      <w:r w:rsidR="00454967" w:rsidRPr="00601FD1">
        <w:rPr>
          <w:rFonts w:eastAsiaTheme="minorHAnsi"/>
        </w:rPr>
        <w:t>)</w:t>
      </w:r>
      <w:r w:rsidR="00775C14" w:rsidRPr="00601FD1">
        <w:rPr>
          <w:rFonts w:eastAsiaTheme="minorHAnsi"/>
        </w:rPr>
        <w:tab/>
      </w:r>
      <w:r w:rsidR="00454967" w:rsidRPr="00601FD1">
        <w:rPr>
          <w:rFonts w:eastAsiaTheme="minorHAnsi"/>
        </w:rPr>
        <w:t>---------------------------</w:t>
      </w:r>
      <w:r w:rsidR="00B54E8C" w:rsidRPr="00601FD1">
        <w:rPr>
          <w:rFonts w:eastAsiaTheme="minorHAnsi"/>
        </w:rPr>
        <w:tab/>
      </w:r>
      <w:r w:rsidR="00B54E8C" w:rsidRPr="00601FD1">
        <w:rPr>
          <w:rFonts w:eastAsiaTheme="minorHAnsi"/>
        </w:rPr>
        <w:tab/>
      </w:r>
      <w:r w:rsidR="00B54E8C" w:rsidRPr="00601FD1">
        <w:rPr>
          <w:rFonts w:eastAsiaTheme="minorHAnsi"/>
        </w:rPr>
        <w:tab/>
      </w:r>
      <w:r w:rsidR="00454967" w:rsidRPr="00601FD1">
        <w:rPr>
          <w:rFonts w:eastAsiaTheme="minorHAnsi"/>
        </w:rPr>
        <w:t xml:space="preserve">---------------------------  </w:t>
      </w:r>
    </w:p>
    <w:p w:rsidR="00454967" w:rsidRPr="00601FD1" w:rsidRDefault="00454967" w:rsidP="00D77403">
      <w:pPr>
        <w:rPr>
          <w:rFonts w:eastAsiaTheme="minorHAnsi"/>
        </w:rPr>
      </w:pPr>
    </w:p>
    <w:p w:rsidR="00454967" w:rsidRPr="00601FD1" w:rsidRDefault="00454967" w:rsidP="00D77403">
      <w:pPr>
        <w:rPr>
          <w:rFonts w:eastAsiaTheme="minorHAnsi"/>
        </w:rPr>
      </w:pPr>
      <w:r w:rsidRPr="00601FD1">
        <w:rPr>
          <w:rFonts w:eastAsiaTheme="minorHAnsi"/>
        </w:rPr>
        <w:t>Co-advisor</w:t>
      </w:r>
      <w:r w:rsidR="00B54E8C" w:rsidRPr="00601FD1">
        <w:rPr>
          <w:rFonts w:eastAsiaTheme="minorHAnsi"/>
        </w:rPr>
        <w:tab/>
      </w:r>
      <w:r w:rsidR="00B54E8C" w:rsidRPr="00601FD1">
        <w:rPr>
          <w:rFonts w:eastAsiaTheme="minorHAnsi"/>
        </w:rPr>
        <w:tab/>
      </w:r>
      <w:r w:rsidR="00B54E8C" w:rsidRPr="00601FD1">
        <w:rPr>
          <w:rFonts w:eastAsiaTheme="minorHAnsi"/>
        </w:rPr>
        <w:tab/>
      </w:r>
      <w:r w:rsidR="00B54E8C" w:rsidRPr="00601FD1">
        <w:rPr>
          <w:rFonts w:eastAsiaTheme="minorHAnsi"/>
        </w:rPr>
        <w:tab/>
      </w:r>
      <w:r w:rsidRPr="00601FD1">
        <w:rPr>
          <w:rFonts w:eastAsiaTheme="minorHAnsi"/>
        </w:rPr>
        <w:t>Signature</w:t>
      </w:r>
      <w:r w:rsidR="00B54E8C" w:rsidRPr="00601FD1">
        <w:rPr>
          <w:rFonts w:eastAsiaTheme="minorHAnsi"/>
        </w:rPr>
        <w:tab/>
      </w:r>
      <w:r w:rsidR="00B54E8C" w:rsidRPr="00601FD1">
        <w:rPr>
          <w:rFonts w:eastAsiaTheme="minorHAnsi"/>
        </w:rPr>
        <w:tab/>
      </w:r>
      <w:r w:rsidR="00B54E8C" w:rsidRPr="00601FD1">
        <w:rPr>
          <w:rFonts w:eastAsiaTheme="minorHAnsi"/>
        </w:rPr>
        <w:tab/>
      </w:r>
      <w:r w:rsidR="00B54E8C" w:rsidRPr="00601FD1">
        <w:rPr>
          <w:rFonts w:eastAsiaTheme="minorHAnsi"/>
        </w:rPr>
        <w:tab/>
      </w:r>
      <w:r w:rsidRPr="00601FD1">
        <w:rPr>
          <w:rFonts w:eastAsiaTheme="minorHAnsi"/>
        </w:rPr>
        <w:t>Date</w:t>
      </w:r>
    </w:p>
    <w:p w:rsidR="004E3B64" w:rsidRPr="00601FD1" w:rsidRDefault="004E3B64" w:rsidP="00D77403">
      <w:pPr>
        <w:rPr>
          <w:rFonts w:eastAsiaTheme="minorHAnsi"/>
        </w:rPr>
      </w:pPr>
    </w:p>
    <w:p w:rsidR="009653DC" w:rsidRPr="00601FD1" w:rsidRDefault="009653DC" w:rsidP="00D77403">
      <w:pPr>
        <w:rPr>
          <w:rFonts w:eastAsiaTheme="minorHAnsi"/>
        </w:rPr>
      </w:pPr>
    </w:p>
    <w:p w:rsidR="00A10AE3" w:rsidRPr="00601FD1" w:rsidRDefault="00A10AE3" w:rsidP="00D77403">
      <w:pPr>
        <w:rPr>
          <w:rFonts w:eastAsiaTheme="minorHAnsi"/>
        </w:rPr>
      </w:pPr>
    </w:p>
    <w:p w:rsidR="00702A5F" w:rsidRPr="00601FD1" w:rsidRDefault="00702A5F" w:rsidP="00D77403">
      <w:pPr>
        <w:rPr>
          <w:rFonts w:eastAsiaTheme="minorHAnsi"/>
        </w:rPr>
      </w:pPr>
    </w:p>
    <w:p w:rsidR="00702A5F" w:rsidRPr="00601FD1" w:rsidRDefault="00702A5F" w:rsidP="00D77403">
      <w:pPr>
        <w:rPr>
          <w:rFonts w:eastAsiaTheme="minorHAnsi"/>
        </w:rPr>
      </w:pPr>
    </w:p>
    <w:p w:rsidR="00702A5F" w:rsidRPr="00601FD1" w:rsidRDefault="00702A5F" w:rsidP="00D77403">
      <w:pPr>
        <w:rPr>
          <w:rFonts w:eastAsiaTheme="minorHAnsi"/>
        </w:rPr>
      </w:pPr>
    </w:p>
    <w:p w:rsidR="00702A5F" w:rsidRPr="00601FD1" w:rsidRDefault="00702A5F" w:rsidP="00D77403">
      <w:pPr>
        <w:rPr>
          <w:rFonts w:eastAsiaTheme="minorHAnsi"/>
        </w:rPr>
      </w:pPr>
    </w:p>
    <w:p w:rsidR="00702A5F" w:rsidRPr="00601FD1" w:rsidRDefault="00702A5F" w:rsidP="00D77403">
      <w:pPr>
        <w:rPr>
          <w:rFonts w:eastAsiaTheme="minorHAnsi"/>
        </w:rPr>
      </w:pPr>
    </w:p>
    <w:p w:rsidR="00A65D08" w:rsidRPr="00601FD1" w:rsidRDefault="00A65D08" w:rsidP="008B5D5F">
      <w:pPr>
        <w:rPr>
          <w:rFonts w:eastAsiaTheme="minorHAnsi"/>
        </w:rPr>
      </w:pPr>
    </w:p>
    <w:p w:rsidR="00613083" w:rsidRPr="00601FD1" w:rsidRDefault="00613083" w:rsidP="008B5D5F">
      <w:pPr>
        <w:spacing w:before="240" w:after="240"/>
        <w:jc w:val="center"/>
        <w:rPr>
          <w:rFonts w:eastAsiaTheme="minorHAnsi"/>
          <w:b/>
        </w:rPr>
      </w:pPr>
      <w:r w:rsidRPr="00601FD1">
        <w:rPr>
          <w:rFonts w:eastAsiaTheme="minorHAnsi"/>
          <w:b/>
        </w:rPr>
        <w:lastRenderedPageBreak/>
        <w:t>SCHOOL OF GRADUATE STUDIES</w:t>
      </w:r>
    </w:p>
    <w:p w:rsidR="00613083" w:rsidRPr="00601FD1" w:rsidRDefault="00613083" w:rsidP="008B5D5F">
      <w:pPr>
        <w:spacing w:before="240" w:after="240"/>
        <w:jc w:val="center"/>
        <w:rPr>
          <w:rFonts w:eastAsiaTheme="minorHAnsi"/>
          <w:b/>
        </w:rPr>
      </w:pPr>
      <w:r w:rsidRPr="00601FD1">
        <w:rPr>
          <w:rFonts w:eastAsiaTheme="minorHAnsi"/>
          <w:b/>
        </w:rPr>
        <w:t>HAWASSA UNIVERSITY EXAMINERS’ APPROVAL SHEET</w:t>
      </w:r>
    </w:p>
    <w:p w:rsidR="00613083" w:rsidRPr="00601FD1" w:rsidRDefault="00613083" w:rsidP="008B5D5F">
      <w:r w:rsidRPr="00601FD1">
        <w:t>We, the undersigned, members of the Board of Examiners of the final open defense by</w:t>
      </w:r>
      <w:r w:rsidR="00E86A54" w:rsidRPr="00601FD1">
        <w:t xml:space="preserve"> </w:t>
      </w:r>
      <w:r w:rsidR="00E86A54" w:rsidRPr="00601FD1">
        <w:rPr>
          <w:b/>
        </w:rPr>
        <w:t>Abdulgefar Muhidin Mohammed</w:t>
      </w:r>
      <w:r w:rsidR="00E86A54" w:rsidRPr="00601FD1">
        <w:t xml:space="preserve"> </w:t>
      </w:r>
      <w:r w:rsidRPr="00601FD1">
        <w:t xml:space="preserve">have read and evaluated his thesis entitled </w:t>
      </w:r>
      <w:r w:rsidR="00E86A54" w:rsidRPr="00601FD1">
        <w:t>‘’</w:t>
      </w:r>
      <w:r w:rsidR="00E86A54" w:rsidRPr="00601FD1">
        <w:rPr>
          <w:b/>
        </w:rPr>
        <w:t>Groundwater Potentia</w:t>
      </w:r>
      <w:r w:rsidR="00945D82" w:rsidRPr="00601FD1">
        <w:rPr>
          <w:b/>
        </w:rPr>
        <w:t>l Mapping using GIS and Remote S</w:t>
      </w:r>
      <w:r w:rsidR="00E86A54" w:rsidRPr="00601FD1">
        <w:rPr>
          <w:b/>
        </w:rPr>
        <w:t>ensing: A case study in Weyib Sub-basin, Genale-Dawa River basin, Southeast Ethiopia</w:t>
      </w:r>
      <w:r w:rsidRPr="00601FD1">
        <w:rPr>
          <w:b/>
        </w:rPr>
        <w:t>’’</w:t>
      </w:r>
      <w:r w:rsidRPr="00601FD1">
        <w:t>, and examined the candidate. This is, therefore, to certify that the thesis has been accepted in partial fulfillment of the requirements for the degree</w:t>
      </w:r>
    </w:p>
    <w:p w:rsidR="006A75F8" w:rsidRPr="00601FD1" w:rsidRDefault="008247E5" w:rsidP="008B5D5F">
      <w:r w:rsidRPr="00601FD1">
        <w:t xml:space="preserve">Tewodros </w:t>
      </w:r>
      <w:r w:rsidRPr="00601FD1">
        <w:rPr>
          <w:rFonts w:eastAsiaTheme="minorHAnsi"/>
        </w:rPr>
        <w:t>Assefa</w:t>
      </w:r>
      <w:r w:rsidR="006A75F8" w:rsidRPr="00601FD1">
        <w:t xml:space="preserve"> (</w:t>
      </w:r>
      <w:r w:rsidR="00072261" w:rsidRPr="00601FD1">
        <w:t>Ph</w:t>
      </w:r>
      <w:r w:rsidR="009D71A8" w:rsidRPr="00601FD1">
        <w:t>.</w:t>
      </w:r>
      <w:r w:rsidR="00072261" w:rsidRPr="00601FD1">
        <w:t>D</w:t>
      </w:r>
      <w:r w:rsidR="009D71A8" w:rsidRPr="00601FD1">
        <w:t>.</w:t>
      </w:r>
      <w:r w:rsidR="006A75F8" w:rsidRPr="00601FD1">
        <w:t>)</w:t>
      </w:r>
      <w:r w:rsidR="00EB4977" w:rsidRPr="00601FD1">
        <w:tab/>
      </w:r>
      <w:r w:rsidR="006A75F8" w:rsidRPr="00601FD1">
        <w:t xml:space="preserve">---------------------------               --------------------------- </w:t>
      </w:r>
    </w:p>
    <w:p w:rsidR="006A75F8" w:rsidRPr="00601FD1" w:rsidRDefault="006A75F8" w:rsidP="008B5D5F">
      <w:r w:rsidRPr="00601FD1">
        <w:t>Major advisor</w:t>
      </w:r>
      <w:r w:rsidR="00EB4977" w:rsidRPr="00601FD1">
        <w:tab/>
      </w:r>
      <w:r w:rsidR="00EB4977" w:rsidRPr="00601FD1">
        <w:tab/>
      </w:r>
      <w:r w:rsidR="00EB4977" w:rsidRPr="00601FD1">
        <w:tab/>
      </w:r>
      <w:r w:rsidR="00EB4977" w:rsidRPr="00601FD1">
        <w:tab/>
      </w:r>
      <w:r w:rsidRPr="00601FD1">
        <w:t>Signature</w:t>
      </w:r>
      <w:r w:rsidR="00072261" w:rsidRPr="00601FD1">
        <w:tab/>
      </w:r>
      <w:r w:rsidR="00072261" w:rsidRPr="00601FD1">
        <w:tab/>
      </w:r>
      <w:r w:rsidR="00072261" w:rsidRPr="00601FD1">
        <w:tab/>
      </w:r>
      <w:r w:rsidRPr="00601FD1">
        <w:t xml:space="preserve">Date  </w:t>
      </w:r>
    </w:p>
    <w:p w:rsidR="00454967" w:rsidRPr="00601FD1" w:rsidRDefault="00454967" w:rsidP="008B5D5F">
      <w:pPr>
        <w:rPr>
          <w:rFonts w:eastAsiaTheme="minorHAnsi"/>
        </w:rPr>
      </w:pPr>
      <w:r w:rsidRPr="00601FD1">
        <w:rPr>
          <w:rFonts w:eastAsiaTheme="minorHAnsi"/>
        </w:rPr>
        <w:t>-</w:t>
      </w:r>
      <w:r w:rsidR="00533FF3" w:rsidRPr="00601FD1">
        <w:rPr>
          <w:rFonts w:eastAsiaTheme="minorHAnsi"/>
        </w:rPr>
        <w:t>-----------------------------</w:t>
      </w:r>
      <w:r w:rsidR="00EB4977" w:rsidRPr="00601FD1">
        <w:rPr>
          <w:rFonts w:eastAsiaTheme="minorHAnsi"/>
        </w:rPr>
        <w:tab/>
      </w:r>
      <w:r w:rsidRPr="00601FD1">
        <w:rPr>
          <w:rFonts w:eastAsiaTheme="minorHAnsi"/>
        </w:rPr>
        <w:t xml:space="preserve">---------------------------           </w:t>
      </w:r>
      <w:r w:rsidR="00533FF3" w:rsidRPr="00601FD1">
        <w:rPr>
          <w:rFonts w:eastAsiaTheme="minorHAnsi"/>
        </w:rPr>
        <w:t xml:space="preserve"> </w:t>
      </w:r>
      <w:r w:rsidRPr="00601FD1">
        <w:rPr>
          <w:rFonts w:eastAsiaTheme="minorHAnsi"/>
        </w:rPr>
        <w:t xml:space="preserve">    --------------------------   </w:t>
      </w:r>
    </w:p>
    <w:p w:rsidR="00454967" w:rsidRPr="00601FD1" w:rsidRDefault="00454967" w:rsidP="008B5D5F">
      <w:pPr>
        <w:rPr>
          <w:rFonts w:eastAsiaTheme="minorHAnsi"/>
        </w:rPr>
      </w:pPr>
      <w:r w:rsidRPr="00601FD1">
        <w:rPr>
          <w:rFonts w:eastAsiaTheme="minorHAnsi"/>
        </w:rPr>
        <w:t>Internal Examiner</w:t>
      </w:r>
      <w:r w:rsidR="006A75F8" w:rsidRPr="00601FD1">
        <w:rPr>
          <w:rFonts w:eastAsiaTheme="minorHAnsi"/>
        </w:rPr>
        <w:t>-I</w:t>
      </w:r>
      <w:r w:rsidR="00EB4977" w:rsidRPr="00601FD1">
        <w:rPr>
          <w:rFonts w:eastAsiaTheme="minorHAnsi"/>
        </w:rPr>
        <w:tab/>
      </w:r>
      <w:r w:rsidR="00EB4977" w:rsidRPr="00601FD1">
        <w:rPr>
          <w:rFonts w:eastAsiaTheme="minorHAnsi"/>
        </w:rPr>
        <w:tab/>
      </w:r>
      <w:r w:rsidR="00EB4977" w:rsidRPr="00601FD1">
        <w:rPr>
          <w:rFonts w:eastAsiaTheme="minorHAnsi"/>
        </w:rPr>
        <w:tab/>
      </w:r>
      <w:r w:rsidRPr="00601FD1">
        <w:rPr>
          <w:rFonts w:eastAsiaTheme="minorHAnsi"/>
        </w:rPr>
        <w:t>Signature</w:t>
      </w:r>
      <w:r w:rsidR="00072261" w:rsidRPr="00601FD1">
        <w:rPr>
          <w:rFonts w:eastAsiaTheme="minorHAnsi"/>
        </w:rPr>
        <w:tab/>
      </w:r>
      <w:r w:rsidR="00072261" w:rsidRPr="00601FD1">
        <w:rPr>
          <w:rFonts w:eastAsiaTheme="minorHAnsi"/>
        </w:rPr>
        <w:tab/>
      </w:r>
      <w:r w:rsidR="00072261" w:rsidRPr="00601FD1">
        <w:rPr>
          <w:rFonts w:eastAsiaTheme="minorHAnsi"/>
        </w:rPr>
        <w:tab/>
      </w:r>
      <w:r w:rsidRPr="00601FD1">
        <w:rPr>
          <w:rFonts w:eastAsiaTheme="minorHAnsi"/>
        </w:rPr>
        <w:t>Date</w:t>
      </w:r>
    </w:p>
    <w:p w:rsidR="006A75F8" w:rsidRPr="00601FD1" w:rsidRDefault="006A75F8" w:rsidP="008B5D5F">
      <w:pPr>
        <w:rPr>
          <w:rFonts w:eastAsiaTheme="minorHAnsi"/>
        </w:rPr>
      </w:pPr>
      <w:r w:rsidRPr="00601FD1">
        <w:rPr>
          <w:rFonts w:eastAsiaTheme="minorHAnsi"/>
        </w:rPr>
        <w:t>------------------------------</w:t>
      </w:r>
      <w:r w:rsidR="00EB4977" w:rsidRPr="00601FD1">
        <w:rPr>
          <w:rFonts w:eastAsiaTheme="minorHAnsi"/>
        </w:rPr>
        <w:tab/>
      </w:r>
      <w:r w:rsidRPr="00601FD1">
        <w:rPr>
          <w:rFonts w:eastAsiaTheme="minorHAnsi"/>
        </w:rPr>
        <w:t xml:space="preserve">---------------------------                --------------------------   </w:t>
      </w:r>
    </w:p>
    <w:p w:rsidR="006A75F8" w:rsidRPr="00601FD1" w:rsidRDefault="006A75F8" w:rsidP="008B5D5F">
      <w:pPr>
        <w:rPr>
          <w:rFonts w:eastAsiaTheme="minorHAnsi"/>
          <w:highlight w:val="yellow"/>
        </w:rPr>
      </w:pPr>
      <w:r w:rsidRPr="00601FD1">
        <w:rPr>
          <w:rFonts w:eastAsiaTheme="minorHAnsi"/>
        </w:rPr>
        <w:t>Internal Examiner-II</w:t>
      </w:r>
      <w:r w:rsidR="00EB4977" w:rsidRPr="00601FD1">
        <w:rPr>
          <w:rFonts w:eastAsiaTheme="minorHAnsi"/>
        </w:rPr>
        <w:tab/>
      </w:r>
      <w:r w:rsidR="00EB4977" w:rsidRPr="00601FD1">
        <w:rPr>
          <w:rFonts w:eastAsiaTheme="minorHAnsi"/>
        </w:rPr>
        <w:tab/>
      </w:r>
      <w:r w:rsidR="00072261" w:rsidRPr="00601FD1">
        <w:rPr>
          <w:rFonts w:eastAsiaTheme="minorHAnsi"/>
        </w:rPr>
        <w:tab/>
      </w:r>
      <w:r w:rsidRPr="00601FD1">
        <w:rPr>
          <w:rFonts w:eastAsiaTheme="minorHAnsi"/>
        </w:rPr>
        <w:t>Signature</w:t>
      </w:r>
      <w:r w:rsidR="00072261" w:rsidRPr="00601FD1">
        <w:rPr>
          <w:rFonts w:eastAsiaTheme="minorHAnsi"/>
        </w:rPr>
        <w:tab/>
      </w:r>
      <w:r w:rsidR="00072261" w:rsidRPr="00601FD1">
        <w:rPr>
          <w:rFonts w:eastAsiaTheme="minorHAnsi"/>
        </w:rPr>
        <w:tab/>
      </w:r>
      <w:r w:rsidR="00072261" w:rsidRPr="00601FD1">
        <w:rPr>
          <w:rFonts w:eastAsiaTheme="minorHAnsi"/>
        </w:rPr>
        <w:tab/>
      </w:r>
      <w:r w:rsidRPr="00601FD1">
        <w:rPr>
          <w:rFonts w:eastAsiaTheme="minorHAnsi"/>
        </w:rPr>
        <w:t>Date</w:t>
      </w:r>
    </w:p>
    <w:p w:rsidR="00454967" w:rsidRPr="00601FD1" w:rsidRDefault="00533FF3" w:rsidP="008B5D5F">
      <w:pPr>
        <w:rPr>
          <w:rFonts w:eastAsiaTheme="minorHAnsi"/>
        </w:rPr>
      </w:pPr>
      <w:r w:rsidRPr="00601FD1">
        <w:rPr>
          <w:rFonts w:eastAsiaTheme="minorHAnsi"/>
        </w:rPr>
        <w:t>------------------------------</w:t>
      </w:r>
      <w:r w:rsidR="00EB4977" w:rsidRPr="00601FD1">
        <w:rPr>
          <w:rFonts w:eastAsiaTheme="minorHAnsi"/>
        </w:rPr>
        <w:tab/>
      </w:r>
      <w:r w:rsidR="00454967" w:rsidRPr="00601FD1">
        <w:rPr>
          <w:rFonts w:eastAsiaTheme="minorHAnsi"/>
        </w:rPr>
        <w:t xml:space="preserve">---------------------------                -------------------------- </w:t>
      </w:r>
    </w:p>
    <w:p w:rsidR="006F189D" w:rsidRPr="00601FD1" w:rsidRDefault="00454967" w:rsidP="008B5D5F">
      <w:pPr>
        <w:rPr>
          <w:rFonts w:eastAsiaTheme="minorHAnsi"/>
        </w:rPr>
      </w:pPr>
      <w:r w:rsidRPr="00601FD1">
        <w:rPr>
          <w:rFonts w:eastAsiaTheme="minorHAnsi"/>
        </w:rPr>
        <w:t>External Examin</w:t>
      </w:r>
      <w:r w:rsidR="006F189D" w:rsidRPr="00601FD1">
        <w:rPr>
          <w:rFonts w:eastAsiaTheme="minorHAnsi"/>
        </w:rPr>
        <w:t>er</w:t>
      </w:r>
      <w:r w:rsidR="00EB4977" w:rsidRPr="00601FD1">
        <w:rPr>
          <w:rFonts w:eastAsiaTheme="minorHAnsi"/>
        </w:rPr>
        <w:tab/>
      </w:r>
      <w:r w:rsidR="00EB4977" w:rsidRPr="00601FD1">
        <w:rPr>
          <w:rFonts w:eastAsiaTheme="minorHAnsi"/>
        </w:rPr>
        <w:tab/>
      </w:r>
      <w:r w:rsidR="00072261" w:rsidRPr="00601FD1">
        <w:rPr>
          <w:rFonts w:eastAsiaTheme="minorHAnsi"/>
        </w:rPr>
        <w:tab/>
      </w:r>
      <w:r w:rsidRPr="00601FD1">
        <w:rPr>
          <w:rFonts w:eastAsiaTheme="minorHAnsi"/>
        </w:rPr>
        <w:t>Signature</w:t>
      </w:r>
      <w:r w:rsidR="00072261" w:rsidRPr="00601FD1">
        <w:rPr>
          <w:rFonts w:eastAsiaTheme="minorHAnsi"/>
        </w:rPr>
        <w:tab/>
      </w:r>
      <w:r w:rsidR="00072261" w:rsidRPr="00601FD1">
        <w:rPr>
          <w:rFonts w:eastAsiaTheme="minorHAnsi"/>
        </w:rPr>
        <w:tab/>
      </w:r>
      <w:r w:rsidR="00072261" w:rsidRPr="00601FD1">
        <w:rPr>
          <w:rFonts w:eastAsiaTheme="minorHAnsi"/>
        </w:rPr>
        <w:tab/>
      </w:r>
      <w:r w:rsidR="006F189D" w:rsidRPr="00601FD1">
        <w:rPr>
          <w:rFonts w:eastAsiaTheme="minorHAnsi"/>
        </w:rPr>
        <w:t>Date</w:t>
      </w:r>
    </w:p>
    <w:p w:rsidR="006F189D" w:rsidRPr="00601FD1" w:rsidRDefault="006F189D" w:rsidP="008B5D5F">
      <w:pPr>
        <w:rPr>
          <w:rFonts w:eastAsiaTheme="minorHAnsi"/>
        </w:rPr>
      </w:pPr>
      <w:r w:rsidRPr="00601FD1">
        <w:rPr>
          <w:rFonts w:eastAsiaTheme="minorHAnsi"/>
        </w:rPr>
        <w:t>------------------------------</w:t>
      </w:r>
      <w:r w:rsidR="00EB4977" w:rsidRPr="00601FD1">
        <w:rPr>
          <w:rFonts w:eastAsiaTheme="minorHAnsi"/>
        </w:rPr>
        <w:tab/>
      </w:r>
      <w:r w:rsidRPr="00601FD1">
        <w:rPr>
          <w:rFonts w:eastAsiaTheme="minorHAnsi"/>
        </w:rPr>
        <w:t xml:space="preserve">---------------------------                -------------------------- </w:t>
      </w:r>
    </w:p>
    <w:p w:rsidR="002C12F3" w:rsidRPr="00601FD1" w:rsidRDefault="006F189D" w:rsidP="008B5D5F">
      <w:pPr>
        <w:rPr>
          <w:rFonts w:eastAsiaTheme="minorHAnsi"/>
        </w:rPr>
      </w:pPr>
      <w:r w:rsidRPr="00601FD1">
        <w:rPr>
          <w:rFonts w:eastAsiaTheme="minorHAnsi"/>
        </w:rPr>
        <w:t>SGS</w:t>
      </w:r>
      <w:r w:rsidR="00EB4977" w:rsidRPr="00601FD1">
        <w:rPr>
          <w:rFonts w:eastAsiaTheme="minorHAnsi"/>
        </w:rPr>
        <w:tab/>
      </w:r>
      <w:r w:rsidR="00EB4977" w:rsidRPr="00601FD1">
        <w:rPr>
          <w:rFonts w:eastAsiaTheme="minorHAnsi"/>
        </w:rPr>
        <w:tab/>
      </w:r>
      <w:r w:rsidR="00EB4977" w:rsidRPr="00601FD1">
        <w:rPr>
          <w:rFonts w:eastAsiaTheme="minorHAnsi"/>
        </w:rPr>
        <w:tab/>
      </w:r>
      <w:r w:rsidR="00EB4977" w:rsidRPr="00601FD1">
        <w:rPr>
          <w:rFonts w:eastAsiaTheme="minorHAnsi"/>
        </w:rPr>
        <w:tab/>
      </w:r>
      <w:r w:rsidR="00072261" w:rsidRPr="00601FD1">
        <w:rPr>
          <w:rFonts w:eastAsiaTheme="minorHAnsi"/>
        </w:rPr>
        <w:tab/>
      </w:r>
      <w:r w:rsidRPr="00601FD1">
        <w:rPr>
          <w:rFonts w:eastAsiaTheme="minorHAnsi"/>
        </w:rPr>
        <w:t>Signature</w:t>
      </w:r>
      <w:r w:rsidR="00072261" w:rsidRPr="00601FD1">
        <w:rPr>
          <w:rFonts w:eastAsiaTheme="minorHAnsi"/>
        </w:rPr>
        <w:tab/>
      </w:r>
      <w:r w:rsidR="00072261" w:rsidRPr="00601FD1">
        <w:rPr>
          <w:rFonts w:eastAsiaTheme="minorHAnsi"/>
        </w:rPr>
        <w:tab/>
      </w:r>
      <w:r w:rsidR="00072261" w:rsidRPr="00601FD1">
        <w:rPr>
          <w:rFonts w:eastAsiaTheme="minorHAnsi"/>
        </w:rPr>
        <w:tab/>
      </w:r>
      <w:r w:rsidRPr="00601FD1">
        <w:rPr>
          <w:rFonts w:eastAsiaTheme="minorHAnsi"/>
        </w:rPr>
        <w:t>Date</w:t>
      </w:r>
    </w:p>
    <w:p w:rsidR="00EB4977" w:rsidRPr="00601FD1" w:rsidRDefault="00EB4977" w:rsidP="008B5D5F">
      <w:pPr>
        <w:rPr>
          <w:rFonts w:eastAsiaTheme="minorHAnsi"/>
        </w:rPr>
      </w:pPr>
    </w:p>
    <w:p w:rsidR="00BE0755" w:rsidRPr="00601FD1" w:rsidRDefault="00BE0755" w:rsidP="008B5D5F">
      <w:pPr>
        <w:rPr>
          <w:rFonts w:eastAsiaTheme="minorHAnsi"/>
        </w:rPr>
      </w:pPr>
    </w:p>
    <w:p w:rsidR="00BE0755" w:rsidRPr="00601FD1" w:rsidRDefault="00BE0755" w:rsidP="008B5D5F">
      <w:pPr>
        <w:rPr>
          <w:rFonts w:eastAsiaTheme="minorHAnsi"/>
        </w:rPr>
      </w:pPr>
    </w:p>
    <w:p w:rsidR="00BE0755" w:rsidRPr="00601FD1" w:rsidRDefault="00BE0755" w:rsidP="008B5D5F">
      <w:pPr>
        <w:jc w:val="center"/>
        <w:rPr>
          <w:rFonts w:eastAsiaTheme="minorHAnsi"/>
          <w:b/>
        </w:rPr>
        <w:sectPr w:rsidR="00BE0755" w:rsidRPr="00601FD1" w:rsidSect="00D73265">
          <w:headerReference w:type="default" r:id="rId9"/>
          <w:pgSz w:w="11909" w:h="16834" w:code="9"/>
          <w:pgMar w:top="1699" w:right="1138" w:bottom="1411" w:left="1987" w:header="720" w:footer="720" w:gutter="0"/>
          <w:pgNumType w:fmt="lowerRoman" w:start="1"/>
          <w:cols w:space="720"/>
          <w:docGrid w:linePitch="360"/>
        </w:sectPr>
      </w:pPr>
    </w:p>
    <w:p w:rsidR="00ED6707" w:rsidRPr="00D72D12" w:rsidRDefault="001E5FED" w:rsidP="008B5D5F">
      <w:pPr>
        <w:pStyle w:val="Heading1"/>
        <w:rPr>
          <w:rFonts w:eastAsiaTheme="minorHAnsi"/>
        </w:rPr>
      </w:pPr>
      <w:r w:rsidRPr="00601FD1">
        <w:rPr>
          <w:rFonts w:eastAsiaTheme="minorHAnsi"/>
        </w:rPr>
        <w:lastRenderedPageBreak/>
        <w:t xml:space="preserve">                    </w:t>
      </w:r>
      <w:r w:rsidR="00941738" w:rsidRPr="00601FD1">
        <w:rPr>
          <w:rFonts w:eastAsiaTheme="minorHAnsi"/>
        </w:rPr>
        <w:t xml:space="preserve">                   </w:t>
      </w:r>
      <w:r w:rsidRPr="00601FD1">
        <w:rPr>
          <w:rFonts w:eastAsiaTheme="minorHAnsi"/>
        </w:rPr>
        <w:t xml:space="preserve">  </w:t>
      </w:r>
      <w:bookmarkStart w:id="2" w:name="_Toc68025041"/>
      <w:bookmarkStart w:id="3" w:name="_Toc68761524"/>
      <w:r w:rsidR="00622C6E" w:rsidRPr="00D72D12">
        <w:rPr>
          <w:rFonts w:eastAsiaTheme="minorHAnsi"/>
        </w:rPr>
        <w:t>ACKNOWLEDGEMENT</w:t>
      </w:r>
      <w:r w:rsidR="003E0DEB" w:rsidRPr="00D72D12">
        <w:rPr>
          <w:rFonts w:eastAsiaTheme="minorHAnsi"/>
        </w:rPr>
        <w:t>S</w:t>
      </w:r>
      <w:bookmarkEnd w:id="2"/>
      <w:bookmarkEnd w:id="3"/>
    </w:p>
    <w:p w:rsidR="006857FB" w:rsidRDefault="00ED6707" w:rsidP="008B5D5F">
      <w:r w:rsidRPr="00D72D12">
        <w:t>All praise is due to Allah the Exalted, and May peace and blessings be upon Muhammad (SAW), the Seal of the Prophets, who delivered the message of his Lord in the best manner.</w:t>
      </w:r>
      <w:r w:rsidR="00942B06">
        <w:t xml:space="preserve"> </w:t>
      </w:r>
    </w:p>
    <w:p w:rsidR="00ED6707" w:rsidRPr="00D72D12" w:rsidRDefault="001F3324" w:rsidP="008B5D5F">
      <w:r>
        <w:t>ALHAMDU</w:t>
      </w:r>
      <w:r w:rsidR="00845006">
        <w:t>LILLA</w:t>
      </w:r>
      <w:r w:rsidR="00ED6707" w:rsidRPr="00D72D12">
        <w:t>H! I thank Allah for all the opportunities and strength that have been showered on me to bring my hope into reality. Without His support and blessing, it could not have been possible to complete my work.</w:t>
      </w:r>
    </w:p>
    <w:p w:rsidR="00ED6707" w:rsidRPr="00D72D12" w:rsidRDefault="00ED6707" w:rsidP="008B5D5F">
      <w:r w:rsidRPr="00D72D12">
        <w:t>I would like to express my sincere gratitude to my advisors Tewodros A. (Ph.D.) and Teshale T. (M.Sc.) for their continuous guidance and encouragement during my studies.</w:t>
      </w:r>
    </w:p>
    <w:p w:rsidR="00ED6707" w:rsidRPr="00D72D12" w:rsidRDefault="00ED6707" w:rsidP="008B5D5F">
      <w:r w:rsidRPr="00D72D12">
        <w:t xml:space="preserve">This work would not have been possible without the financial support of the Ethiopian Road Authority </w:t>
      </w:r>
      <w:r w:rsidRPr="00BE665A">
        <w:t>and MAK PLC. I am</w:t>
      </w:r>
      <w:r w:rsidRPr="00D72D12">
        <w:t xml:space="preserve"> especially indebted to extend my thanks to my sponsors.</w:t>
      </w:r>
    </w:p>
    <w:p w:rsidR="00ED6707" w:rsidRPr="00D72D12" w:rsidRDefault="00ED6707" w:rsidP="008B5D5F">
      <w:r w:rsidRPr="00D72D12">
        <w:t>I would like to appreciate the following institution that sup</w:t>
      </w:r>
      <w:r w:rsidR="00907478">
        <w:t>ports my work on obtaining data:</w:t>
      </w:r>
      <w:r w:rsidRPr="00D72D12">
        <w:t xml:space="preserve"> Ministry of Water, Irrigation</w:t>
      </w:r>
      <w:r w:rsidR="006857FB">
        <w:t>,</w:t>
      </w:r>
      <w:r w:rsidRPr="00D72D12">
        <w:t xml:space="preserve"> and Energy, Ethiopian Institute of Geologic</w:t>
      </w:r>
      <w:r w:rsidR="00965E16" w:rsidRPr="00D72D12">
        <w:t xml:space="preserve"> Survey, Ethiopian National Meteor</w:t>
      </w:r>
      <w:r w:rsidRPr="00D72D12">
        <w:t xml:space="preserve">ological Agency </w:t>
      </w:r>
      <w:r w:rsidR="001003FD" w:rsidRPr="00D72D12">
        <w:t>and Bale</w:t>
      </w:r>
      <w:r w:rsidRPr="00D72D12">
        <w:t xml:space="preserve"> Zone Water </w:t>
      </w:r>
      <w:r w:rsidR="00191056" w:rsidRPr="00D72D12">
        <w:t xml:space="preserve">Resources Development and </w:t>
      </w:r>
      <w:r w:rsidRPr="00D72D12">
        <w:t>Energy.</w:t>
      </w:r>
    </w:p>
    <w:p w:rsidR="00A967DB" w:rsidRPr="00E9787A" w:rsidRDefault="00A24B42" w:rsidP="008B5D5F">
      <w:r w:rsidRPr="00D72D12">
        <w:t xml:space="preserve">I wish to thank my parents for their love and encouragement, without whom I would never have enjoyed so many opportunities. My deepest gratitude goes to all of my family </w:t>
      </w:r>
      <w:r w:rsidRPr="00E9787A">
        <w:t>members. It would not be possible to finish this th</w:t>
      </w:r>
      <w:r w:rsidR="00A967DB" w:rsidRPr="00E9787A">
        <w:t xml:space="preserve">esis without support from them. </w:t>
      </w:r>
    </w:p>
    <w:p w:rsidR="006C7AF5" w:rsidRPr="00D72D12" w:rsidRDefault="00ED6707" w:rsidP="008B5D5F">
      <w:pPr>
        <w:rPr>
          <w:b/>
          <w:bCs/>
        </w:rPr>
      </w:pPr>
      <w:r w:rsidRPr="00E9787A">
        <w:t xml:space="preserve">Finally, I wish to thank all </w:t>
      </w:r>
      <w:r w:rsidR="00942B06" w:rsidRPr="00E9787A">
        <w:t xml:space="preserve">of </w:t>
      </w:r>
      <w:r w:rsidR="00845006" w:rsidRPr="00E9787A">
        <w:t>my friends</w:t>
      </w:r>
      <w:r w:rsidR="007864D7" w:rsidRPr="00E9787A">
        <w:t xml:space="preserve"> who </w:t>
      </w:r>
      <w:r w:rsidR="00B9796A" w:rsidRPr="00E9787A">
        <w:t>were</w:t>
      </w:r>
      <w:r w:rsidR="007864D7" w:rsidRPr="00E9787A">
        <w:t xml:space="preserve"> ever with me</w:t>
      </w:r>
      <w:r w:rsidR="00E9787A" w:rsidRPr="00E9787A">
        <w:t>,</w:t>
      </w:r>
      <w:r w:rsidR="007864D7" w:rsidRPr="00E9787A">
        <w:t xml:space="preserve"> even when my shadow was helping the darkness</w:t>
      </w:r>
      <w:r w:rsidR="00B9796A" w:rsidRPr="00E9787A">
        <w:t>!</w:t>
      </w:r>
      <w:r w:rsidR="00F93B06" w:rsidRPr="00E9787A">
        <w:t xml:space="preserve"> L</w:t>
      </w:r>
      <w:r w:rsidR="00B9796A" w:rsidRPr="00E9787A">
        <w:t>ast but not the least</w:t>
      </w:r>
      <w:r w:rsidR="00BE665A" w:rsidRPr="00E9787A">
        <w:t>,</w:t>
      </w:r>
      <w:r w:rsidR="00B9796A" w:rsidRPr="00E9787A">
        <w:t xml:space="preserve"> </w:t>
      </w:r>
      <w:r w:rsidR="002D2707" w:rsidRPr="00E9787A">
        <w:rPr>
          <w:bCs/>
        </w:rPr>
        <w:t xml:space="preserve">I would like to thank </w:t>
      </w:r>
      <w:r w:rsidR="006F184C" w:rsidRPr="00E9787A">
        <w:rPr>
          <w:bCs/>
        </w:rPr>
        <w:t xml:space="preserve">all of my </w:t>
      </w:r>
      <w:r w:rsidR="000F6EB0" w:rsidRPr="00E9787A">
        <w:rPr>
          <w:bCs/>
        </w:rPr>
        <w:t xml:space="preserve">best </w:t>
      </w:r>
      <w:r w:rsidR="00F40549" w:rsidRPr="00E9787A">
        <w:rPr>
          <w:bCs/>
        </w:rPr>
        <w:t xml:space="preserve">colleagues and </w:t>
      </w:r>
      <w:r w:rsidR="002D2707" w:rsidRPr="00E9787A">
        <w:rPr>
          <w:bCs/>
        </w:rPr>
        <w:t>other people</w:t>
      </w:r>
      <w:r w:rsidR="00BE665A" w:rsidRPr="00E9787A">
        <w:rPr>
          <w:bCs/>
        </w:rPr>
        <w:t xml:space="preserve"> </w:t>
      </w:r>
      <w:r w:rsidR="00183326" w:rsidRPr="00E9787A">
        <w:rPr>
          <w:bCs/>
        </w:rPr>
        <w:t>whose</w:t>
      </w:r>
      <w:r w:rsidR="00F93B06" w:rsidRPr="00E9787A">
        <w:rPr>
          <w:bCs/>
        </w:rPr>
        <w:t xml:space="preserve"> </w:t>
      </w:r>
      <w:r w:rsidR="006F184C" w:rsidRPr="00E9787A">
        <w:rPr>
          <w:bCs/>
        </w:rPr>
        <w:t>assistance was a milestone for the completion of this thesis.</w:t>
      </w:r>
    </w:p>
    <w:p w:rsidR="00B9796A" w:rsidRDefault="00B9796A" w:rsidP="008B5D5F">
      <w:pPr>
        <w:jc w:val="center"/>
        <w:rPr>
          <w:bCs/>
        </w:rPr>
      </w:pPr>
    </w:p>
    <w:p w:rsidR="006F184C" w:rsidRDefault="006F184C" w:rsidP="008B5D5F">
      <w:pPr>
        <w:rPr>
          <w:bCs/>
        </w:rPr>
      </w:pPr>
    </w:p>
    <w:p w:rsidR="00AA3FF0" w:rsidRDefault="00CA0343" w:rsidP="008B5D5F">
      <w:pPr>
        <w:pStyle w:val="TOCHeading"/>
        <w:rPr>
          <w:rStyle w:val="Heading1Char"/>
          <w:b/>
          <w:bCs/>
          <w:szCs w:val="24"/>
        </w:rPr>
      </w:pPr>
      <w:r w:rsidRPr="0070028E">
        <w:rPr>
          <w:rStyle w:val="Heading1Char"/>
          <w:b/>
          <w:bCs/>
          <w:szCs w:val="24"/>
        </w:rPr>
        <w:t xml:space="preserve">                                          </w:t>
      </w:r>
    </w:p>
    <w:p w:rsidR="004B4256" w:rsidRPr="004B4256" w:rsidRDefault="004B4256" w:rsidP="008B5D5F"/>
    <w:sdt>
      <w:sdtPr>
        <w:rPr>
          <w:rFonts w:eastAsia="Calibri"/>
          <w:b w:val="0"/>
          <w:szCs w:val="24"/>
        </w:rPr>
        <w:id w:val="1235666113"/>
        <w:docPartObj>
          <w:docPartGallery w:val="Table of Contents"/>
          <w:docPartUnique/>
        </w:docPartObj>
      </w:sdtPr>
      <w:sdtEndPr>
        <w:rPr>
          <w:bCs/>
          <w:noProof/>
        </w:rPr>
      </w:sdtEndPr>
      <w:sdtContent>
        <w:p w:rsidR="00AA3FF0" w:rsidRPr="004B4256" w:rsidRDefault="00D12190" w:rsidP="008B5D5F">
          <w:pPr>
            <w:pStyle w:val="Heading1"/>
          </w:pPr>
          <w:r>
            <w:t xml:space="preserve">                                     </w:t>
          </w:r>
          <w:bookmarkStart w:id="4" w:name="_Toc68761525"/>
          <w:r>
            <w:t xml:space="preserve"> </w:t>
          </w:r>
          <w:r w:rsidR="00AA3FF0" w:rsidRPr="004B4256">
            <w:t>TABLE OF CONTENTS</w:t>
          </w:r>
          <w:bookmarkEnd w:id="4"/>
        </w:p>
        <w:p w:rsidR="005E3F37" w:rsidRDefault="00AA3FF0" w:rsidP="008B5D5F">
          <w:pPr>
            <w:pStyle w:val="TOC1"/>
            <w:rPr>
              <w:rFonts w:asciiTheme="minorHAnsi" w:eastAsiaTheme="minorEastAsia" w:hAnsiTheme="minorHAnsi" w:cstheme="minorBidi"/>
              <w:noProof/>
              <w:sz w:val="22"/>
              <w:szCs w:val="22"/>
            </w:rPr>
          </w:pPr>
          <w:r>
            <w:fldChar w:fldCharType="begin"/>
          </w:r>
          <w:r>
            <w:instrText xml:space="preserve"> TOC \o "1-3" \h \z \u </w:instrText>
          </w:r>
          <w:r>
            <w:fldChar w:fldCharType="separate"/>
          </w:r>
          <w:hyperlink w:anchor="_Toc68761524" w:history="1">
            <w:r w:rsidR="005E3F37" w:rsidRPr="00436E9A">
              <w:rPr>
                <w:rStyle w:val="Hyperlink"/>
                <w:rFonts w:eastAsiaTheme="minorHAnsi"/>
                <w:noProof/>
              </w:rPr>
              <w:t>ACKNOWLEDGEMENTS</w:t>
            </w:r>
            <w:r w:rsidR="005E3F37">
              <w:rPr>
                <w:noProof/>
                <w:webHidden/>
              </w:rPr>
              <w:tab/>
            </w:r>
            <w:r w:rsidR="005E3F37">
              <w:rPr>
                <w:noProof/>
                <w:webHidden/>
              </w:rPr>
              <w:fldChar w:fldCharType="begin"/>
            </w:r>
            <w:r w:rsidR="005E3F37">
              <w:rPr>
                <w:noProof/>
                <w:webHidden/>
              </w:rPr>
              <w:instrText xml:space="preserve"> PAGEREF _Toc68761524 \h </w:instrText>
            </w:r>
            <w:r w:rsidR="005E3F37">
              <w:rPr>
                <w:noProof/>
                <w:webHidden/>
              </w:rPr>
            </w:r>
            <w:r w:rsidR="005E3F37">
              <w:rPr>
                <w:noProof/>
                <w:webHidden/>
              </w:rPr>
              <w:fldChar w:fldCharType="separate"/>
            </w:r>
            <w:r w:rsidR="00BD510E">
              <w:rPr>
                <w:noProof/>
                <w:webHidden/>
              </w:rPr>
              <w:t>i</w:t>
            </w:r>
            <w:r w:rsidR="005E3F37">
              <w:rPr>
                <w:noProof/>
                <w:webHidden/>
              </w:rPr>
              <w:fldChar w:fldCharType="end"/>
            </w:r>
          </w:hyperlink>
        </w:p>
        <w:p w:rsidR="005E3F37" w:rsidRDefault="005E3F37" w:rsidP="008B5D5F">
          <w:pPr>
            <w:pStyle w:val="TOC1"/>
            <w:rPr>
              <w:rFonts w:asciiTheme="minorHAnsi" w:eastAsiaTheme="minorEastAsia" w:hAnsiTheme="minorHAnsi" w:cstheme="minorBidi"/>
              <w:noProof/>
              <w:sz w:val="22"/>
              <w:szCs w:val="22"/>
            </w:rPr>
          </w:pPr>
          <w:hyperlink w:anchor="_Toc68761525" w:history="1">
            <w:r w:rsidRPr="00436E9A">
              <w:rPr>
                <w:rStyle w:val="Hyperlink"/>
                <w:noProof/>
              </w:rPr>
              <w:t xml:space="preserve"> TABLE OF CONTENTS</w:t>
            </w:r>
            <w:r>
              <w:rPr>
                <w:noProof/>
                <w:webHidden/>
              </w:rPr>
              <w:tab/>
            </w:r>
            <w:r>
              <w:rPr>
                <w:noProof/>
                <w:webHidden/>
              </w:rPr>
              <w:fldChar w:fldCharType="begin"/>
            </w:r>
            <w:r>
              <w:rPr>
                <w:noProof/>
                <w:webHidden/>
              </w:rPr>
              <w:instrText xml:space="preserve"> PAGEREF _Toc68761525 \h </w:instrText>
            </w:r>
            <w:r>
              <w:rPr>
                <w:noProof/>
                <w:webHidden/>
              </w:rPr>
            </w:r>
            <w:r>
              <w:rPr>
                <w:noProof/>
                <w:webHidden/>
              </w:rPr>
              <w:fldChar w:fldCharType="separate"/>
            </w:r>
            <w:r w:rsidR="00BD510E">
              <w:rPr>
                <w:noProof/>
                <w:webHidden/>
              </w:rPr>
              <w:t>ii</w:t>
            </w:r>
            <w:r>
              <w:rPr>
                <w:noProof/>
                <w:webHidden/>
              </w:rPr>
              <w:fldChar w:fldCharType="end"/>
            </w:r>
          </w:hyperlink>
        </w:p>
        <w:p w:rsidR="005E3F37" w:rsidRDefault="005E3F37" w:rsidP="008B5D5F">
          <w:pPr>
            <w:pStyle w:val="TOC1"/>
            <w:rPr>
              <w:rFonts w:asciiTheme="minorHAnsi" w:eastAsiaTheme="minorEastAsia" w:hAnsiTheme="minorHAnsi" w:cstheme="minorBidi"/>
              <w:noProof/>
              <w:sz w:val="22"/>
              <w:szCs w:val="22"/>
            </w:rPr>
          </w:pPr>
          <w:hyperlink w:anchor="_Toc68761526" w:history="1">
            <w:r w:rsidRPr="00436E9A">
              <w:rPr>
                <w:rStyle w:val="Hyperlink"/>
                <w:noProof/>
              </w:rPr>
              <w:t>LIST OF ACRONYMS</w:t>
            </w:r>
            <w:r>
              <w:rPr>
                <w:noProof/>
                <w:webHidden/>
              </w:rPr>
              <w:tab/>
            </w:r>
            <w:r>
              <w:rPr>
                <w:noProof/>
                <w:webHidden/>
              </w:rPr>
              <w:fldChar w:fldCharType="begin"/>
            </w:r>
            <w:r>
              <w:rPr>
                <w:noProof/>
                <w:webHidden/>
              </w:rPr>
              <w:instrText xml:space="preserve"> PAGEREF _Toc68761526 \h </w:instrText>
            </w:r>
            <w:r>
              <w:rPr>
                <w:noProof/>
                <w:webHidden/>
              </w:rPr>
            </w:r>
            <w:r>
              <w:rPr>
                <w:noProof/>
                <w:webHidden/>
              </w:rPr>
              <w:fldChar w:fldCharType="separate"/>
            </w:r>
            <w:r w:rsidR="00BD510E">
              <w:rPr>
                <w:noProof/>
                <w:webHidden/>
              </w:rPr>
              <w:t>vi</w:t>
            </w:r>
            <w:r>
              <w:rPr>
                <w:noProof/>
                <w:webHidden/>
              </w:rPr>
              <w:fldChar w:fldCharType="end"/>
            </w:r>
          </w:hyperlink>
        </w:p>
        <w:p w:rsidR="005E3F37" w:rsidRDefault="005E3F37" w:rsidP="008B5D5F">
          <w:pPr>
            <w:pStyle w:val="TOC1"/>
            <w:rPr>
              <w:rFonts w:asciiTheme="minorHAnsi" w:eastAsiaTheme="minorEastAsia" w:hAnsiTheme="minorHAnsi" w:cstheme="minorBidi"/>
              <w:noProof/>
              <w:sz w:val="22"/>
              <w:szCs w:val="22"/>
            </w:rPr>
          </w:pPr>
          <w:hyperlink w:anchor="_Toc68761527" w:history="1">
            <w:r w:rsidRPr="00436E9A">
              <w:rPr>
                <w:rStyle w:val="Hyperlink"/>
                <w:noProof/>
              </w:rPr>
              <w:t>LIST OF TABLES</w:t>
            </w:r>
            <w:r>
              <w:rPr>
                <w:noProof/>
                <w:webHidden/>
              </w:rPr>
              <w:tab/>
            </w:r>
            <w:r>
              <w:rPr>
                <w:noProof/>
                <w:webHidden/>
              </w:rPr>
              <w:fldChar w:fldCharType="begin"/>
            </w:r>
            <w:r>
              <w:rPr>
                <w:noProof/>
                <w:webHidden/>
              </w:rPr>
              <w:instrText xml:space="preserve"> PAGEREF _Toc68761527 \h </w:instrText>
            </w:r>
            <w:r>
              <w:rPr>
                <w:noProof/>
                <w:webHidden/>
              </w:rPr>
            </w:r>
            <w:r>
              <w:rPr>
                <w:noProof/>
                <w:webHidden/>
              </w:rPr>
              <w:fldChar w:fldCharType="separate"/>
            </w:r>
            <w:r w:rsidR="00BD510E">
              <w:rPr>
                <w:noProof/>
                <w:webHidden/>
              </w:rPr>
              <w:t>vii</w:t>
            </w:r>
            <w:r>
              <w:rPr>
                <w:noProof/>
                <w:webHidden/>
              </w:rPr>
              <w:fldChar w:fldCharType="end"/>
            </w:r>
          </w:hyperlink>
        </w:p>
        <w:p w:rsidR="005E3F37" w:rsidRDefault="005E3F37" w:rsidP="008B5D5F">
          <w:pPr>
            <w:pStyle w:val="TOC1"/>
            <w:rPr>
              <w:rFonts w:asciiTheme="minorHAnsi" w:eastAsiaTheme="minorEastAsia" w:hAnsiTheme="minorHAnsi" w:cstheme="minorBidi"/>
              <w:noProof/>
              <w:sz w:val="22"/>
              <w:szCs w:val="22"/>
            </w:rPr>
          </w:pPr>
          <w:hyperlink w:anchor="_Toc68761528" w:history="1">
            <w:r w:rsidRPr="00436E9A">
              <w:rPr>
                <w:rStyle w:val="Hyperlink"/>
                <w:noProof/>
              </w:rPr>
              <w:t>LIST OF FIGURES</w:t>
            </w:r>
            <w:r>
              <w:rPr>
                <w:noProof/>
                <w:webHidden/>
              </w:rPr>
              <w:tab/>
            </w:r>
            <w:r>
              <w:rPr>
                <w:noProof/>
                <w:webHidden/>
              </w:rPr>
              <w:fldChar w:fldCharType="begin"/>
            </w:r>
            <w:r>
              <w:rPr>
                <w:noProof/>
                <w:webHidden/>
              </w:rPr>
              <w:instrText xml:space="preserve"> PAGEREF _Toc68761528 \h </w:instrText>
            </w:r>
            <w:r>
              <w:rPr>
                <w:noProof/>
                <w:webHidden/>
              </w:rPr>
            </w:r>
            <w:r>
              <w:rPr>
                <w:noProof/>
                <w:webHidden/>
              </w:rPr>
              <w:fldChar w:fldCharType="separate"/>
            </w:r>
            <w:r w:rsidR="00BD510E">
              <w:rPr>
                <w:noProof/>
                <w:webHidden/>
              </w:rPr>
              <w:t>viii</w:t>
            </w:r>
            <w:r>
              <w:rPr>
                <w:noProof/>
                <w:webHidden/>
              </w:rPr>
              <w:fldChar w:fldCharType="end"/>
            </w:r>
          </w:hyperlink>
        </w:p>
        <w:p w:rsidR="005E3F37" w:rsidRDefault="005E3F37" w:rsidP="008B5D5F">
          <w:pPr>
            <w:pStyle w:val="TOC1"/>
            <w:rPr>
              <w:rFonts w:asciiTheme="minorHAnsi" w:eastAsiaTheme="minorEastAsia" w:hAnsiTheme="minorHAnsi" w:cstheme="minorBidi"/>
              <w:noProof/>
              <w:sz w:val="22"/>
              <w:szCs w:val="22"/>
            </w:rPr>
          </w:pPr>
          <w:hyperlink w:anchor="_Toc68761529" w:history="1">
            <w:r w:rsidRPr="00436E9A">
              <w:rPr>
                <w:rStyle w:val="Hyperlink"/>
                <w:noProof/>
              </w:rPr>
              <w:t>LIST OF TABLES IN THE APPENDIX</w:t>
            </w:r>
            <w:r>
              <w:rPr>
                <w:noProof/>
                <w:webHidden/>
              </w:rPr>
              <w:tab/>
            </w:r>
            <w:r>
              <w:rPr>
                <w:noProof/>
                <w:webHidden/>
              </w:rPr>
              <w:fldChar w:fldCharType="begin"/>
            </w:r>
            <w:r>
              <w:rPr>
                <w:noProof/>
                <w:webHidden/>
              </w:rPr>
              <w:instrText xml:space="preserve"> PAGEREF _Toc68761529 \h </w:instrText>
            </w:r>
            <w:r>
              <w:rPr>
                <w:noProof/>
                <w:webHidden/>
              </w:rPr>
            </w:r>
            <w:r>
              <w:rPr>
                <w:noProof/>
                <w:webHidden/>
              </w:rPr>
              <w:fldChar w:fldCharType="separate"/>
            </w:r>
            <w:r w:rsidR="00BD510E">
              <w:rPr>
                <w:noProof/>
                <w:webHidden/>
              </w:rPr>
              <w:t>x</w:t>
            </w:r>
            <w:r>
              <w:rPr>
                <w:noProof/>
                <w:webHidden/>
              </w:rPr>
              <w:fldChar w:fldCharType="end"/>
            </w:r>
          </w:hyperlink>
        </w:p>
        <w:p w:rsidR="005E3F37" w:rsidRDefault="005E3F37" w:rsidP="008B5D5F">
          <w:pPr>
            <w:pStyle w:val="TOC1"/>
            <w:rPr>
              <w:rFonts w:asciiTheme="minorHAnsi" w:eastAsiaTheme="minorEastAsia" w:hAnsiTheme="minorHAnsi" w:cstheme="minorBidi"/>
              <w:noProof/>
              <w:sz w:val="22"/>
              <w:szCs w:val="22"/>
            </w:rPr>
          </w:pPr>
          <w:hyperlink w:anchor="_Toc68761530" w:history="1">
            <w:r w:rsidRPr="00436E9A">
              <w:rPr>
                <w:rStyle w:val="Hyperlink"/>
                <w:noProof/>
              </w:rPr>
              <w:t>LIST OF FIGURES IN THE APPENDIX</w:t>
            </w:r>
            <w:r>
              <w:rPr>
                <w:noProof/>
                <w:webHidden/>
              </w:rPr>
              <w:tab/>
            </w:r>
            <w:r>
              <w:rPr>
                <w:noProof/>
                <w:webHidden/>
              </w:rPr>
              <w:fldChar w:fldCharType="begin"/>
            </w:r>
            <w:r>
              <w:rPr>
                <w:noProof/>
                <w:webHidden/>
              </w:rPr>
              <w:instrText xml:space="preserve"> PAGEREF _Toc68761530 \h </w:instrText>
            </w:r>
            <w:r>
              <w:rPr>
                <w:noProof/>
                <w:webHidden/>
              </w:rPr>
            </w:r>
            <w:r>
              <w:rPr>
                <w:noProof/>
                <w:webHidden/>
              </w:rPr>
              <w:fldChar w:fldCharType="separate"/>
            </w:r>
            <w:r w:rsidR="00BD510E">
              <w:rPr>
                <w:noProof/>
                <w:webHidden/>
              </w:rPr>
              <w:t>xi</w:t>
            </w:r>
            <w:r>
              <w:rPr>
                <w:noProof/>
                <w:webHidden/>
              </w:rPr>
              <w:fldChar w:fldCharType="end"/>
            </w:r>
          </w:hyperlink>
        </w:p>
        <w:p w:rsidR="005E3F37" w:rsidRDefault="005E3F37" w:rsidP="008B5D5F">
          <w:pPr>
            <w:pStyle w:val="TOC1"/>
            <w:rPr>
              <w:rFonts w:asciiTheme="minorHAnsi" w:eastAsiaTheme="minorEastAsia" w:hAnsiTheme="minorHAnsi" w:cstheme="minorBidi"/>
              <w:noProof/>
              <w:sz w:val="22"/>
              <w:szCs w:val="22"/>
            </w:rPr>
          </w:pPr>
          <w:hyperlink w:anchor="_Toc68761531" w:history="1">
            <w:r w:rsidRPr="00436E9A">
              <w:rPr>
                <w:rStyle w:val="Hyperlink"/>
                <w:noProof/>
              </w:rPr>
              <w:t>ABSTRACT</w:t>
            </w:r>
            <w:r>
              <w:rPr>
                <w:noProof/>
                <w:webHidden/>
              </w:rPr>
              <w:tab/>
            </w:r>
            <w:r>
              <w:rPr>
                <w:noProof/>
                <w:webHidden/>
              </w:rPr>
              <w:fldChar w:fldCharType="begin"/>
            </w:r>
            <w:r>
              <w:rPr>
                <w:noProof/>
                <w:webHidden/>
              </w:rPr>
              <w:instrText xml:space="preserve"> PAGEREF _Toc68761531 \h </w:instrText>
            </w:r>
            <w:r>
              <w:rPr>
                <w:noProof/>
                <w:webHidden/>
              </w:rPr>
            </w:r>
            <w:r>
              <w:rPr>
                <w:noProof/>
                <w:webHidden/>
              </w:rPr>
              <w:fldChar w:fldCharType="separate"/>
            </w:r>
            <w:r w:rsidR="00BD510E">
              <w:rPr>
                <w:noProof/>
                <w:webHidden/>
              </w:rPr>
              <w:t>xiii</w:t>
            </w:r>
            <w:r>
              <w:rPr>
                <w:noProof/>
                <w:webHidden/>
              </w:rPr>
              <w:fldChar w:fldCharType="end"/>
            </w:r>
          </w:hyperlink>
        </w:p>
        <w:p w:rsidR="005E3F37" w:rsidRDefault="005E3F37" w:rsidP="008B5D5F">
          <w:pPr>
            <w:pStyle w:val="TOC1"/>
            <w:tabs>
              <w:tab w:val="left" w:pos="440"/>
            </w:tabs>
            <w:rPr>
              <w:rFonts w:asciiTheme="minorHAnsi" w:eastAsiaTheme="minorEastAsia" w:hAnsiTheme="minorHAnsi" w:cstheme="minorBidi"/>
              <w:noProof/>
              <w:sz w:val="22"/>
              <w:szCs w:val="22"/>
            </w:rPr>
          </w:pPr>
          <w:hyperlink w:anchor="_Toc68761532" w:history="1">
            <w:r w:rsidRPr="00436E9A">
              <w:rPr>
                <w:rStyle w:val="Hyperlink"/>
                <w:noProof/>
              </w:rPr>
              <w:t>1.</w:t>
            </w:r>
            <w:r>
              <w:rPr>
                <w:rFonts w:asciiTheme="minorHAnsi" w:eastAsiaTheme="minorEastAsia" w:hAnsiTheme="minorHAnsi" w:cstheme="minorBidi"/>
                <w:noProof/>
                <w:sz w:val="22"/>
                <w:szCs w:val="22"/>
              </w:rPr>
              <w:tab/>
            </w:r>
            <w:r w:rsidRPr="00436E9A">
              <w:rPr>
                <w:rStyle w:val="Hyperlink"/>
                <w:noProof/>
              </w:rPr>
              <w:t>INTRODUCTION</w:t>
            </w:r>
            <w:r>
              <w:rPr>
                <w:noProof/>
                <w:webHidden/>
              </w:rPr>
              <w:tab/>
            </w:r>
            <w:r>
              <w:rPr>
                <w:noProof/>
                <w:webHidden/>
              </w:rPr>
              <w:fldChar w:fldCharType="begin"/>
            </w:r>
            <w:r>
              <w:rPr>
                <w:noProof/>
                <w:webHidden/>
              </w:rPr>
              <w:instrText xml:space="preserve"> PAGEREF _Toc68761532 \h </w:instrText>
            </w:r>
            <w:r>
              <w:rPr>
                <w:noProof/>
                <w:webHidden/>
              </w:rPr>
            </w:r>
            <w:r>
              <w:rPr>
                <w:noProof/>
                <w:webHidden/>
              </w:rPr>
              <w:fldChar w:fldCharType="separate"/>
            </w:r>
            <w:r w:rsidR="00BD510E">
              <w:rPr>
                <w:noProof/>
                <w:webHidden/>
              </w:rPr>
              <w:t>1</w:t>
            </w:r>
            <w:r>
              <w:rPr>
                <w:noProof/>
                <w:webHidden/>
              </w:rPr>
              <w:fldChar w:fldCharType="end"/>
            </w:r>
          </w:hyperlink>
        </w:p>
        <w:p w:rsidR="005E3F37" w:rsidRDefault="005E3F37" w:rsidP="008B5D5F">
          <w:pPr>
            <w:pStyle w:val="TOC2"/>
            <w:tabs>
              <w:tab w:val="left" w:pos="880"/>
              <w:tab w:val="right" w:leader="dot" w:pos="8774"/>
            </w:tabs>
            <w:rPr>
              <w:rFonts w:asciiTheme="minorHAnsi" w:eastAsiaTheme="minorEastAsia" w:hAnsiTheme="minorHAnsi" w:cstheme="minorBidi"/>
              <w:noProof/>
              <w:sz w:val="22"/>
              <w:szCs w:val="22"/>
            </w:rPr>
          </w:pPr>
          <w:hyperlink w:anchor="_Toc68761533" w:history="1">
            <w:r w:rsidRPr="00436E9A">
              <w:rPr>
                <w:rStyle w:val="Hyperlink"/>
                <w:noProof/>
              </w:rPr>
              <w:t>1.1.</w:t>
            </w:r>
            <w:r>
              <w:rPr>
                <w:rFonts w:asciiTheme="minorHAnsi" w:eastAsiaTheme="minorEastAsia" w:hAnsiTheme="minorHAnsi" w:cstheme="minorBidi"/>
                <w:noProof/>
                <w:sz w:val="22"/>
                <w:szCs w:val="22"/>
              </w:rPr>
              <w:tab/>
            </w:r>
            <w:r w:rsidRPr="00436E9A">
              <w:rPr>
                <w:rStyle w:val="Hyperlink"/>
                <w:noProof/>
              </w:rPr>
              <w:t>Background</w:t>
            </w:r>
            <w:r>
              <w:rPr>
                <w:noProof/>
                <w:webHidden/>
              </w:rPr>
              <w:tab/>
            </w:r>
            <w:r>
              <w:rPr>
                <w:noProof/>
                <w:webHidden/>
              </w:rPr>
              <w:fldChar w:fldCharType="begin"/>
            </w:r>
            <w:r>
              <w:rPr>
                <w:noProof/>
                <w:webHidden/>
              </w:rPr>
              <w:instrText xml:space="preserve"> PAGEREF _Toc68761533 \h </w:instrText>
            </w:r>
            <w:r>
              <w:rPr>
                <w:noProof/>
                <w:webHidden/>
              </w:rPr>
            </w:r>
            <w:r>
              <w:rPr>
                <w:noProof/>
                <w:webHidden/>
              </w:rPr>
              <w:fldChar w:fldCharType="separate"/>
            </w:r>
            <w:r w:rsidR="00BD510E">
              <w:rPr>
                <w:noProof/>
                <w:webHidden/>
              </w:rPr>
              <w:t>1</w:t>
            </w:r>
            <w:r>
              <w:rPr>
                <w:noProof/>
                <w:webHidden/>
              </w:rPr>
              <w:fldChar w:fldCharType="end"/>
            </w:r>
          </w:hyperlink>
        </w:p>
        <w:p w:rsidR="005E3F37" w:rsidRDefault="005E3F37" w:rsidP="008B5D5F">
          <w:pPr>
            <w:pStyle w:val="TOC2"/>
            <w:tabs>
              <w:tab w:val="left" w:pos="880"/>
              <w:tab w:val="right" w:leader="dot" w:pos="8774"/>
            </w:tabs>
            <w:rPr>
              <w:rFonts w:asciiTheme="minorHAnsi" w:eastAsiaTheme="minorEastAsia" w:hAnsiTheme="minorHAnsi" w:cstheme="minorBidi"/>
              <w:noProof/>
              <w:sz w:val="22"/>
              <w:szCs w:val="22"/>
            </w:rPr>
          </w:pPr>
          <w:hyperlink w:anchor="_Toc68761534" w:history="1">
            <w:r w:rsidRPr="00436E9A">
              <w:rPr>
                <w:rStyle w:val="Hyperlink"/>
                <w:noProof/>
              </w:rPr>
              <w:t>1.2.</w:t>
            </w:r>
            <w:r>
              <w:rPr>
                <w:rFonts w:asciiTheme="minorHAnsi" w:eastAsiaTheme="minorEastAsia" w:hAnsiTheme="minorHAnsi" w:cstheme="minorBidi"/>
                <w:noProof/>
                <w:sz w:val="22"/>
                <w:szCs w:val="22"/>
              </w:rPr>
              <w:tab/>
            </w:r>
            <w:r w:rsidRPr="00436E9A">
              <w:rPr>
                <w:rStyle w:val="Hyperlink"/>
                <w:noProof/>
              </w:rPr>
              <w:t>Statement of the Problem</w:t>
            </w:r>
            <w:r>
              <w:rPr>
                <w:noProof/>
                <w:webHidden/>
              </w:rPr>
              <w:tab/>
            </w:r>
            <w:r>
              <w:rPr>
                <w:noProof/>
                <w:webHidden/>
              </w:rPr>
              <w:fldChar w:fldCharType="begin"/>
            </w:r>
            <w:r>
              <w:rPr>
                <w:noProof/>
                <w:webHidden/>
              </w:rPr>
              <w:instrText xml:space="preserve"> PAGEREF _Toc68761534 \h </w:instrText>
            </w:r>
            <w:r>
              <w:rPr>
                <w:noProof/>
                <w:webHidden/>
              </w:rPr>
            </w:r>
            <w:r>
              <w:rPr>
                <w:noProof/>
                <w:webHidden/>
              </w:rPr>
              <w:fldChar w:fldCharType="separate"/>
            </w:r>
            <w:r w:rsidR="00BD510E">
              <w:rPr>
                <w:noProof/>
                <w:webHidden/>
              </w:rPr>
              <w:t>2</w:t>
            </w:r>
            <w:r>
              <w:rPr>
                <w:noProof/>
                <w:webHidden/>
              </w:rPr>
              <w:fldChar w:fldCharType="end"/>
            </w:r>
          </w:hyperlink>
        </w:p>
        <w:p w:rsidR="005E3F37" w:rsidRDefault="005E3F37" w:rsidP="008B5D5F">
          <w:pPr>
            <w:pStyle w:val="TOC2"/>
            <w:tabs>
              <w:tab w:val="left" w:pos="880"/>
              <w:tab w:val="right" w:leader="dot" w:pos="8774"/>
            </w:tabs>
            <w:rPr>
              <w:rFonts w:asciiTheme="minorHAnsi" w:eastAsiaTheme="minorEastAsia" w:hAnsiTheme="minorHAnsi" w:cstheme="minorBidi"/>
              <w:noProof/>
              <w:sz w:val="22"/>
              <w:szCs w:val="22"/>
            </w:rPr>
          </w:pPr>
          <w:hyperlink w:anchor="_Toc68761535" w:history="1">
            <w:r w:rsidRPr="00436E9A">
              <w:rPr>
                <w:rStyle w:val="Hyperlink"/>
                <w:noProof/>
              </w:rPr>
              <w:t>1.3.</w:t>
            </w:r>
            <w:r>
              <w:rPr>
                <w:rFonts w:asciiTheme="minorHAnsi" w:eastAsiaTheme="minorEastAsia" w:hAnsiTheme="minorHAnsi" w:cstheme="minorBidi"/>
                <w:noProof/>
                <w:sz w:val="22"/>
                <w:szCs w:val="22"/>
              </w:rPr>
              <w:tab/>
            </w:r>
            <w:r w:rsidRPr="00436E9A">
              <w:rPr>
                <w:rStyle w:val="Hyperlink"/>
                <w:noProof/>
              </w:rPr>
              <w:t>Objectives of the Study</w:t>
            </w:r>
            <w:r>
              <w:rPr>
                <w:noProof/>
                <w:webHidden/>
              </w:rPr>
              <w:tab/>
            </w:r>
            <w:r>
              <w:rPr>
                <w:noProof/>
                <w:webHidden/>
              </w:rPr>
              <w:fldChar w:fldCharType="begin"/>
            </w:r>
            <w:r>
              <w:rPr>
                <w:noProof/>
                <w:webHidden/>
              </w:rPr>
              <w:instrText xml:space="preserve"> PAGEREF _Toc68761535 \h </w:instrText>
            </w:r>
            <w:r>
              <w:rPr>
                <w:noProof/>
                <w:webHidden/>
              </w:rPr>
            </w:r>
            <w:r>
              <w:rPr>
                <w:noProof/>
                <w:webHidden/>
              </w:rPr>
              <w:fldChar w:fldCharType="separate"/>
            </w:r>
            <w:r w:rsidR="00BD510E">
              <w:rPr>
                <w:noProof/>
                <w:webHidden/>
              </w:rPr>
              <w:t>3</w:t>
            </w:r>
            <w:r>
              <w:rPr>
                <w:noProof/>
                <w:webHidden/>
              </w:rPr>
              <w:fldChar w:fldCharType="end"/>
            </w:r>
          </w:hyperlink>
        </w:p>
        <w:p w:rsidR="005E3F37" w:rsidRDefault="005E3F37" w:rsidP="008B5D5F">
          <w:pPr>
            <w:pStyle w:val="TOC3"/>
            <w:tabs>
              <w:tab w:val="left" w:pos="1320"/>
              <w:tab w:val="right" w:leader="dot" w:pos="8774"/>
            </w:tabs>
            <w:rPr>
              <w:rFonts w:asciiTheme="minorHAnsi" w:eastAsiaTheme="minorEastAsia" w:hAnsiTheme="minorHAnsi" w:cstheme="minorBidi"/>
              <w:noProof/>
              <w:sz w:val="22"/>
              <w:szCs w:val="22"/>
            </w:rPr>
          </w:pPr>
          <w:hyperlink w:anchor="_Toc68761536" w:history="1">
            <w:r w:rsidRPr="00436E9A">
              <w:rPr>
                <w:rStyle w:val="Hyperlink"/>
                <w:noProof/>
              </w:rPr>
              <w:t>1.3.1.</w:t>
            </w:r>
            <w:r>
              <w:rPr>
                <w:rFonts w:asciiTheme="minorHAnsi" w:eastAsiaTheme="minorEastAsia" w:hAnsiTheme="minorHAnsi" w:cstheme="minorBidi"/>
                <w:noProof/>
                <w:sz w:val="22"/>
                <w:szCs w:val="22"/>
              </w:rPr>
              <w:tab/>
            </w:r>
            <w:r w:rsidRPr="00436E9A">
              <w:rPr>
                <w:rStyle w:val="Hyperlink"/>
                <w:noProof/>
              </w:rPr>
              <w:t>General Objective</w:t>
            </w:r>
            <w:r>
              <w:rPr>
                <w:noProof/>
                <w:webHidden/>
              </w:rPr>
              <w:tab/>
            </w:r>
            <w:r>
              <w:rPr>
                <w:noProof/>
                <w:webHidden/>
              </w:rPr>
              <w:fldChar w:fldCharType="begin"/>
            </w:r>
            <w:r>
              <w:rPr>
                <w:noProof/>
                <w:webHidden/>
              </w:rPr>
              <w:instrText xml:space="preserve"> PAGEREF _Toc68761536 \h </w:instrText>
            </w:r>
            <w:r>
              <w:rPr>
                <w:noProof/>
                <w:webHidden/>
              </w:rPr>
            </w:r>
            <w:r>
              <w:rPr>
                <w:noProof/>
                <w:webHidden/>
              </w:rPr>
              <w:fldChar w:fldCharType="separate"/>
            </w:r>
            <w:r w:rsidR="00BD510E">
              <w:rPr>
                <w:noProof/>
                <w:webHidden/>
              </w:rPr>
              <w:t>3</w:t>
            </w:r>
            <w:r>
              <w:rPr>
                <w:noProof/>
                <w:webHidden/>
              </w:rPr>
              <w:fldChar w:fldCharType="end"/>
            </w:r>
          </w:hyperlink>
        </w:p>
        <w:p w:rsidR="005E3F37" w:rsidRDefault="005E3F37" w:rsidP="008B5D5F">
          <w:pPr>
            <w:pStyle w:val="TOC3"/>
            <w:tabs>
              <w:tab w:val="left" w:pos="1320"/>
              <w:tab w:val="right" w:leader="dot" w:pos="8774"/>
            </w:tabs>
            <w:rPr>
              <w:rFonts w:asciiTheme="minorHAnsi" w:eastAsiaTheme="minorEastAsia" w:hAnsiTheme="minorHAnsi" w:cstheme="minorBidi"/>
              <w:noProof/>
              <w:sz w:val="22"/>
              <w:szCs w:val="22"/>
            </w:rPr>
          </w:pPr>
          <w:hyperlink w:anchor="_Toc68761537" w:history="1">
            <w:r w:rsidRPr="00436E9A">
              <w:rPr>
                <w:rStyle w:val="Hyperlink"/>
                <w:noProof/>
              </w:rPr>
              <w:t>1.3.2.</w:t>
            </w:r>
            <w:r>
              <w:rPr>
                <w:rFonts w:asciiTheme="minorHAnsi" w:eastAsiaTheme="minorEastAsia" w:hAnsiTheme="minorHAnsi" w:cstheme="minorBidi"/>
                <w:noProof/>
                <w:sz w:val="22"/>
                <w:szCs w:val="22"/>
              </w:rPr>
              <w:tab/>
            </w:r>
            <w:r w:rsidRPr="00436E9A">
              <w:rPr>
                <w:rStyle w:val="Hyperlink"/>
                <w:noProof/>
              </w:rPr>
              <w:t>Specific Objectives</w:t>
            </w:r>
            <w:r>
              <w:rPr>
                <w:noProof/>
                <w:webHidden/>
              </w:rPr>
              <w:tab/>
            </w:r>
            <w:r>
              <w:rPr>
                <w:noProof/>
                <w:webHidden/>
              </w:rPr>
              <w:fldChar w:fldCharType="begin"/>
            </w:r>
            <w:r>
              <w:rPr>
                <w:noProof/>
                <w:webHidden/>
              </w:rPr>
              <w:instrText xml:space="preserve"> PAGEREF _Toc68761537 \h </w:instrText>
            </w:r>
            <w:r>
              <w:rPr>
                <w:noProof/>
                <w:webHidden/>
              </w:rPr>
            </w:r>
            <w:r>
              <w:rPr>
                <w:noProof/>
                <w:webHidden/>
              </w:rPr>
              <w:fldChar w:fldCharType="separate"/>
            </w:r>
            <w:r w:rsidR="00BD510E">
              <w:rPr>
                <w:noProof/>
                <w:webHidden/>
              </w:rPr>
              <w:t>4</w:t>
            </w:r>
            <w:r>
              <w:rPr>
                <w:noProof/>
                <w:webHidden/>
              </w:rPr>
              <w:fldChar w:fldCharType="end"/>
            </w:r>
          </w:hyperlink>
        </w:p>
        <w:p w:rsidR="005E3F37" w:rsidRDefault="005E3F37" w:rsidP="008B5D5F">
          <w:pPr>
            <w:pStyle w:val="TOC2"/>
            <w:tabs>
              <w:tab w:val="left" w:pos="880"/>
              <w:tab w:val="right" w:leader="dot" w:pos="8774"/>
            </w:tabs>
            <w:rPr>
              <w:rFonts w:asciiTheme="minorHAnsi" w:eastAsiaTheme="minorEastAsia" w:hAnsiTheme="minorHAnsi" w:cstheme="minorBidi"/>
              <w:noProof/>
              <w:sz w:val="22"/>
              <w:szCs w:val="22"/>
            </w:rPr>
          </w:pPr>
          <w:hyperlink w:anchor="_Toc68761538" w:history="1">
            <w:r w:rsidRPr="00436E9A">
              <w:rPr>
                <w:rStyle w:val="Hyperlink"/>
                <w:noProof/>
              </w:rPr>
              <w:t>1.4.</w:t>
            </w:r>
            <w:r>
              <w:rPr>
                <w:rFonts w:asciiTheme="minorHAnsi" w:eastAsiaTheme="minorEastAsia" w:hAnsiTheme="minorHAnsi" w:cstheme="minorBidi"/>
                <w:noProof/>
                <w:sz w:val="22"/>
                <w:szCs w:val="22"/>
              </w:rPr>
              <w:tab/>
            </w:r>
            <w:r w:rsidRPr="00436E9A">
              <w:rPr>
                <w:rStyle w:val="Hyperlink"/>
                <w:noProof/>
              </w:rPr>
              <w:t>Research Questions</w:t>
            </w:r>
            <w:r>
              <w:rPr>
                <w:noProof/>
                <w:webHidden/>
              </w:rPr>
              <w:tab/>
            </w:r>
            <w:r>
              <w:rPr>
                <w:noProof/>
                <w:webHidden/>
              </w:rPr>
              <w:fldChar w:fldCharType="begin"/>
            </w:r>
            <w:r>
              <w:rPr>
                <w:noProof/>
                <w:webHidden/>
              </w:rPr>
              <w:instrText xml:space="preserve"> PAGEREF _Toc68761538 \h </w:instrText>
            </w:r>
            <w:r>
              <w:rPr>
                <w:noProof/>
                <w:webHidden/>
              </w:rPr>
            </w:r>
            <w:r>
              <w:rPr>
                <w:noProof/>
                <w:webHidden/>
              </w:rPr>
              <w:fldChar w:fldCharType="separate"/>
            </w:r>
            <w:r w:rsidR="00BD510E">
              <w:rPr>
                <w:noProof/>
                <w:webHidden/>
              </w:rPr>
              <w:t>4</w:t>
            </w:r>
            <w:r>
              <w:rPr>
                <w:noProof/>
                <w:webHidden/>
              </w:rPr>
              <w:fldChar w:fldCharType="end"/>
            </w:r>
          </w:hyperlink>
        </w:p>
        <w:p w:rsidR="005E3F37" w:rsidRDefault="005E3F37" w:rsidP="008B5D5F">
          <w:pPr>
            <w:pStyle w:val="TOC2"/>
            <w:tabs>
              <w:tab w:val="left" w:pos="880"/>
              <w:tab w:val="right" w:leader="dot" w:pos="8774"/>
            </w:tabs>
            <w:rPr>
              <w:rFonts w:asciiTheme="minorHAnsi" w:eastAsiaTheme="minorEastAsia" w:hAnsiTheme="minorHAnsi" w:cstheme="minorBidi"/>
              <w:noProof/>
              <w:sz w:val="22"/>
              <w:szCs w:val="22"/>
            </w:rPr>
          </w:pPr>
          <w:hyperlink w:anchor="_Toc68761539" w:history="1">
            <w:r w:rsidRPr="00436E9A">
              <w:rPr>
                <w:rStyle w:val="Hyperlink"/>
                <w:noProof/>
              </w:rPr>
              <w:t>1.5.</w:t>
            </w:r>
            <w:r>
              <w:rPr>
                <w:rFonts w:asciiTheme="minorHAnsi" w:eastAsiaTheme="minorEastAsia" w:hAnsiTheme="minorHAnsi" w:cstheme="minorBidi"/>
                <w:noProof/>
                <w:sz w:val="22"/>
                <w:szCs w:val="22"/>
              </w:rPr>
              <w:tab/>
            </w:r>
            <w:r w:rsidRPr="00436E9A">
              <w:rPr>
                <w:rStyle w:val="Hyperlink"/>
                <w:noProof/>
              </w:rPr>
              <w:t>Significance of the Study</w:t>
            </w:r>
            <w:r>
              <w:rPr>
                <w:noProof/>
                <w:webHidden/>
              </w:rPr>
              <w:tab/>
            </w:r>
            <w:r>
              <w:rPr>
                <w:noProof/>
                <w:webHidden/>
              </w:rPr>
              <w:fldChar w:fldCharType="begin"/>
            </w:r>
            <w:r>
              <w:rPr>
                <w:noProof/>
                <w:webHidden/>
              </w:rPr>
              <w:instrText xml:space="preserve"> PAGEREF _Toc68761539 \h </w:instrText>
            </w:r>
            <w:r>
              <w:rPr>
                <w:noProof/>
                <w:webHidden/>
              </w:rPr>
            </w:r>
            <w:r>
              <w:rPr>
                <w:noProof/>
                <w:webHidden/>
              </w:rPr>
              <w:fldChar w:fldCharType="separate"/>
            </w:r>
            <w:r w:rsidR="00BD510E">
              <w:rPr>
                <w:noProof/>
                <w:webHidden/>
              </w:rPr>
              <w:t>4</w:t>
            </w:r>
            <w:r>
              <w:rPr>
                <w:noProof/>
                <w:webHidden/>
              </w:rPr>
              <w:fldChar w:fldCharType="end"/>
            </w:r>
          </w:hyperlink>
        </w:p>
        <w:p w:rsidR="005E3F37" w:rsidRDefault="005E3F37" w:rsidP="008B5D5F">
          <w:pPr>
            <w:pStyle w:val="TOC2"/>
            <w:tabs>
              <w:tab w:val="left" w:pos="880"/>
              <w:tab w:val="right" w:leader="dot" w:pos="8774"/>
            </w:tabs>
            <w:rPr>
              <w:rFonts w:asciiTheme="minorHAnsi" w:eastAsiaTheme="minorEastAsia" w:hAnsiTheme="minorHAnsi" w:cstheme="minorBidi"/>
              <w:noProof/>
              <w:sz w:val="22"/>
              <w:szCs w:val="22"/>
            </w:rPr>
          </w:pPr>
          <w:hyperlink w:anchor="_Toc68761540" w:history="1">
            <w:r w:rsidRPr="00436E9A">
              <w:rPr>
                <w:rStyle w:val="Hyperlink"/>
                <w:noProof/>
              </w:rPr>
              <w:t>1.6.</w:t>
            </w:r>
            <w:r>
              <w:rPr>
                <w:rFonts w:asciiTheme="minorHAnsi" w:eastAsiaTheme="minorEastAsia" w:hAnsiTheme="minorHAnsi" w:cstheme="minorBidi"/>
                <w:noProof/>
                <w:sz w:val="22"/>
                <w:szCs w:val="22"/>
              </w:rPr>
              <w:tab/>
            </w:r>
            <w:r w:rsidRPr="00436E9A">
              <w:rPr>
                <w:rStyle w:val="Hyperlink"/>
                <w:noProof/>
              </w:rPr>
              <w:t>Scope and limitation of the Study</w:t>
            </w:r>
            <w:r>
              <w:rPr>
                <w:noProof/>
                <w:webHidden/>
              </w:rPr>
              <w:tab/>
            </w:r>
            <w:r>
              <w:rPr>
                <w:noProof/>
                <w:webHidden/>
              </w:rPr>
              <w:fldChar w:fldCharType="begin"/>
            </w:r>
            <w:r>
              <w:rPr>
                <w:noProof/>
                <w:webHidden/>
              </w:rPr>
              <w:instrText xml:space="preserve"> PAGEREF _Toc68761540 \h </w:instrText>
            </w:r>
            <w:r>
              <w:rPr>
                <w:noProof/>
                <w:webHidden/>
              </w:rPr>
            </w:r>
            <w:r>
              <w:rPr>
                <w:noProof/>
                <w:webHidden/>
              </w:rPr>
              <w:fldChar w:fldCharType="separate"/>
            </w:r>
            <w:r w:rsidR="00BD510E">
              <w:rPr>
                <w:noProof/>
                <w:webHidden/>
              </w:rPr>
              <w:t>5</w:t>
            </w:r>
            <w:r>
              <w:rPr>
                <w:noProof/>
                <w:webHidden/>
              </w:rPr>
              <w:fldChar w:fldCharType="end"/>
            </w:r>
          </w:hyperlink>
        </w:p>
        <w:p w:rsidR="005E3F37" w:rsidRDefault="005E3F37" w:rsidP="008B5D5F">
          <w:pPr>
            <w:pStyle w:val="TOC1"/>
            <w:tabs>
              <w:tab w:val="left" w:pos="440"/>
            </w:tabs>
            <w:rPr>
              <w:rFonts w:asciiTheme="minorHAnsi" w:eastAsiaTheme="minorEastAsia" w:hAnsiTheme="minorHAnsi" w:cstheme="minorBidi"/>
              <w:noProof/>
              <w:sz w:val="22"/>
              <w:szCs w:val="22"/>
            </w:rPr>
          </w:pPr>
          <w:hyperlink w:anchor="_Toc68761541" w:history="1">
            <w:r w:rsidRPr="00436E9A">
              <w:rPr>
                <w:rStyle w:val="Hyperlink"/>
                <w:noProof/>
              </w:rPr>
              <w:t>2.</w:t>
            </w:r>
            <w:r>
              <w:rPr>
                <w:rFonts w:asciiTheme="minorHAnsi" w:eastAsiaTheme="minorEastAsia" w:hAnsiTheme="minorHAnsi" w:cstheme="minorBidi"/>
                <w:noProof/>
                <w:sz w:val="22"/>
                <w:szCs w:val="22"/>
              </w:rPr>
              <w:tab/>
            </w:r>
            <w:r w:rsidRPr="00436E9A">
              <w:rPr>
                <w:rStyle w:val="Hyperlink"/>
                <w:noProof/>
              </w:rPr>
              <w:t>LITERATURE REVIEW</w:t>
            </w:r>
            <w:r>
              <w:rPr>
                <w:noProof/>
                <w:webHidden/>
              </w:rPr>
              <w:tab/>
            </w:r>
            <w:r>
              <w:rPr>
                <w:noProof/>
                <w:webHidden/>
              </w:rPr>
              <w:fldChar w:fldCharType="begin"/>
            </w:r>
            <w:r>
              <w:rPr>
                <w:noProof/>
                <w:webHidden/>
              </w:rPr>
              <w:instrText xml:space="preserve"> PAGEREF _Toc68761541 \h </w:instrText>
            </w:r>
            <w:r>
              <w:rPr>
                <w:noProof/>
                <w:webHidden/>
              </w:rPr>
            </w:r>
            <w:r>
              <w:rPr>
                <w:noProof/>
                <w:webHidden/>
              </w:rPr>
              <w:fldChar w:fldCharType="separate"/>
            </w:r>
            <w:r w:rsidR="00BD510E">
              <w:rPr>
                <w:noProof/>
                <w:webHidden/>
              </w:rPr>
              <w:t>6</w:t>
            </w:r>
            <w:r>
              <w:rPr>
                <w:noProof/>
                <w:webHidden/>
              </w:rPr>
              <w:fldChar w:fldCharType="end"/>
            </w:r>
          </w:hyperlink>
        </w:p>
        <w:p w:rsidR="005E3F37" w:rsidRDefault="005E3F37" w:rsidP="008B5D5F">
          <w:pPr>
            <w:pStyle w:val="TOC2"/>
            <w:tabs>
              <w:tab w:val="left" w:pos="880"/>
              <w:tab w:val="right" w:leader="dot" w:pos="8774"/>
            </w:tabs>
            <w:rPr>
              <w:rFonts w:asciiTheme="minorHAnsi" w:eastAsiaTheme="minorEastAsia" w:hAnsiTheme="minorHAnsi" w:cstheme="minorBidi"/>
              <w:noProof/>
              <w:sz w:val="22"/>
              <w:szCs w:val="22"/>
            </w:rPr>
          </w:pPr>
          <w:hyperlink w:anchor="_Toc68761542" w:history="1">
            <w:r w:rsidRPr="00436E9A">
              <w:rPr>
                <w:rStyle w:val="Hyperlink"/>
                <w:noProof/>
              </w:rPr>
              <w:t>2.1.</w:t>
            </w:r>
            <w:r>
              <w:rPr>
                <w:rFonts w:asciiTheme="minorHAnsi" w:eastAsiaTheme="minorEastAsia" w:hAnsiTheme="minorHAnsi" w:cstheme="minorBidi"/>
                <w:noProof/>
                <w:sz w:val="22"/>
                <w:szCs w:val="22"/>
              </w:rPr>
              <w:tab/>
            </w:r>
            <w:r w:rsidRPr="00436E9A">
              <w:rPr>
                <w:rStyle w:val="Hyperlink"/>
                <w:noProof/>
              </w:rPr>
              <w:t>Groundwater Potential Mapping</w:t>
            </w:r>
            <w:r>
              <w:rPr>
                <w:noProof/>
                <w:webHidden/>
              </w:rPr>
              <w:tab/>
            </w:r>
            <w:r>
              <w:rPr>
                <w:noProof/>
                <w:webHidden/>
              </w:rPr>
              <w:fldChar w:fldCharType="begin"/>
            </w:r>
            <w:r>
              <w:rPr>
                <w:noProof/>
                <w:webHidden/>
              </w:rPr>
              <w:instrText xml:space="preserve"> PAGEREF _Toc68761542 \h </w:instrText>
            </w:r>
            <w:r>
              <w:rPr>
                <w:noProof/>
                <w:webHidden/>
              </w:rPr>
            </w:r>
            <w:r>
              <w:rPr>
                <w:noProof/>
                <w:webHidden/>
              </w:rPr>
              <w:fldChar w:fldCharType="separate"/>
            </w:r>
            <w:r w:rsidR="00BD510E">
              <w:rPr>
                <w:noProof/>
                <w:webHidden/>
              </w:rPr>
              <w:t>6</w:t>
            </w:r>
            <w:r>
              <w:rPr>
                <w:noProof/>
                <w:webHidden/>
              </w:rPr>
              <w:fldChar w:fldCharType="end"/>
            </w:r>
          </w:hyperlink>
        </w:p>
        <w:p w:rsidR="005E3F37" w:rsidRDefault="005E3F37" w:rsidP="008B5D5F">
          <w:pPr>
            <w:pStyle w:val="TOC3"/>
            <w:tabs>
              <w:tab w:val="left" w:pos="1320"/>
              <w:tab w:val="right" w:leader="dot" w:pos="8774"/>
            </w:tabs>
            <w:rPr>
              <w:rFonts w:asciiTheme="minorHAnsi" w:eastAsiaTheme="minorEastAsia" w:hAnsiTheme="minorHAnsi" w:cstheme="minorBidi"/>
              <w:noProof/>
              <w:sz w:val="22"/>
              <w:szCs w:val="22"/>
            </w:rPr>
          </w:pPr>
          <w:hyperlink w:anchor="_Toc68761543" w:history="1">
            <w:r w:rsidRPr="00436E9A">
              <w:rPr>
                <w:rStyle w:val="Hyperlink"/>
                <w:noProof/>
              </w:rPr>
              <w:t>2.1.1.</w:t>
            </w:r>
            <w:r>
              <w:rPr>
                <w:rFonts w:asciiTheme="minorHAnsi" w:eastAsiaTheme="minorEastAsia" w:hAnsiTheme="minorHAnsi" w:cstheme="minorBidi"/>
                <w:noProof/>
                <w:sz w:val="22"/>
                <w:szCs w:val="22"/>
              </w:rPr>
              <w:tab/>
            </w:r>
            <w:r w:rsidRPr="00436E9A">
              <w:rPr>
                <w:rStyle w:val="Hyperlink"/>
                <w:noProof/>
              </w:rPr>
              <w:t>Groundwater Potential</w:t>
            </w:r>
            <w:r>
              <w:rPr>
                <w:noProof/>
                <w:webHidden/>
              </w:rPr>
              <w:tab/>
            </w:r>
            <w:r>
              <w:rPr>
                <w:noProof/>
                <w:webHidden/>
              </w:rPr>
              <w:fldChar w:fldCharType="begin"/>
            </w:r>
            <w:r>
              <w:rPr>
                <w:noProof/>
                <w:webHidden/>
              </w:rPr>
              <w:instrText xml:space="preserve"> PAGEREF _Toc68761543 \h </w:instrText>
            </w:r>
            <w:r>
              <w:rPr>
                <w:noProof/>
                <w:webHidden/>
              </w:rPr>
            </w:r>
            <w:r>
              <w:rPr>
                <w:noProof/>
                <w:webHidden/>
              </w:rPr>
              <w:fldChar w:fldCharType="separate"/>
            </w:r>
            <w:r w:rsidR="00BD510E">
              <w:rPr>
                <w:noProof/>
                <w:webHidden/>
              </w:rPr>
              <w:t>6</w:t>
            </w:r>
            <w:r>
              <w:rPr>
                <w:noProof/>
                <w:webHidden/>
              </w:rPr>
              <w:fldChar w:fldCharType="end"/>
            </w:r>
          </w:hyperlink>
        </w:p>
        <w:p w:rsidR="005E3F37" w:rsidRDefault="005E3F37" w:rsidP="008B5D5F">
          <w:pPr>
            <w:pStyle w:val="TOC3"/>
            <w:tabs>
              <w:tab w:val="left" w:pos="1320"/>
              <w:tab w:val="right" w:leader="dot" w:pos="8774"/>
            </w:tabs>
            <w:rPr>
              <w:rFonts w:asciiTheme="minorHAnsi" w:eastAsiaTheme="minorEastAsia" w:hAnsiTheme="minorHAnsi" w:cstheme="minorBidi"/>
              <w:noProof/>
              <w:sz w:val="22"/>
              <w:szCs w:val="22"/>
            </w:rPr>
          </w:pPr>
          <w:hyperlink w:anchor="_Toc68761544" w:history="1">
            <w:r w:rsidRPr="00436E9A">
              <w:rPr>
                <w:rStyle w:val="Hyperlink"/>
                <w:noProof/>
              </w:rPr>
              <w:t>2.1.2.</w:t>
            </w:r>
            <w:r>
              <w:rPr>
                <w:rFonts w:asciiTheme="minorHAnsi" w:eastAsiaTheme="minorEastAsia" w:hAnsiTheme="minorHAnsi" w:cstheme="minorBidi"/>
                <w:noProof/>
                <w:sz w:val="22"/>
                <w:szCs w:val="22"/>
              </w:rPr>
              <w:tab/>
            </w:r>
            <w:r w:rsidRPr="00436E9A">
              <w:rPr>
                <w:rStyle w:val="Hyperlink"/>
                <w:noProof/>
              </w:rPr>
              <w:t>Groundwater Potential of Ethiopia</w:t>
            </w:r>
            <w:r>
              <w:rPr>
                <w:noProof/>
                <w:webHidden/>
              </w:rPr>
              <w:tab/>
            </w:r>
            <w:r>
              <w:rPr>
                <w:noProof/>
                <w:webHidden/>
              </w:rPr>
              <w:fldChar w:fldCharType="begin"/>
            </w:r>
            <w:r>
              <w:rPr>
                <w:noProof/>
                <w:webHidden/>
              </w:rPr>
              <w:instrText xml:space="preserve"> PAGEREF _Toc68761544 \h </w:instrText>
            </w:r>
            <w:r>
              <w:rPr>
                <w:noProof/>
                <w:webHidden/>
              </w:rPr>
            </w:r>
            <w:r>
              <w:rPr>
                <w:noProof/>
                <w:webHidden/>
              </w:rPr>
              <w:fldChar w:fldCharType="separate"/>
            </w:r>
            <w:r w:rsidR="00BD510E">
              <w:rPr>
                <w:noProof/>
                <w:webHidden/>
              </w:rPr>
              <w:t>6</w:t>
            </w:r>
            <w:r>
              <w:rPr>
                <w:noProof/>
                <w:webHidden/>
              </w:rPr>
              <w:fldChar w:fldCharType="end"/>
            </w:r>
          </w:hyperlink>
        </w:p>
        <w:p w:rsidR="005E3F37" w:rsidRDefault="005E3F37" w:rsidP="008B5D5F">
          <w:pPr>
            <w:pStyle w:val="TOC3"/>
            <w:tabs>
              <w:tab w:val="left" w:pos="1320"/>
              <w:tab w:val="right" w:leader="dot" w:pos="8774"/>
            </w:tabs>
            <w:rPr>
              <w:rFonts w:asciiTheme="minorHAnsi" w:eastAsiaTheme="minorEastAsia" w:hAnsiTheme="minorHAnsi" w:cstheme="minorBidi"/>
              <w:noProof/>
              <w:sz w:val="22"/>
              <w:szCs w:val="22"/>
            </w:rPr>
          </w:pPr>
          <w:hyperlink w:anchor="_Toc68761545" w:history="1">
            <w:r w:rsidRPr="00436E9A">
              <w:rPr>
                <w:rStyle w:val="Hyperlink"/>
                <w:noProof/>
              </w:rPr>
              <w:t>2.1.3.</w:t>
            </w:r>
            <w:r>
              <w:rPr>
                <w:rFonts w:asciiTheme="minorHAnsi" w:eastAsiaTheme="minorEastAsia" w:hAnsiTheme="minorHAnsi" w:cstheme="minorBidi"/>
                <w:noProof/>
                <w:sz w:val="22"/>
                <w:szCs w:val="22"/>
              </w:rPr>
              <w:tab/>
            </w:r>
            <w:r w:rsidRPr="00436E9A">
              <w:rPr>
                <w:rStyle w:val="Hyperlink"/>
                <w:noProof/>
              </w:rPr>
              <w:t>Groundwater Assessment Methodology</w:t>
            </w:r>
            <w:r>
              <w:rPr>
                <w:noProof/>
                <w:webHidden/>
              </w:rPr>
              <w:tab/>
            </w:r>
            <w:r>
              <w:rPr>
                <w:noProof/>
                <w:webHidden/>
              </w:rPr>
              <w:fldChar w:fldCharType="begin"/>
            </w:r>
            <w:r>
              <w:rPr>
                <w:noProof/>
                <w:webHidden/>
              </w:rPr>
              <w:instrText xml:space="preserve"> PAGEREF _Toc68761545 \h </w:instrText>
            </w:r>
            <w:r>
              <w:rPr>
                <w:noProof/>
                <w:webHidden/>
              </w:rPr>
            </w:r>
            <w:r>
              <w:rPr>
                <w:noProof/>
                <w:webHidden/>
              </w:rPr>
              <w:fldChar w:fldCharType="separate"/>
            </w:r>
            <w:r w:rsidR="00BD510E">
              <w:rPr>
                <w:noProof/>
                <w:webHidden/>
              </w:rPr>
              <w:t>7</w:t>
            </w:r>
            <w:r>
              <w:rPr>
                <w:noProof/>
                <w:webHidden/>
              </w:rPr>
              <w:fldChar w:fldCharType="end"/>
            </w:r>
          </w:hyperlink>
        </w:p>
        <w:p w:rsidR="005E3F37" w:rsidRDefault="005E3F37" w:rsidP="008B5D5F">
          <w:pPr>
            <w:pStyle w:val="TOC3"/>
            <w:tabs>
              <w:tab w:val="left" w:pos="1320"/>
              <w:tab w:val="right" w:leader="dot" w:pos="8774"/>
            </w:tabs>
            <w:rPr>
              <w:rFonts w:asciiTheme="minorHAnsi" w:eastAsiaTheme="minorEastAsia" w:hAnsiTheme="minorHAnsi" w:cstheme="minorBidi"/>
              <w:noProof/>
              <w:sz w:val="22"/>
              <w:szCs w:val="22"/>
            </w:rPr>
          </w:pPr>
          <w:hyperlink w:anchor="_Toc68761546" w:history="1">
            <w:r w:rsidRPr="00436E9A">
              <w:rPr>
                <w:rStyle w:val="Hyperlink"/>
                <w:noProof/>
              </w:rPr>
              <w:t>2.1.4.</w:t>
            </w:r>
            <w:r>
              <w:rPr>
                <w:rFonts w:asciiTheme="minorHAnsi" w:eastAsiaTheme="minorEastAsia" w:hAnsiTheme="minorHAnsi" w:cstheme="minorBidi"/>
                <w:noProof/>
                <w:sz w:val="22"/>
                <w:szCs w:val="22"/>
              </w:rPr>
              <w:tab/>
            </w:r>
            <w:r w:rsidRPr="00436E9A">
              <w:rPr>
                <w:rStyle w:val="Hyperlink"/>
                <w:noProof/>
              </w:rPr>
              <w:t>Groundwater Potential Mapping using GIS and Remote Sensing</w:t>
            </w:r>
            <w:r>
              <w:rPr>
                <w:noProof/>
                <w:webHidden/>
              </w:rPr>
              <w:tab/>
            </w:r>
            <w:r>
              <w:rPr>
                <w:noProof/>
                <w:webHidden/>
              </w:rPr>
              <w:fldChar w:fldCharType="begin"/>
            </w:r>
            <w:r>
              <w:rPr>
                <w:noProof/>
                <w:webHidden/>
              </w:rPr>
              <w:instrText xml:space="preserve"> PAGEREF _Toc68761546 \h </w:instrText>
            </w:r>
            <w:r>
              <w:rPr>
                <w:noProof/>
                <w:webHidden/>
              </w:rPr>
            </w:r>
            <w:r>
              <w:rPr>
                <w:noProof/>
                <w:webHidden/>
              </w:rPr>
              <w:fldChar w:fldCharType="separate"/>
            </w:r>
            <w:r w:rsidR="00BD510E">
              <w:rPr>
                <w:noProof/>
                <w:webHidden/>
              </w:rPr>
              <w:t>15</w:t>
            </w:r>
            <w:r>
              <w:rPr>
                <w:noProof/>
                <w:webHidden/>
              </w:rPr>
              <w:fldChar w:fldCharType="end"/>
            </w:r>
          </w:hyperlink>
        </w:p>
        <w:p w:rsidR="005E3F37" w:rsidRDefault="005E3F37" w:rsidP="008B5D5F">
          <w:pPr>
            <w:pStyle w:val="TOC3"/>
            <w:tabs>
              <w:tab w:val="left" w:pos="1320"/>
              <w:tab w:val="right" w:leader="dot" w:pos="8774"/>
            </w:tabs>
            <w:rPr>
              <w:rFonts w:asciiTheme="minorHAnsi" w:eastAsiaTheme="minorEastAsia" w:hAnsiTheme="minorHAnsi" w:cstheme="minorBidi"/>
              <w:noProof/>
              <w:sz w:val="22"/>
              <w:szCs w:val="22"/>
            </w:rPr>
          </w:pPr>
          <w:hyperlink w:anchor="_Toc68761547" w:history="1">
            <w:r w:rsidRPr="00436E9A">
              <w:rPr>
                <w:rStyle w:val="Hyperlink"/>
                <w:noProof/>
              </w:rPr>
              <w:t>2.1.5.</w:t>
            </w:r>
            <w:r>
              <w:rPr>
                <w:rFonts w:asciiTheme="minorHAnsi" w:eastAsiaTheme="minorEastAsia" w:hAnsiTheme="minorHAnsi" w:cstheme="minorBidi"/>
                <w:noProof/>
                <w:sz w:val="22"/>
                <w:szCs w:val="22"/>
              </w:rPr>
              <w:tab/>
            </w:r>
            <w:r w:rsidRPr="00436E9A">
              <w:rPr>
                <w:rStyle w:val="Hyperlink"/>
                <w:noProof/>
              </w:rPr>
              <w:t>Factors Influencing Groundwater Potential</w:t>
            </w:r>
            <w:r>
              <w:rPr>
                <w:noProof/>
                <w:webHidden/>
              </w:rPr>
              <w:tab/>
            </w:r>
            <w:r>
              <w:rPr>
                <w:noProof/>
                <w:webHidden/>
              </w:rPr>
              <w:fldChar w:fldCharType="begin"/>
            </w:r>
            <w:r>
              <w:rPr>
                <w:noProof/>
                <w:webHidden/>
              </w:rPr>
              <w:instrText xml:space="preserve"> PAGEREF _Toc68761547 \h </w:instrText>
            </w:r>
            <w:r>
              <w:rPr>
                <w:noProof/>
                <w:webHidden/>
              </w:rPr>
            </w:r>
            <w:r>
              <w:rPr>
                <w:noProof/>
                <w:webHidden/>
              </w:rPr>
              <w:fldChar w:fldCharType="separate"/>
            </w:r>
            <w:r w:rsidR="00BD510E">
              <w:rPr>
                <w:noProof/>
                <w:webHidden/>
              </w:rPr>
              <w:t>16</w:t>
            </w:r>
            <w:r>
              <w:rPr>
                <w:noProof/>
                <w:webHidden/>
              </w:rPr>
              <w:fldChar w:fldCharType="end"/>
            </w:r>
          </w:hyperlink>
        </w:p>
        <w:p w:rsidR="005E3F37" w:rsidRDefault="005E3F37" w:rsidP="008B5D5F">
          <w:pPr>
            <w:pStyle w:val="TOC2"/>
            <w:tabs>
              <w:tab w:val="left" w:pos="880"/>
              <w:tab w:val="right" w:leader="dot" w:pos="8774"/>
            </w:tabs>
            <w:rPr>
              <w:rFonts w:asciiTheme="minorHAnsi" w:eastAsiaTheme="minorEastAsia" w:hAnsiTheme="minorHAnsi" w:cstheme="minorBidi"/>
              <w:noProof/>
              <w:sz w:val="22"/>
              <w:szCs w:val="22"/>
            </w:rPr>
          </w:pPr>
          <w:hyperlink w:anchor="_Toc68761548" w:history="1">
            <w:r w:rsidRPr="00436E9A">
              <w:rPr>
                <w:rStyle w:val="Hyperlink"/>
                <w:noProof/>
              </w:rPr>
              <w:t>2.2.</w:t>
            </w:r>
            <w:r>
              <w:rPr>
                <w:rFonts w:asciiTheme="minorHAnsi" w:eastAsiaTheme="minorEastAsia" w:hAnsiTheme="minorHAnsi" w:cstheme="minorBidi"/>
                <w:noProof/>
                <w:sz w:val="22"/>
                <w:szCs w:val="22"/>
              </w:rPr>
              <w:tab/>
            </w:r>
            <w:r w:rsidRPr="00436E9A">
              <w:rPr>
                <w:rStyle w:val="Hyperlink"/>
                <w:noProof/>
              </w:rPr>
              <w:t>AHP and its Application for Groundwater Potential Zone Mapping</w:t>
            </w:r>
            <w:r>
              <w:rPr>
                <w:noProof/>
                <w:webHidden/>
              </w:rPr>
              <w:tab/>
            </w:r>
            <w:r>
              <w:rPr>
                <w:noProof/>
                <w:webHidden/>
              </w:rPr>
              <w:fldChar w:fldCharType="begin"/>
            </w:r>
            <w:r>
              <w:rPr>
                <w:noProof/>
                <w:webHidden/>
              </w:rPr>
              <w:instrText xml:space="preserve"> PAGEREF _Toc68761548 \h </w:instrText>
            </w:r>
            <w:r>
              <w:rPr>
                <w:noProof/>
                <w:webHidden/>
              </w:rPr>
            </w:r>
            <w:r>
              <w:rPr>
                <w:noProof/>
                <w:webHidden/>
              </w:rPr>
              <w:fldChar w:fldCharType="separate"/>
            </w:r>
            <w:r w:rsidR="00BD510E">
              <w:rPr>
                <w:noProof/>
                <w:webHidden/>
              </w:rPr>
              <w:t>22</w:t>
            </w:r>
            <w:r>
              <w:rPr>
                <w:noProof/>
                <w:webHidden/>
              </w:rPr>
              <w:fldChar w:fldCharType="end"/>
            </w:r>
          </w:hyperlink>
        </w:p>
        <w:p w:rsidR="005E3F37" w:rsidRDefault="005E3F37" w:rsidP="008B5D5F">
          <w:pPr>
            <w:pStyle w:val="TOC2"/>
            <w:tabs>
              <w:tab w:val="left" w:pos="880"/>
              <w:tab w:val="right" w:leader="dot" w:pos="8774"/>
            </w:tabs>
            <w:rPr>
              <w:rFonts w:asciiTheme="minorHAnsi" w:eastAsiaTheme="minorEastAsia" w:hAnsiTheme="minorHAnsi" w:cstheme="minorBidi"/>
              <w:noProof/>
              <w:sz w:val="22"/>
              <w:szCs w:val="22"/>
            </w:rPr>
          </w:pPr>
          <w:hyperlink w:anchor="_Toc68761549" w:history="1">
            <w:r w:rsidRPr="00436E9A">
              <w:rPr>
                <w:rStyle w:val="Hyperlink"/>
                <w:noProof/>
              </w:rPr>
              <w:t>2.3.</w:t>
            </w:r>
            <w:r>
              <w:rPr>
                <w:rFonts w:asciiTheme="minorHAnsi" w:eastAsiaTheme="minorEastAsia" w:hAnsiTheme="minorHAnsi" w:cstheme="minorBidi"/>
                <w:noProof/>
                <w:sz w:val="22"/>
                <w:szCs w:val="22"/>
              </w:rPr>
              <w:tab/>
            </w:r>
            <w:r w:rsidRPr="00436E9A">
              <w:rPr>
                <w:rStyle w:val="Hyperlink"/>
                <w:noProof/>
              </w:rPr>
              <w:t>Groundwater Flow Direction</w:t>
            </w:r>
            <w:r>
              <w:rPr>
                <w:noProof/>
                <w:webHidden/>
              </w:rPr>
              <w:tab/>
            </w:r>
            <w:r>
              <w:rPr>
                <w:noProof/>
                <w:webHidden/>
              </w:rPr>
              <w:fldChar w:fldCharType="begin"/>
            </w:r>
            <w:r>
              <w:rPr>
                <w:noProof/>
                <w:webHidden/>
              </w:rPr>
              <w:instrText xml:space="preserve"> PAGEREF _Toc68761549 \h </w:instrText>
            </w:r>
            <w:r>
              <w:rPr>
                <w:noProof/>
                <w:webHidden/>
              </w:rPr>
            </w:r>
            <w:r>
              <w:rPr>
                <w:noProof/>
                <w:webHidden/>
              </w:rPr>
              <w:fldChar w:fldCharType="separate"/>
            </w:r>
            <w:r w:rsidR="00BD510E">
              <w:rPr>
                <w:noProof/>
                <w:webHidden/>
              </w:rPr>
              <w:t>23</w:t>
            </w:r>
            <w:r>
              <w:rPr>
                <w:noProof/>
                <w:webHidden/>
              </w:rPr>
              <w:fldChar w:fldCharType="end"/>
            </w:r>
          </w:hyperlink>
        </w:p>
        <w:p w:rsidR="005E3F37" w:rsidRDefault="005E3F37" w:rsidP="008B5D5F">
          <w:pPr>
            <w:pStyle w:val="TOC2"/>
            <w:tabs>
              <w:tab w:val="left" w:pos="880"/>
              <w:tab w:val="right" w:leader="dot" w:pos="8774"/>
            </w:tabs>
            <w:rPr>
              <w:rFonts w:asciiTheme="minorHAnsi" w:eastAsiaTheme="minorEastAsia" w:hAnsiTheme="minorHAnsi" w:cstheme="minorBidi"/>
              <w:noProof/>
              <w:sz w:val="22"/>
              <w:szCs w:val="22"/>
            </w:rPr>
          </w:pPr>
          <w:hyperlink w:anchor="_Toc68761550" w:history="1">
            <w:r w:rsidRPr="00436E9A">
              <w:rPr>
                <w:rStyle w:val="Hyperlink"/>
                <w:noProof/>
              </w:rPr>
              <w:t>2.4.</w:t>
            </w:r>
            <w:r>
              <w:rPr>
                <w:rFonts w:asciiTheme="minorHAnsi" w:eastAsiaTheme="minorEastAsia" w:hAnsiTheme="minorHAnsi" w:cstheme="minorBidi"/>
                <w:noProof/>
                <w:sz w:val="22"/>
                <w:szCs w:val="22"/>
              </w:rPr>
              <w:tab/>
            </w:r>
            <w:r w:rsidRPr="00436E9A">
              <w:rPr>
                <w:rStyle w:val="Hyperlink"/>
                <w:noProof/>
              </w:rPr>
              <w:t>Overview of the Tools Used for the Study</w:t>
            </w:r>
            <w:r>
              <w:rPr>
                <w:noProof/>
                <w:webHidden/>
              </w:rPr>
              <w:tab/>
            </w:r>
            <w:r>
              <w:rPr>
                <w:noProof/>
                <w:webHidden/>
              </w:rPr>
              <w:fldChar w:fldCharType="begin"/>
            </w:r>
            <w:r>
              <w:rPr>
                <w:noProof/>
                <w:webHidden/>
              </w:rPr>
              <w:instrText xml:space="preserve"> PAGEREF _Toc68761550 \h </w:instrText>
            </w:r>
            <w:r>
              <w:rPr>
                <w:noProof/>
                <w:webHidden/>
              </w:rPr>
            </w:r>
            <w:r>
              <w:rPr>
                <w:noProof/>
                <w:webHidden/>
              </w:rPr>
              <w:fldChar w:fldCharType="separate"/>
            </w:r>
            <w:r w:rsidR="00BD510E">
              <w:rPr>
                <w:noProof/>
                <w:webHidden/>
              </w:rPr>
              <w:t>23</w:t>
            </w:r>
            <w:r>
              <w:rPr>
                <w:noProof/>
                <w:webHidden/>
              </w:rPr>
              <w:fldChar w:fldCharType="end"/>
            </w:r>
          </w:hyperlink>
        </w:p>
        <w:p w:rsidR="005E3F37" w:rsidRDefault="005E3F37" w:rsidP="008B5D5F">
          <w:pPr>
            <w:pStyle w:val="TOC3"/>
            <w:tabs>
              <w:tab w:val="left" w:pos="1320"/>
              <w:tab w:val="right" w:leader="dot" w:pos="8774"/>
            </w:tabs>
            <w:rPr>
              <w:rFonts w:asciiTheme="minorHAnsi" w:eastAsiaTheme="minorEastAsia" w:hAnsiTheme="minorHAnsi" w:cstheme="minorBidi"/>
              <w:noProof/>
              <w:sz w:val="22"/>
              <w:szCs w:val="22"/>
            </w:rPr>
          </w:pPr>
          <w:hyperlink w:anchor="_Toc68761551" w:history="1">
            <w:r w:rsidRPr="00436E9A">
              <w:rPr>
                <w:rStyle w:val="Hyperlink"/>
                <w:noProof/>
              </w:rPr>
              <w:t>2.4.1.</w:t>
            </w:r>
            <w:r>
              <w:rPr>
                <w:rFonts w:asciiTheme="minorHAnsi" w:eastAsiaTheme="minorEastAsia" w:hAnsiTheme="minorHAnsi" w:cstheme="minorBidi"/>
                <w:noProof/>
                <w:sz w:val="22"/>
                <w:szCs w:val="22"/>
              </w:rPr>
              <w:tab/>
            </w:r>
            <w:r w:rsidRPr="00436E9A">
              <w:rPr>
                <w:rStyle w:val="Hyperlink"/>
                <w:noProof/>
              </w:rPr>
              <w:t>Geographic Information System (GIS) and Remote Sensing (RS)</w:t>
            </w:r>
            <w:r>
              <w:rPr>
                <w:noProof/>
                <w:webHidden/>
              </w:rPr>
              <w:tab/>
            </w:r>
            <w:r>
              <w:rPr>
                <w:noProof/>
                <w:webHidden/>
              </w:rPr>
              <w:fldChar w:fldCharType="begin"/>
            </w:r>
            <w:r>
              <w:rPr>
                <w:noProof/>
                <w:webHidden/>
              </w:rPr>
              <w:instrText xml:space="preserve"> PAGEREF _Toc68761551 \h </w:instrText>
            </w:r>
            <w:r>
              <w:rPr>
                <w:noProof/>
                <w:webHidden/>
              </w:rPr>
            </w:r>
            <w:r>
              <w:rPr>
                <w:noProof/>
                <w:webHidden/>
              </w:rPr>
              <w:fldChar w:fldCharType="separate"/>
            </w:r>
            <w:r w:rsidR="00BD510E">
              <w:rPr>
                <w:noProof/>
                <w:webHidden/>
              </w:rPr>
              <w:t>24</w:t>
            </w:r>
            <w:r>
              <w:rPr>
                <w:noProof/>
                <w:webHidden/>
              </w:rPr>
              <w:fldChar w:fldCharType="end"/>
            </w:r>
          </w:hyperlink>
        </w:p>
        <w:p w:rsidR="005E3F37" w:rsidRDefault="005E3F37" w:rsidP="008B5D5F">
          <w:pPr>
            <w:pStyle w:val="TOC3"/>
            <w:tabs>
              <w:tab w:val="left" w:pos="1320"/>
              <w:tab w:val="right" w:leader="dot" w:pos="8774"/>
            </w:tabs>
            <w:rPr>
              <w:rFonts w:asciiTheme="minorHAnsi" w:eastAsiaTheme="minorEastAsia" w:hAnsiTheme="minorHAnsi" w:cstheme="minorBidi"/>
              <w:noProof/>
              <w:sz w:val="22"/>
              <w:szCs w:val="22"/>
            </w:rPr>
          </w:pPr>
          <w:hyperlink w:anchor="_Toc68761552" w:history="1">
            <w:r w:rsidRPr="00436E9A">
              <w:rPr>
                <w:rStyle w:val="Hyperlink"/>
                <w:noProof/>
              </w:rPr>
              <w:t>2.4.2.</w:t>
            </w:r>
            <w:r>
              <w:rPr>
                <w:rFonts w:asciiTheme="minorHAnsi" w:eastAsiaTheme="minorEastAsia" w:hAnsiTheme="minorHAnsi" w:cstheme="minorBidi"/>
                <w:noProof/>
                <w:sz w:val="22"/>
                <w:szCs w:val="22"/>
              </w:rPr>
              <w:tab/>
            </w:r>
            <w:r w:rsidRPr="00436E9A">
              <w:rPr>
                <w:rStyle w:val="Hyperlink"/>
                <w:noProof/>
              </w:rPr>
              <w:t>ERDAS-Imagine</w:t>
            </w:r>
            <w:r>
              <w:rPr>
                <w:noProof/>
                <w:webHidden/>
              </w:rPr>
              <w:tab/>
            </w:r>
            <w:r>
              <w:rPr>
                <w:noProof/>
                <w:webHidden/>
              </w:rPr>
              <w:fldChar w:fldCharType="begin"/>
            </w:r>
            <w:r>
              <w:rPr>
                <w:noProof/>
                <w:webHidden/>
              </w:rPr>
              <w:instrText xml:space="preserve"> PAGEREF _Toc68761552 \h </w:instrText>
            </w:r>
            <w:r>
              <w:rPr>
                <w:noProof/>
                <w:webHidden/>
              </w:rPr>
            </w:r>
            <w:r>
              <w:rPr>
                <w:noProof/>
                <w:webHidden/>
              </w:rPr>
              <w:fldChar w:fldCharType="separate"/>
            </w:r>
            <w:r w:rsidR="00BD510E">
              <w:rPr>
                <w:noProof/>
                <w:webHidden/>
              </w:rPr>
              <w:t>24</w:t>
            </w:r>
            <w:r>
              <w:rPr>
                <w:noProof/>
                <w:webHidden/>
              </w:rPr>
              <w:fldChar w:fldCharType="end"/>
            </w:r>
          </w:hyperlink>
        </w:p>
        <w:p w:rsidR="005E3F37" w:rsidRDefault="005E3F37" w:rsidP="008B5D5F">
          <w:pPr>
            <w:pStyle w:val="TOC3"/>
            <w:tabs>
              <w:tab w:val="left" w:pos="1320"/>
              <w:tab w:val="right" w:leader="dot" w:pos="8774"/>
            </w:tabs>
            <w:rPr>
              <w:rFonts w:asciiTheme="minorHAnsi" w:eastAsiaTheme="minorEastAsia" w:hAnsiTheme="minorHAnsi" w:cstheme="minorBidi"/>
              <w:noProof/>
              <w:sz w:val="22"/>
              <w:szCs w:val="22"/>
            </w:rPr>
          </w:pPr>
          <w:hyperlink w:anchor="_Toc68761553" w:history="1">
            <w:r w:rsidRPr="00436E9A">
              <w:rPr>
                <w:rStyle w:val="Hyperlink"/>
                <w:noProof/>
              </w:rPr>
              <w:t>2.4.3.</w:t>
            </w:r>
            <w:r>
              <w:rPr>
                <w:rFonts w:asciiTheme="minorHAnsi" w:eastAsiaTheme="minorEastAsia" w:hAnsiTheme="minorHAnsi" w:cstheme="minorBidi"/>
                <w:noProof/>
                <w:sz w:val="22"/>
                <w:szCs w:val="22"/>
              </w:rPr>
              <w:tab/>
            </w:r>
            <w:r w:rsidRPr="00436E9A">
              <w:rPr>
                <w:rStyle w:val="Hyperlink"/>
                <w:noProof/>
              </w:rPr>
              <w:t>PCI Geomatics</w:t>
            </w:r>
            <w:r>
              <w:rPr>
                <w:noProof/>
                <w:webHidden/>
              </w:rPr>
              <w:tab/>
            </w:r>
            <w:r>
              <w:rPr>
                <w:noProof/>
                <w:webHidden/>
              </w:rPr>
              <w:fldChar w:fldCharType="begin"/>
            </w:r>
            <w:r>
              <w:rPr>
                <w:noProof/>
                <w:webHidden/>
              </w:rPr>
              <w:instrText xml:space="preserve"> PAGEREF _Toc68761553 \h </w:instrText>
            </w:r>
            <w:r>
              <w:rPr>
                <w:noProof/>
                <w:webHidden/>
              </w:rPr>
            </w:r>
            <w:r>
              <w:rPr>
                <w:noProof/>
                <w:webHidden/>
              </w:rPr>
              <w:fldChar w:fldCharType="separate"/>
            </w:r>
            <w:r w:rsidR="00BD510E">
              <w:rPr>
                <w:noProof/>
                <w:webHidden/>
              </w:rPr>
              <w:t>25</w:t>
            </w:r>
            <w:r>
              <w:rPr>
                <w:noProof/>
                <w:webHidden/>
              </w:rPr>
              <w:fldChar w:fldCharType="end"/>
            </w:r>
          </w:hyperlink>
        </w:p>
        <w:p w:rsidR="005E3F37" w:rsidRDefault="005E3F37" w:rsidP="008B5D5F">
          <w:pPr>
            <w:pStyle w:val="TOC3"/>
            <w:tabs>
              <w:tab w:val="left" w:pos="1320"/>
              <w:tab w:val="right" w:leader="dot" w:pos="8774"/>
            </w:tabs>
            <w:rPr>
              <w:rFonts w:asciiTheme="minorHAnsi" w:eastAsiaTheme="minorEastAsia" w:hAnsiTheme="minorHAnsi" w:cstheme="minorBidi"/>
              <w:noProof/>
              <w:sz w:val="22"/>
              <w:szCs w:val="22"/>
            </w:rPr>
          </w:pPr>
          <w:hyperlink w:anchor="_Toc68761554" w:history="1">
            <w:r w:rsidRPr="00436E9A">
              <w:rPr>
                <w:rStyle w:val="Hyperlink"/>
                <w:noProof/>
              </w:rPr>
              <w:t>2.4.4.</w:t>
            </w:r>
            <w:r>
              <w:rPr>
                <w:rFonts w:asciiTheme="minorHAnsi" w:eastAsiaTheme="minorEastAsia" w:hAnsiTheme="minorHAnsi" w:cstheme="minorBidi"/>
                <w:noProof/>
                <w:sz w:val="22"/>
                <w:szCs w:val="22"/>
              </w:rPr>
              <w:tab/>
            </w:r>
            <w:r w:rsidRPr="00436E9A">
              <w:rPr>
                <w:rStyle w:val="Hyperlink"/>
                <w:noProof/>
              </w:rPr>
              <w:t>Rockworks16</w:t>
            </w:r>
            <w:r>
              <w:rPr>
                <w:noProof/>
                <w:webHidden/>
              </w:rPr>
              <w:tab/>
            </w:r>
            <w:r>
              <w:rPr>
                <w:noProof/>
                <w:webHidden/>
              </w:rPr>
              <w:fldChar w:fldCharType="begin"/>
            </w:r>
            <w:r>
              <w:rPr>
                <w:noProof/>
                <w:webHidden/>
              </w:rPr>
              <w:instrText xml:space="preserve"> PAGEREF _Toc68761554 \h </w:instrText>
            </w:r>
            <w:r>
              <w:rPr>
                <w:noProof/>
                <w:webHidden/>
              </w:rPr>
            </w:r>
            <w:r>
              <w:rPr>
                <w:noProof/>
                <w:webHidden/>
              </w:rPr>
              <w:fldChar w:fldCharType="separate"/>
            </w:r>
            <w:r w:rsidR="00BD510E">
              <w:rPr>
                <w:noProof/>
                <w:webHidden/>
              </w:rPr>
              <w:t>25</w:t>
            </w:r>
            <w:r>
              <w:rPr>
                <w:noProof/>
                <w:webHidden/>
              </w:rPr>
              <w:fldChar w:fldCharType="end"/>
            </w:r>
          </w:hyperlink>
        </w:p>
        <w:p w:rsidR="005E3F37" w:rsidRDefault="005E3F37" w:rsidP="008B5D5F">
          <w:pPr>
            <w:pStyle w:val="TOC3"/>
            <w:tabs>
              <w:tab w:val="left" w:pos="1320"/>
              <w:tab w:val="right" w:leader="dot" w:pos="8774"/>
            </w:tabs>
            <w:rPr>
              <w:rFonts w:asciiTheme="minorHAnsi" w:eastAsiaTheme="minorEastAsia" w:hAnsiTheme="minorHAnsi" w:cstheme="minorBidi"/>
              <w:noProof/>
              <w:sz w:val="22"/>
              <w:szCs w:val="22"/>
            </w:rPr>
          </w:pPr>
          <w:hyperlink w:anchor="_Toc68761555" w:history="1">
            <w:r w:rsidRPr="00436E9A">
              <w:rPr>
                <w:rStyle w:val="Hyperlink"/>
                <w:noProof/>
              </w:rPr>
              <w:t>2.4.5.</w:t>
            </w:r>
            <w:r>
              <w:rPr>
                <w:rFonts w:asciiTheme="minorHAnsi" w:eastAsiaTheme="minorEastAsia" w:hAnsiTheme="minorHAnsi" w:cstheme="minorBidi"/>
                <w:noProof/>
                <w:sz w:val="22"/>
                <w:szCs w:val="22"/>
              </w:rPr>
              <w:tab/>
            </w:r>
            <w:r w:rsidRPr="00436E9A">
              <w:rPr>
                <w:rStyle w:val="Hyperlink"/>
                <w:noProof/>
              </w:rPr>
              <w:t>System for Automated Geoscientific Analysis (SAGA) GIS</w:t>
            </w:r>
            <w:r>
              <w:rPr>
                <w:noProof/>
                <w:webHidden/>
              </w:rPr>
              <w:tab/>
            </w:r>
            <w:r>
              <w:rPr>
                <w:noProof/>
                <w:webHidden/>
              </w:rPr>
              <w:fldChar w:fldCharType="begin"/>
            </w:r>
            <w:r>
              <w:rPr>
                <w:noProof/>
                <w:webHidden/>
              </w:rPr>
              <w:instrText xml:space="preserve"> PAGEREF _Toc68761555 \h </w:instrText>
            </w:r>
            <w:r>
              <w:rPr>
                <w:noProof/>
                <w:webHidden/>
              </w:rPr>
            </w:r>
            <w:r>
              <w:rPr>
                <w:noProof/>
                <w:webHidden/>
              </w:rPr>
              <w:fldChar w:fldCharType="separate"/>
            </w:r>
            <w:r w:rsidR="00BD510E">
              <w:rPr>
                <w:noProof/>
                <w:webHidden/>
              </w:rPr>
              <w:t>25</w:t>
            </w:r>
            <w:r>
              <w:rPr>
                <w:noProof/>
                <w:webHidden/>
              </w:rPr>
              <w:fldChar w:fldCharType="end"/>
            </w:r>
          </w:hyperlink>
        </w:p>
        <w:p w:rsidR="005E3F37" w:rsidRDefault="005E3F37" w:rsidP="008B5D5F">
          <w:pPr>
            <w:pStyle w:val="TOC3"/>
            <w:tabs>
              <w:tab w:val="left" w:pos="1320"/>
              <w:tab w:val="right" w:leader="dot" w:pos="8774"/>
            </w:tabs>
            <w:rPr>
              <w:rFonts w:asciiTheme="minorHAnsi" w:eastAsiaTheme="minorEastAsia" w:hAnsiTheme="minorHAnsi" w:cstheme="minorBidi"/>
              <w:noProof/>
              <w:sz w:val="22"/>
              <w:szCs w:val="22"/>
            </w:rPr>
          </w:pPr>
          <w:hyperlink w:anchor="_Toc68761556" w:history="1">
            <w:r w:rsidRPr="00436E9A">
              <w:rPr>
                <w:rStyle w:val="Hyperlink"/>
                <w:noProof/>
              </w:rPr>
              <w:t>2.4.6.</w:t>
            </w:r>
            <w:r>
              <w:rPr>
                <w:rFonts w:asciiTheme="minorHAnsi" w:eastAsiaTheme="minorEastAsia" w:hAnsiTheme="minorHAnsi" w:cstheme="minorBidi"/>
                <w:noProof/>
                <w:sz w:val="22"/>
                <w:szCs w:val="22"/>
              </w:rPr>
              <w:tab/>
            </w:r>
            <w:r w:rsidRPr="00436E9A">
              <w:rPr>
                <w:rStyle w:val="Hyperlink"/>
                <w:noProof/>
              </w:rPr>
              <w:t>Soil Texture Calculator</w:t>
            </w:r>
            <w:r>
              <w:rPr>
                <w:noProof/>
                <w:webHidden/>
              </w:rPr>
              <w:tab/>
            </w:r>
            <w:r>
              <w:rPr>
                <w:noProof/>
                <w:webHidden/>
              </w:rPr>
              <w:fldChar w:fldCharType="begin"/>
            </w:r>
            <w:r>
              <w:rPr>
                <w:noProof/>
                <w:webHidden/>
              </w:rPr>
              <w:instrText xml:space="preserve"> PAGEREF _Toc68761556 \h </w:instrText>
            </w:r>
            <w:r>
              <w:rPr>
                <w:noProof/>
                <w:webHidden/>
              </w:rPr>
            </w:r>
            <w:r>
              <w:rPr>
                <w:noProof/>
                <w:webHidden/>
              </w:rPr>
              <w:fldChar w:fldCharType="separate"/>
            </w:r>
            <w:r w:rsidR="00BD510E">
              <w:rPr>
                <w:noProof/>
                <w:webHidden/>
              </w:rPr>
              <w:t>26</w:t>
            </w:r>
            <w:r>
              <w:rPr>
                <w:noProof/>
                <w:webHidden/>
              </w:rPr>
              <w:fldChar w:fldCharType="end"/>
            </w:r>
          </w:hyperlink>
        </w:p>
        <w:p w:rsidR="005E3F37" w:rsidRDefault="005E3F37" w:rsidP="008B5D5F">
          <w:pPr>
            <w:pStyle w:val="TOC3"/>
            <w:tabs>
              <w:tab w:val="left" w:pos="1320"/>
              <w:tab w:val="right" w:leader="dot" w:pos="8774"/>
            </w:tabs>
            <w:rPr>
              <w:rFonts w:asciiTheme="minorHAnsi" w:eastAsiaTheme="minorEastAsia" w:hAnsiTheme="minorHAnsi" w:cstheme="minorBidi"/>
              <w:noProof/>
              <w:sz w:val="22"/>
              <w:szCs w:val="22"/>
            </w:rPr>
          </w:pPr>
          <w:hyperlink w:anchor="_Toc68761557" w:history="1">
            <w:r w:rsidRPr="00436E9A">
              <w:rPr>
                <w:rStyle w:val="Hyperlink"/>
                <w:noProof/>
              </w:rPr>
              <w:t>2.4.7.</w:t>
            </w:r>
            <w:r>
              <w:rPr>
                <w:rFonts w:asciiTheme="minorHAnsi" w:eastAsiaTheme="minorEastAsia" w:hAnsiTheme="minorHAnsi" w:cstheme="minorBidi"/>
                <w:noProof/>
                <w:sz w:val="22"/>
                <w:szCs w:val="22"/>
              </w:rPr>
              <w:tab/>
            </w:r>
            <w:r w:rsidRPr="00436E9A">
              <w:rPr>
                <w:rStyle w:val="Hyperlink"/>
                <w:noProof/>
              </w:rPr>
              <w:t>IDRISI Selva</w:t>
            </w:r>
            <w:r>
              <w:rPr>
                <w:noProof/>
                <w:webHidden/>
              </w:rPr>
              <w:tab/>
            </w:r>
            <w:r>
              <w:rPr>
                <w:noProof/>
                <w:webHidden/>
              </w:rPr>
              <w:fldChar w:fldCharType="begin"/>
            </w:r>
            <w:r>
              <w:rPr>
                <w:noProof/>
                <w:webHidden/>
              </w:rPr>
              <w:instrText xml:space="preserve"> PAGEREF _Toc68761557 \h </w:instrText>
            </w:r>
            <w:r>
              <w:rPr>
                <w:noProof/>
                <w:webHidden/>
              </w:rPr>
            </w:r>
            <w:r>
              <w:rPr>
                <w:noProof/>
                <w:webHidden/>
              </w:rPr>
              <w:fldChar w:fldCharType="separate"/>
            </w:r>
            <w:r w:rsidR="00BD510E">
              <w:rPr>
                <w:noProof/>
                <w:webHidden/>
              </w:rPr>
              <w:t>26</w:t>
            </w:r>
            <w:r>
              <w:rPr>
                <w:noProof/>
                <w:webHidden/>
              </w:rPr>
              <w:fldChar w:fldCharType="end"/>
            </w:r>
          </w:hyperlink>
        </w:p>
        <w:p w:rsidR="005E3F37" w:rsidRDefault="005E3F37" w:rsidP="008B5D5F">
          <w:pPr>
            <w:pStyle w:val="TOC3"/>
            <w:tabs>
              <w:tab w:val="left" w:pos="1320"/>
              <w:tab w:val="right" w:leader="dot" w:pos="8774"/>
            </w:tabs>
            <w:rPr>
              <w:rFonts w:asciiTheme="minorHAnsi" w:eastAsiaTheme="minorEastAsia" w:hAnsiTheme="minorHAnsi" w:cstheme="minorBidi"/>
              <w:noProof/>
              <w:sz w:val="22"/>
              <w:szCs w:val="22"/>
            </w:rPr>
          </w:pPr>
          <w:hyperlink w:anchor="_Toc68761558" w:history="1">
            <w:r w:rsidRPr="00436E9A">
              <w:rPr>
                <w:rStyle w:val="Hyperlink"/>
                <w:noProof/>
              </w:rPr>
              <w:t>2.4.8.</w:t>
            </w:r>
            <w:r>
              <w:rPr>
                <w:rFonts w:asciiTheme="minorHAnsi" w:eastAsiaTheme="minorEastAsia" w:hAnsiTheme="minorHAnsi" w:cstheme="minorBidi"/>
                <w:noProof/>
                <w:sz w:val="22"/>
                <w:szCs w:val="22"/>
              </w:rPr>
              <w:tab/>
            </w:r>
            <w:r w:rsidRPr="00436E9A">
              <w:rPr>
                <w:rStyle w:val="Hyperlink"/>
                <w:noProof/>
              </w:rPr>
              <w:t>Surfer 17.1</w:t>
            </w:r>
            <w:r>
              <w:rPr>
                <w:noProof/>
                <w:webHidden/>
              </w:rPr>
              <w:tab/>
            </w:r>
            <w:r>
              <w:rPr>
                <w:noProof/>
                <w:webHidden/>
              </w:rPr>
              <w:fldChar w:fldCharType="begin"/>
            </w:r>
            <w:r>
              <w:rPr>
                <w:noProof/>
                <w:webHidden/>
              </w:rPr>
              <w:instrText xml:space="preserve"> PAGEREF _Toc68761558 \h </w:instrText>
            </w:r>
            <w:r>
              <w:rPr>
                <w:noProof/>
                <w:webHidden/>
              </w:rPr>
            </w:r>
            <w:r>
              <w:rPr>
                <w:noProof/>
                <w:webHidden/>
              </w:rPr>
              <w:fldChar w:fldCharType="separate"/>
            </w:r>
            <w:r w:rsidR="00BD510E">
              <w:rPr>
                <w:noProof/>
                <w:webHidden/>
              </w:rPr>
              <w:t>27</w:t>
            </w:r>
            <w:r>
              <w:rPr>
                <w:noProof/>
                <w:webHidden/>
              </w:rPr>
              <w:fldChar w:fldCharType="end"/>
            </w:r>
          </w:hyperlink>
        </w:p>
        <w:p w:rsidR="005E3F37" w:rsidRDefault="005E3F37" w:rsidP="008B5D5F">
          <w:pPr>
            <w:pStyle w:val="TOC1"/>
            <w:tabs>
              <w:tab w:val="left" w:pos="440"/>
            </w:tabs>
            <w:rPr>
              <w:rFonts w:asciiTheme="minorHAnsi" w:eastAsiaTheme="minorEastAsia" w:hAnsiTheme="minorHAnsi" w:cstheme="minorBidi"/>
              <w:noProof/>
              <w:sz w:val="22"/>
              <w:szCs w:val="22"/>
            </w:rPr>
          </w:pPr>
          <w:hyperlink w:anchor="_Toc68761559" w:history="1">
            <w:r w:rsidRPr="00436E9A">
              <w:rPr>
                <w:rStyle w:val="Hyperlink"/>
                <w:noProof/>
              </w:rPr>
              <w:t>3.</w:t>
            </w:r>
            <w:r>
              <w:rPr>
                <w:rFonts w:asciiTheme="minorHAnsi" w:eastAsiaTheme="minorEastAsia" w:hAnsiTheme="minorHAnsi" w:cstheme="minorBidi"/>
                <w:noProof/>
                <w:sz w:val="22"/>
                <w:szCs w:val="22"/>
              </w:rPr>
              <w:tab/>
            </w:r>
            <w:r w:rsidRPr="00436E9A">
              <w:rPr>
                <w:rStyle w:val="Hyperlink"/>
                <w:noProof/>
              </w:rPr>
              <w:t>MATERIAL AND METHODS</w:t>
            </w:r>
            <w:r>
              <w:rPr>
                <w:noProof/>
                <w:webHidden/>
              </w:rPr>
              <w:tab/>
            </w:r>
            <w:r>
              <w:rPr>
                <w:noProof/>
                <w:webHidden/>
              </w:rPr>
              <w:fldChar w:fldCharType="begin"/>
            </w:r>
            <w:r>
              <w:rPr>
                <w:noProof/>
                <w:webHidden/>
              </w:rPr>
              <w:instrText xml:space="preserve"> PAGEREF _Toc68761559 \h </w:instrText>
            </w:r>
            <w:r>
              <w:rPr>
                <w:noProof/>
                <w:webHidden/>
              </w:rPr>
            </w:r>
            <w:r>
              <w:rPr>
                <w:noProof/>
                <w:webHidden/>
              </w:rPr>
              <w:fldChar w:fldCharType="separate"/>
            </w:r>
            <w:r w:rsidR="00BD510E">
              <w:rPr>
                <w:noProof/>
                <w:webHidden/>
              </w:rPr>
              <w:t>28</w:t>
            </w:r>
            <w:r>
              <w:rPr>
                <w:noProof/>
                <w:webHidden/>
              </w:rPr>
              <w:fldChar w:fldCharType="end"/>
            </w:r>
          </w:hyperlink>
        </w:p>
        <w:p w:rsidR="005E3F37" w:rsidRDefault="005E3F37" w:rsidP="008B5D5F">
          <w:pPr>
            <w:pStyle w:val="TOC2"/>
            <w:tabs>
              <w:tab w:val="left" w:pos="880"/>
              <w:tab w:val="right" w:leader="dot" w:pos="8774"/>
            </w:tabs>
            <w:rPr>
              <w:rFonts w:asciiTheme="minorHAnsi" w:eastAsiaTheme="minorEastAsia" w:hAnsiTheme="minorHAnsi" w:cstheme="minorBidi"/>
              <w:noProof/>
              <w:sz w:val="22"/>
              <w:szCs w:val="22"/>
            </w:rPr>
          </w:pPr>
          <w:hyperlink w:anchor="_Toc68761560" w:history="1">
            <w:r w:rsidRPr="00436E9A">
              <w:rPr>
                <w:rStyle w:val="Hyperlink"/>
                <w:noProof/>
              </w:rPr>
              <w:t>3.1.</w:t>
            </w:r>
            <w:r>
              <w:rPr>
                <w:rFonts w:asciiTheme="minorHAnsi" w:eastAsiaTheme="minorEastAsia" w:hAnsiTheme="minorHAnsi" w:cstheme="minorBidi"/>
                <w:noProof/>
                <w:sz w:val="22"/>
                <w:szCs w:val="22"/>
              </w:rPr>
              <w:tab/>
            </w:r>
            <w:r w:rsidRPr="00436E9A">
              <w:rPr>
                <w:rStyle w:val="Hyperlink"/>
                <w:noProof/>
              </w:rPr>
              <w:t>Description of the Study Area</w:t>
            </w:r>
            <w:r>
              <w:rPr>
                <w:noProof/>
                <w:webHidden/>
              </w:rPr>
              <w:tab/>
            </w:r>
            <w:r>
              <w:rPr>
                <w:noProof/>
                <w:webHidden/>
              </w:rPr>
              <w:fldChar w:fldCharType="begin"/>
            </w:r>
            <w:r>
              <w:rPr>
                <w:noProof/>
                <w:webHidden/>
              </w:rPr>
              <w:instrText xml:space="preserve"> PAGEREF _Toc68761560 \h </w:instrText>
            </w:r>
            <w:r>
              <w:rPr>
                <w:noProof/>
                <w:webHidden/>
              </w:rPr>
            </w:r>
            <w:r>
              <w:rPr>
                <w:noProof/>
                <w:webHidden/>
              </w:rPr>
              <w:fldChar w:fldCharType="separate"/>
            </w:r>
            <w:r w:rsidR="00BD510E">
              <w:rPr>
                <w:noProof/>
                <w:webHidden/>
              </w:rPr>
              <w:t>28</w:t>
            </w:r>
            <w:r>
              <w:rPr>
                <w:noProof/>
                <w:webHidden/>
              </w:rPr>
              <w:fldChar w:fldCharType="end"/>
            </w:r>
          </w:hyperlink>
        </w:p>
        <w:p w:rsidR="005E3F37" w:rsidRDefault="005E3F37" w:rsidP="008B5D5F">
          <w:pPr>
            <w:pStyle w:val="TOC3"/>
            <w:tabs>
              <w:tab w:val="left" w:pos="1320"/>
              <w:tab w:val="right" w:leader="dot" w:pos="8774"/>
            </w:tabs>
            <w:rPr>
              <w:rFonts w:asciiTheme="minorHAnsi" w:eastAsiaTheme="minorEastAsia" w:hAnsiTheme="minorHAnsi" w:cstheme="minorBidi"/>
              <w:noProof/>
              <w:sz w:val="22"/>
              <w:szCs w:val="22"/>
            </w:rPr>
          </w:pPr>
          <w:hyperlink w:anchor="_Toc68761561" w:history="1">
            <w:r w:rsidRPr="00436E9A">
              <w:rPr>
                <w:rStyle w:val="Hyperlink"/>
                <w:noProof/>
              </w:rPr>
              <w:t>3.1.1.</w:t>
            </w:r>
            <w:r>
              <w:rPr>
                <w:rFonts w:asciiTheme="minorHAnsi" w:eastAsiaTheme="minorEastAsia" w:hAnsiTheme="minorHAnsi" w:cstheme="minorBidi"/>
                <w:noProof/>
                <w:sz w:val="22"/>
                <w:szCs w:val="22"/>
              </w:rPr>
              <w:tab/>
            </w:r>
            <w:r w:rsidRPr="00436E9A">
              <w:rPr>
                <w:rStyle w:val="Hyperlink"/>
                <w:noProof/>
              </w:rPr>
              <w:t>Location</w:t>
            </w:r>
            <w:r>
              <w:rPr>
                <w:noProof/>
                <w:webHidden/>
              </w:rPr>
              <w:tab/>
            </w:r>
            <w:r>
              <w:rPr>
                <w:noProof/>
                <w:webHidden/>
              </w:rPr>
              <w:fldChar w:fldCharType="begin"/>
            </w:r>
            <w:r>
              <w:rPr>
                <w:noProof/>
                <w:webHidden/>
              </w:rPr>
              <w:instrText xml:space="preserve"> PAGEREF _Toc68761561 \h </w:instrText>
            </w:r>
            <w:r>
              <w:rPr>
                <w:noProof/>
                <w:webHidden/>
              </w:rPr>
            </w:r>
            <w:r>
              <w:rPr>
                <w:noProof/>
                <w:webHidden/>
              </w:rPr>
              <w:fldChar w:fldCharType="separate"/>
            </w:r>
            <w:r w:rsidR="00BD510E">
              <w:rPr>
                <w:noProof/>
                <w:webHidden/>
              </w:rPr>
              <w:t>28</w:t>
            </w:r>
            <w:r>
              <w:rPr>
                <w:noProof/>
                <w:webHidden/>
              </w:rPr>
              <w:fldChar w:fldCharType="end"/>
            </w:r>
          </w:hyperlink>
        </w:p>
        <w:p w:rsidR="005E3F37" w:rsidRDefault="005E3F37" w:rsidP="008B5D5F">
          <w:pPr>
            <w:pStyle w:val="TOC3"/>
            <w:tabs>
              <w:tab w:val="left" w:pos="1320"/>
              <w:tab w:val="right" w:leader="dot" w:pos="8774"/>
            </w:tabs>
            <w:rPr>
              <w:rFonts w:asciiTheme="minorHAnsi" w:eastAsiaTheme="minorEastAsia" w:hAnsiTheme="minorHAnsi" w:cstheme="minorBidi"/>
              <w:noProof/>
              <w:sz w:val="22"/>
              <w:szCs w:val="22"/>
            </w:rPr>
          </w:pPr>
          <w:hyperlink w:anchor="_Toc68761562" w:history="1">
            <w:r w:rsidRPr="00436E9A">
              <w:rPr>
                <w:rStyle w:val="Hyperlink"/>
                <w:noProof/>
              </w:rPr>
              <w:t>3.1.2.</w:t>
            </w:r>
            <w:r>
              <w:rPr>
                <w:rFonts w:asciiTheme="minorHAnsi" w:eastAsiaTheme="minorEastAsia" w:hAnsiTheme="minorHAnsi" w:cstheme="minorBidi"/>
                <w:noProof/>
                <w:sz w:val="22"/>
                <w:szCs w:val="22"/>
              </w:rPr>
              <w:tab/>
            </w:r>
            <w:r w:rsidRPr="00436E9A">
              <w:rPr>
                <w:rStyle w:val="Hyperlink"/>
                <w:noProof/>
              </w:rPr>
              <w:t>Topography</w:t>
            </w:r>
            <w:r>
              <w:rPr>
                <w:noProof/>
                <w:webHidden/>
              </w:rPr>
              <w:tab/>
            </w:r>
            <w:r>
              <w:rPr>
                <w:noProof/>
                <w:webHidden/>
              </w:rPr>
              <w:fldChar w:fldCharType="begin"/>
            </w:r>
            <w:r>
              <w:rPr>
                <w:noProof/>
                <w:webHidden/>
              </w:rPr>
              <w:instrText xml:space="preserve"> PAGEREF _Toc68761562 \h </w:instrText>
            </w:r>
            <w:r>
              <w:rPr>
                <w:noProof/>
                <w:webHidden/>
              </w:rPr>
            </w:r>
            <w:r>
              <w:rPr>
                <w:noProof/>
                <w:webHidden/>
              </w:rPr>
              <w:fldChar w:fldCharType="separate"/>
            </w:r>
            <w:r w:rsidR="00BD510E">
              <w:rPr>
                <w:noProof/>
                <w:webHidden/>
              </w:rPr>
              <w:t>29</w:t>
            </w:r>
            <w:r>
              <w:rPr>
                <w:noProof/>
                <w:webHidden/>
              </w:rPr>
              <w:fldChar w:fldCharType="end"/>
            </w:r>
          </w:hyperlink>
        </w:p>
        <w:p w:rsidR="005E3F37" w:rsidRDefault="005E3F37" w:rsidP="008B5D5F">
          <w:pPr>
            <w:pStyle w:val="TOC3"/>
            <w:tabs>
              <w:tab w:val="left" w:pos="1320"/>
              <w:tab w:val="right" w:leader="dot" w:pos="8774"/>
            </w:tabs>
            <w:rPr>
              <w:rFonts w:asciiTheme="minorHAnsi" w:eastAsiaTheme="minorEastAsia" w:hAnsiTheme="minorHAnsi" w:cstheme="minorBidi"/>
              <w:noProof/>
              <w:sz w:val="22"/>
              <w:szCs w:val="22"/>
            </w:rPr>
          </w:pPr>
          <w:hyperlink w:anchor="_Toc68761563" w:history="1">
            <w:r w:rsidRPr="00436E9A">
              <w:rPr>
                <w:rStyle w:val="Hyperlink"/>
                <w:noProof/>
              </w:rPr>
              <w:t>3.1.3.</w:t>
            </w:r>
            <w:r>
              <w:rPr>
                <w:rFonts w:asciiTheme="minorHAnsi" w:eastAsiaTheme="minorEastAsia" w:hAnsiTheme="minorHAnsi" w:cstheme="minorBidi"/>
                <w:noProof/>
                <w:sz w:val="22"/>
                <w:szCs w:val="22"/>
              </w:rPr>
              <w:tab/>
            </w:r>
            <w:r w:rsidRPr="00436E9A">
              <w:rPr>
                <w:rStyle w:val="Hyperlink"/>
                <w:noProof/>
              </w:rPr>
              <w:t>Climate</w:t>
            </w:r>
            <w:r>
              <w:rPr>
                <w:noProof/>
                <w:webHidden/>
              </w:rPr>
              <w:tab/>
            </w:r>
            <w:r>
              <w:rPr>
                <w:noProof/>
                <w:webHidden/>
              </w:rPr>
              <w:fldChar w:fldCharType="begin"/>
            </w:r>
            <w:r>
              <w:rPr>
                <w:noProof/>
                <w:webHidden/>
              </w:rPr>
              <w:instrText xml:space="preserve"> PAGEREF _Toc68761563 \h </w:instrText>
            </w:r>
            <w:r>
              <w:rPr>
                <w:noProof/>
                <w:webHidden/>
              </w:rPr>
            </w:r>
            <w:r>
              <w:rPr>
                <w:noProof/>
                <w:webHidden/>
              </w:rPr>
              <w:fldChar w:fldCharType="separate"/>
            </w:r>
            <w:r w:rsidR="00BD510E">
              <w:rPr>
                <w:noProof/>
                <w:webHidden/>
              </w:rPr>
              <w:t>30</w:t>
            </w:r>
            <w:r>
              <w:rPr>
                <w:noProof/>
                <w:webHidden/>
              </w:rPr>
              <w:fldChar w:fldCharType="end"/>
            </w:r>
          </w:hyperlink>
        </w:p>
        <w:p w:rsidR="005E3F37" w:rsidRDefault="005E3F37" w:rsidP="008B5D5F">
          <w:pPr>
            <w:pStyle w:val="TOC3"/>
            <w:tabs>
              <w:tab w:val="left" w:pos="1320"/>
              <w:tab w:val="right" w:leader="dot" w:pos="8774"/>
            </w:tabs>
            <w:rPr>
              <w:rFonts w:asciiTheme="minorHAnsi" w:eastAsiaTheme="minorEastAsia" w:hAnsiTheme="minorHAnsi" w:cstheme="minorBidi"/>
              <w:noProof/>
              <w:sz w:val="22"/>
              <w:szCs w:val="22"/>
            </w:rPr>
          </w:pPr>
          <w:hyperlink w:anchor="_Toc68761564" w:history="1">
            <w:r w:rsidRPr="00436E9A">
              <w:rPr>
                <w:rStyle w:val="Hyperlink"/>
                <w:noProof/>
              </w:rPr>
              <w:t>3.1.4.</w:t>
            </w:r>
            <w:r>
              <w:rPr>
                <w:rFonts w:asciiTheme="minorHAnsi" w:eastAsiaTheme="minorEastAsia" w:hAnsiTheme="minorHAnsi" w:cstheme="minorBidi"/>
                <w:noProof/>
                <w:sz w:val="22"/>
                <w:szCs w:val="22"/>
              </w:rPr>
              <w:tab/>
            </w:r>
            <w:r w:rsidRPr="00436E9A">
              <w:rPr>
                <w:rStyle w:val="Hyperlink"/>
                <w:noProof/>
              </w:rPr>
              <w:t>Rainfall and Temperature</w:t>
            </w:r>
            <w:r>
              <w:rPr>
                <w:noProof/>
                <w:webHidden/>
              </w:rPr>
              <w:tab/>
            </w:r>
            <w:r>
              <w:rPr>
                <w:noProof/>
                <w:webHidden/>
              </w:rPr>
              <w:fldChar w:fldCharType="begin"/>
            </w:r>
            <w:r>
              <w:rPr>
                <w:noProof/>
                <w:webHidden/>
              </w:rPr>
              <w:instrText xml:space="preserve"> PAGEREF _Toc68761564 \h </w:instrText>
            </w:r>
            <w:r>
              <w:rPr>
                <w:noProof/>
                <w:webHidden/>
              </w:rPr>
            </w:r>
            <w:r>
              <w:rPr>
                <w:noProof/>
                <w:webHidden/>
              </w:rPr>
              <w:fldChar w:fldCharType="separate"/>
            </w:r>
            <w:r w:rsidR="00BD510E">
              <w:rPr>
                <w:noProof/>
                <w:webHidden/>
              </w:rPr>
              <w:t>31</w:t>
            </w:r>
            <w:r>
              <w:rPr>
                <w:noProof/>
                <w:webHidden/>
              </w:rPr>
              <w:fldChar w:fldCharType="end"/>
            </w:r>
          </w:hyperlink>
        </w:p>
        <w:p w:rsidR="005E3F37" w:rsidRDefault="005E3F37" w:rsidP="008B5D5F">
          <w:pPr>
            <w:pStyle w:val="TOC3"/>
            <w:tabs>
              <w:tab w:val="left" w:pos="1320"/>
              <w:tab w:val="right" w:leader="dot" w:pos="8774"/>
            </w:tabs>
            <w:rPr>
              <w:rFonts w:asciiTheme="minorHAnsi" w:eastAsiaTheme="minorEastAsia" w:hAnsiTheme="minorHAnsi" w:cstheme="minorBidi"/>
              <w:noProof/>
              <w:sz w:val="22"/>
              <w:szCs w:val="22"/>
            </w:rPr>
          </w:pPr>
          <w:hyperlink w:anchor="_Toc68761565" w:history="1">
            <w:r w:rsidRPr="00436E9A">
              <w:rPr>
                <w:rStyle w:val="Hyperlink"/>
                <w:noProof/>
              </w:rPr>
              <w:t>3.1.5.</w:t>
            </w:r>
            <w:r>
              <w:rPr>
                <w:rFonts w:asciiTheme="minorHAnsi" w:eastAsiaTheme="minorEastAsia" w:hAnsiTheme="minorHAnsi" w:cstheme="minorBidi"/>
                <w:noProof/>
                <w:sz w:val="22"/>
                <w:szCs w:val="22"/>
              </w:rPr>
              <w:tab/>
            </w:r>
            <w:r w:rsidRPr="00436E9A">
              <w:rPr>
                <w:rStyle w:val="Hyperlink"/>
                <w:noProof/>
              </w:rPr>
              <w:t>Land Use and Land Cover (LU/LC)</w:t>
            </w:r>
            <w:r>
              <w:rPr>
                <w:noProof/>
                <w:webHidden/>
              </w:rPr>
              <w:tab/>
            </w:r>
            <w:r>
              <w:rPr>
                <w:noProof/>
                <w:webHidden/>
              </w:rPr>
              <w:fldChar w:fldCharType="begin"/>
            </w:r>
            <w:r>
              <w:rPr>
                <w:noProof/>
                <w:webHidden/>
              </w:rPr>
              <w:instrText xml:space="preserve"> PAGEREF _Toc68761565 \h </w:instrText>
            </w:r>
            <w:r>
              <w:rPr>
                <w:noProof/>
                <w:webHidden/>
              </w:rPr>
            </w:r>
            <w:r>
              <w:rPr>
                <w:noProof/>
                <w:webHidden/>
              </w:rPr>
              <w:fldChar w:fldCharType="separate"/>
            </w:r>
            <w:r w:rsidR="00BD510E">
              <w:rPr>
                <w:noProof/>
                <w:webHidden/>
              </w:rPr>
              <w:t>32</w:t>
            </w:r>
            <w:r>
              <w:rPr>
                <w:noProof/>
                <w:webHidden/>
              </w:rPr>
              <w:fldChar w:fldCharType="end"/>
            </w:r>
          </w:hyperlink>
        </w:p>
        <w:p w:rsidR="005E3F37" w:rsidRDefault="005E3F37" w:rsidP="008B5D5F">
          <w:pPr>
            <w:pStyle w:val="TOC3"/>
            <w:tabs>
              <w:tab w:val="left" w:pos="1320"/>
              <w:tab w:val="right" w:leader="dot" w:pos="8774"/>
            </w:tabs>
            <w:rPr>
              <w:rFonts w:asciiTheme="minorHAnsi" w:eastAsiaTheme="minorEastAsia" w:hAnsiTheme="minorHAnsi" w:cstheme="minorBidi"/>
              <w:noProof/>
              <w:sz w:val="22"/>
              <w:szCs w:val="22"/>
            </w:rPr>
          </w:pPr>
          <w:hyperlink w:anchor="_Toc68761566" w:history="1">
            <w:r w:rsidRPr="00436E9A">
              <w:rPr>
                <w:rStyle w:val="Hyperlink"/>
                <w:noProof/>
              </w:rPr>
              <w:t>3.1.6.</w:t>
            </w:r>
            <w:r>
              <w:rPr>
                <w:rFonts w:asciiTheme="minorHAnsi" w:eastAsiaTheme="minorEastAsia" w:hAnsiTheme="minorHAnsi" w:cstheme="minorBidi"/>
                <w:noProof/>
                <w:sz w:val="22"/>
                <w:szCs w:val="22"/>
              </w:rPr>
              <w:tab/>
            </w:r>
            <w:r w:rsidRPr="00436E9A">
              <w:rPr>
                <w:rStyle w:val="Hyperlink"/>
                <w:noProof/>
              </w:rPr>
              <w:t>Drainage</w:t>
            </w:r>
            <w:r>
              <w:rPr>
                <w:noProof/>
                <w:webHidden/>
              </w:rPr>
              <w:tab/>
            </w:r>
            <w:r>
              <w:rPr>
                <w:noProof/>
                <w:webHidden/>
              </w:rPr>
              <w:fldChar w:fldCharType="begin"/>
            </w:r>
            <w:r>
              <w:rPr>
                <w:noProof/>
                <w:webHidden/>
              </w:rPr>
              <w:instrText xml:space="preserve"> PAGEREF _Toc68761566 \h </w:instrText>
            </w:r>
            <w:r>
              <w:rPr>
                <w:noProof/>
                <w:webHidden/>
              </w:rPr>
            </w:r>
            <w:r>
              <w:rPr>
                <w:noProof/>
                <w:webHidden/>
              </w:rPr>
              <w:fldChar w:fldCharType="separate"/>
            </w:r>
            <w:r w:rsidR="00BD510E">
              <w:rPr>
                <w:noProof/>
                <w:webHidden/>
              </w:rPr>
              <w:t>33</w:t>
            </w:r>
            <w:r>
              <w:rPr>
                <w:noProof/>
                <w:webHidden/>
              </w:rPr>
              <w:fldChar w:fldCharType="end"/>
            </w:r>
          </w:hyperlink>
        </w:p>
        <w:p w:rsidR="005E3F37" w:rsidRDefault="005E3F37" w:rsidP="008B5D5F">
          <w:pPr>
            <w:pStyle w:val="TOC3"/>
            <w:tabs>
              <w:tab w:val="left" w:pos="1320"/>
              <w:tab w:val="right" w:leader="dot" w:pos="8774"/>
            </w:tabs>
            <w:rPr>
              <w:rFonts w:asciiTheme="minorHAnsi" w:eastAsiaTheme="minorEastAsia" w:hAnsiTheme="minorHAnsi" w:cstheme="minorBidi"/>
              <w:noProof/>
              <w:sz w:val="22"/>
              <w:szCs w:val="22"/>
            </w:rPr>
          </w:pPr>
          <w:hyperlink w:anchor="_Toc68761567" w:history="1">
            <w:r w:rsidRPr="00436E9A">
              <w:rPr>
                <w:rStyle w:val="Hyperlink"/>
                <w:noProof/>
              </w:rPr>
              <w:t>3.1.7.</w:t>
            </w:r>
            <w:r>
              <w:rPr>
                <w:rFonts w:asciiTheme="minorHAnsi" w:eastAsiaTheme="minorEastAsia" w:hAnsiTheme="minorHAnsi" w:cstheme="minorBidi"/>
                <w:noProof/>
                <w:sz w:val="22"/>
                <w:szCs w:val="22"/>
              </w:rPr>
              <w:tab/>
            </w:r>
            <w:r w:rsidRPr="00436E9A">
              <w:rPr>
                <w:rStyle w:val="Hyperlink"/>
                <w:noProof/>
              </w:rPr>
              <w:t>Lithology</w:t>
            </w:r>
            <w:r>
              <w:rPr>
                <w:noProof/>
                <w:webHidden/>
              </w:rPr>
              <w:tab/>
            </w:r>
            <w:r>
              <w:rPr>
                <w:noProof/>
                <w:webHidden/>
              </w:rPr>
              <w:fldChar w:fldCharType="begin"/>
            </w:r>
            <w:r>
              <w:rPr>
                <w:noProof/>
                <w:webHidden/>
              </w:rPr>
              <w:instrText xml:space="preserve"> PAGEREF _Toc68761567 \h </w:instrText>
            </w:r>
            <w:r>
              <w:rPr>
                <w:noProof/>
                <w:webHidden/>
              </w:rPr>
            </w:r>
            <w:r>
              <w:rPr>
                <w:noProof/>
                <w:webHidden/>
              </w:rPr>
              <w:fldChar w:fldCharType="separate"/>
            </w:r>
            <w:r w:rsidR="00BD510E">
              <w:rPr>
                <w:noProof/>
                <w:webHidden/>
              </w:rPr>
              <w:t>34</w:t>
            </w:r>
            <w:r>
              <w:rPr>
                <w:noProof/>
                <w:webHidden/>
              </w:rPr>
              <w:fldChar w:fldCharType="end"/>
            </w:r>
          </w:hyperlink>
        </w:p>
        <w:p w:rsidR="005E3F37" w:rsidRDefault="005E3F37" w:rsidP="008B5D5F">
          <w:pPr>
            <w:pStyle w:val="TOC3"/>
            <w:tabs>
              <w:tab w:val="left" w:pos="1320"/>
              <w:tab w:val="right" w:leader="dot" w:pos="8774"/>
            </w:tabs>
            <w:rPr>
              <w:rFonts w:asciiTheme="minorHAnsi" w:eastAsiaTheme="minorEastAsia" w:hAnsiTheme="minorHAnsi" w:cstheme="minorBidi"/>
              <w:noProof/>
              <w:sz w:val="22"/>
              <w:szCs w:val="22"/>
            </w:rPr>
          </w:pPr>
          <w:hyperlink w:anchor="_Toc68761568" w:history="1">
            <w:r w:rsidRPr="00436E9A">
              <w:rPr>
                <w:rStyle w:val="Hyperlink"/>
                <w:noProof/>
              </w:rPr>
              <w:t>3.1.8.</w:t>
            </w:r>
            <w:r>
              <w:rPr>
                <w:rFonts w:asciiTheme="minorHAnsi" w:eastAsiaTheme="minorEastAsia" w:hAnsiTheme="minorHAnsi" w:cstheme="minorBidi"/>
                <w:noProof/>
                <w:sz w:val="22"/>
                <w:szCs w:val="22"/>
              </w:rPr>
              <w:tab/>
            </w:r>
            <w:r w:rsidRPr="00436E9A">
              <w:rPr>
                <w:rStyle w:val="Hyperlink"/>
                <w:noProof/>
              </w:rPr>
              <w:t>Stratigraphy</w:t>
            </w:r>
            <w:r>
              <w:rPr>
                <w:noProof/>
                <w:webHidden/>
              </w:rPr>
              <w:tab/>
            </w:r>
            <w:r>
              <w:rPr>
                <w:noProof/>
                <w:webHidden/>
              </w:rPr>
              <w:fldChar w:fldCharType="begin"/>
            </w:r>
            <w:r>
              <w:rPr>
                <w:noProof/>
                <w:webHidden/>
              </w:rPr>
              <w:instrText xml:space="preserve"> PAGEREF _Toc68761568 \h </w:instrText>
            </w:r>
            <w:r>
              <w:rPr>
                <w:noProof/>
                <w:webHidden/>
              </w:rPr>
            </w:r>
            <w:r>
              <w:rPr>
                <w:noProof/>
                <w:webHidden/>
              </w:rPr>
              <w:fldChar w:fldCharType="separate"/>
            </w:r>
            <w:r w:rsidR="00BD510E">
              <w:rPr>
                <w:noProof/>
                <w:webHidden/>
              </w:rPr>
              <w:t>35</w:t>
            </w:r>
            <w:r>
              <w:rPr>
                <w:noProof/>
                <w:webHidden/>
              </w:rPr>
              <w:fldChar w:fldCharType="end"/>
            </w:r>
          </w:hyperlink>
        </w:p>
        <w:p w:rsidR="005E3F37" w:rsidRDefault="005E3F37" w:rsidP="008B5D5F">
          <w:pPr>
            <w:pStyle w:val="TOC2"/>
            <w:tabs>
              <w:tab w:val="left" w:pos="880"/>
              <w:tab w:val="right" w:leader="dot" w:pos="8774"/>
            </w:tabs>
            <w:rPr>
              <w:rFonts w:asciiTheme="minorHAnsi" w:eastAsiaTheme="minorEastAsia" w:hAnsiTheme="minorHAnsi" w:cstheme="minorBidi"/>
              <w:noProof/>
              <w:sz w:val="22"/>
              <w:szCs w:val="22"/>
            </w:rPr>
          </w:pPr>
          <w:hyperlink w:anchor="_Toc68761569" w:history="1">
            <w:r w:rsidRPr="00436E9A">
              <w:rPr>
                <w:rStyle w:val="Hyperlink"/>
                <w:noProof/>
              </w:rPr>
              <w:t>3.2.</w:t>
            </w:r>
            <w:r>
              <w:rPr>
                <w:rFonts w:asciiTheme="minorHAnsi" w:eastAsiaTheme="minorEastAsia" w:hAnsiTheme="minorHAnsi" w:cstheme="minorBidi"/>
                <w:noProof/>
                <w:sz w:val="22"/>
                <w:szCs w:val="22"/>
              </w:rPr>
              <w:tab/>
            </w:r>
            <w:r w:rsidRPr="00436E9A">
              <w:rPr>
                <w:rStyle w:val="Hyperlink"/>
                <w:noProof/>
              </w:rPr>
              <w:t>Data Collection and Analyses</w:t>
            </w:r>
            <w:r>
              <w:rPr>
                <w:noProof/>
                <w:webHidden/>
              </w:rPr>
              <w:tab/>
            </w:r>
            <w:r>
              <w:rPr>
                <w:noProof/>
                <w:webHidden/>
              </w:rPr>
              <w:fldChar w:fldCharType="begin"/>
            </w:r>
            <w:r>
              <w:rPr>
                <w:noProof/>
                <w:webHidden/>
              </w:rPr>
              <w:instrText xml:space="preserve"> PAGEREF _Toc68761569 \h </w:instrText>
            </w:r>
            <w:r>
              <w:rPr>
                <w:noProof/>
                <w:webHidden/>
              </w:rPr>
            </w:r>
            <w:r>
              <w:rPr>
                <w:noProof/>
                <w:webHidden/>
              </w:rPr>
              <w:fldChar w:fldCharType="separate"/>
            </w:r>
            <w:r w:rsidR="00BD510E">
              <w:rPr>
                <w:noProof/>
                <w:webHidden/>
              </w:rPr>
              <w:t>36</w:t>
            </w:r>
            <w:r>
              <w:rPr>
                <w:noProof/>
                <w:webHidden/>
              </w:rPr>
              <w:fldChar w:fldCharType="end"/>
            </w:r>
          </w:hyperlink>
        </w:p>
        <w:p w:rsidR="005E3F37" w:rsidRDefault="005E3F37" w:rsidP="008B5D5F">
          <w:pPr>
            <w:pStyle w:val="TOC3"/>
            <w:tabs>
              <w:tab w:val="left" w:pos="1320"/>
              <w:tab w:val="right" w:leader="dot" w:pos="8774"/>
            </w:tabs>
            <w:rPr>
              <w:rFonts w:asciiTheme="minorHAnsi" w:eastAsiaTheme="minorEastAsia" w:hAnsiTheme="minorHAnsi" w:cstheme="minorBidi"/>
              <w:noProof/>
              <w:sz w:val="22"/>
              <w:szCs w:val="22"/>
            </w:rPr>
          </w:pPr>
          <w:hyperlink w:anchor="_Toc68761570" w:history="1">
            <w:r w:rsidRPr="00436E9A">
              <w:rPr>
                <w:rStyle w:val="Hyperlink"/>
                <w:noProof/>
              </w:rPr>
              <w:t>3.2.1.</w:t>
            </w:r>
            <w:r>
              <w:rPr>
                <w:rFonts w:asciiTheme="minorHAnsi" w:eastAsiaTheme="minorEastAsia" w:hAnsiTheme="minorHAnsi" w:cstheme="minorBidi"/>
                <w:noProof/>
                <w:sz w:val="22"/>
                <w:szCs w:val="22"/>
              </w:rPr>
              <w:tab/>
            </w:r>
            <w:r w:rsidRPr="00436E9A">
              <w:rPr>
                <w:rStyle w:val="Hyperlink"/>
                <w:noProof/>
              </w:rPr>
              <w:t>Characterization of factors influencing groundwater potential zones</w:t>
            </w:r>
            <w:r>
              <w:rPr>
                <w:noProof/>
                <w:webHidden/>
              </w:rPr>
              <w:tab/>
            </w:r>
            <w:r>
              <w:rPr>
                <w:noProof/>
                <w:webHidden/>
              </w:rPr>
              <w:fldChar w:fldCharType="begin"/>
            </w:r>
            <w:r>
              <w:rPr>
                <w:noProof/>
                <w:webHidden/>
              </w:rPr>
              <w:instrText xml:space="preserve"> PAGEREF _Toc68761570 \h </w:instrText>
            </w:r>
            <w:r>
              <w:rPr>
                <w:noProof/>
                <w:webHidden/>
              </w:rPr>
            </w:r>
            <w:r>
              <w:rPr>
                <w:noProof/>
                <w:webHidden/>
              </w:rPr>
              <w:fldChar w:fldCharType="separate"/>
            </w:r>
            <w:r w:rsidR="00BD510E">
              <w:rPr>
                <w:noProof/>
                <w:webHidden/>
              </w:rPr>
              <w:t>36</w:t>
            </w:r>
            <w:r>
              <w:rPr>
                <w:noProof/>
                <w:webHidden/>
              </w:rPr>
              <w:fldChar w:fldCharType="end"/>
            </w:r>
          </w:hyperlink>
        </w:p>
        <w:p w:rsidR="005E3F37" w:rsidRDefault="005E3F37" w:rsidP="008B5D5F">
          <w:pPr>
            <w:pStyle w:val="TOC3"/>
            <w:tabs>
              <w:tab w:val="left" w:pos="1320"/>
              <w:tab w:val="right" w:leader="dot" w:pos="8774"/>
            </w:tabs>
            <w:rPr>
              <w:rFonts w:asciiTheme="minorHAnsi" w:eastAsiaTheme="minorEastAsia" w:hAnsiTheme="minorHAnsi" w:cstheme="minorBidi"/>
              <w:noProof/>
              <w:sz w:val="22"/>
              <w:szCs w:val="22"/>
            </w:rPr>
          </w:pPr>
          <w:hyperlink w:anchor="_Toc68761571" w:history="1">
            <w:r w:rsidRPr="00436E9A">
              <w:rPr>
                <w:rStyle w:val="Hyperlink"/>
                <w:noProof/>
              </w:rPr>
              <w:t>3.2.2.</w:t>
            </w:r>
            <w:r>
              <w:rPr>
                <w:rFonts w:asciiTheme="minorHAnsi" w:eastAsiaTheme="minorEastAsia" w:hAnsiTheme="minorHAnsi" w:cstheme="minorBidi"/>
                <w:noProof/>
                <w:sz w:val="22"/>
                <w:szCs w:val="22"/>
              </w:rPr>
              <w:tab/>
            </w:r>
            <w:r w:rsidRPr="00436E9A">
              <w:rPr>
                <w:rStyle w:val="Hyperlink"/>
                <w:noProof/>
              </w:rPr>
              <w:t>Delineation of groundwater potential zones</w:t>
            </w:r>
            <w:r>
              <w:rPr>
                <w:noProof/>
                <w:webHidden/>
              </w:rPr>
              <w:tab/>
            </w:r>
            <w:r>
              <w:rPr>
                <w:noProof/>
                <w:webHidden/>
              </w:rPr>
              <w:fldChar w:fldCharType="begin"/>
            </w:r>
            <w:r>
              <w:rPr>
                <w:noProof/>
                <w:webHidden/>
              </w:rPr>
              <w:instrText xml:space="preserve"> PAGEREF _Toc68761571 \h </w:instrText>
            </w:r>
            <w:r>
              <w:rPr>
                <w:noProof/>
                <w:webHidden/>
              </w:rPr>
            </w:r>
            <w:r>
              <w:rPr>
                <w:noProof/>
                <w:webHidden/>
              </w:rPr>
              <w:fldChar w:fldCharType="separate"/>
            </w:r>
            <w:r w:rsidR="00BD510E">
              <w:rPr>
                <w:noProof/>
                <w:webHidden/>
              </w:rPr>
              <w:t>44</w:t>
            </w:r>
            <w:r>
              <w:rPr>
                <w:noProof/>
                <w:webHidden/>
              </w:rPr>
              <w:fldChar w:fldCharType="end"/>
            </w:r>
          </w:hyperlink>
        </w:p>
        <w:p w:rsidR="005E3F37" w:rsidRDefault="005E3F37" w:rsidP="008B5D5F">
          <w:pPr>
            <w:pStyle w:val="TOC3"/>
            <w:tabs>
              <w:tab w:val="left" w:pos="1320"/>
              <w:tab w:val="right" w:leader="dot" w:pos="8774"/>
            </w:tabs>
            <w:rPr>
              <w:rFonts w:asciiTheme="minorHAnsi" w:eastAsiaTheme="minorEastAsia" w:hAnsiTheme="minorHAnsi" w:cstheme="minorBidi"/>
              <w:noProof/>
              <w:sz w:val="22"/>
              <w:szCs w:val="22"/>
            </w:rPr>
          </w:pPr>
          <w:hyperlink w:anchor="_Toc68761572" w:history="1">
            <w:r w:rsidRPr="00436E9A">
              <w:rPr>
                <w:rStyle w:val="Hyperlink"/>
                <w:noProof/>
              </w:rPr>
              <w:t>3.2.3.</w:t>
            </w:r>
            <w:r>
              <w:rPr>
                <w:rFonts w:asciiTheme="minorHAnsi" w:eastAsiaTheme="minorEastAsia" w:hAnsiTheme="minorHAnsi" w:cstheme="minorBidi"/>
                <w:noProof/>
                <w:sz w:val="22"/>
                <w:szCs w:val="22"/>
              </w:rPr>
              <w:tab/>
            </w:r>
            <w:r w:rsidRPr="00436E9A">
              <w:rPr>
                <w:rStyle w:val="Hyperlink"/>
                <w:noProof/>
              </w:rPr>
              <w:t>Identification of the Groundwater Flow Direction</w:t>
            </w:r>
            <w:r>
              <w:rPr>
                <w:noProof/>
                <w:webHidden/>
              </w:rPr>
              <w:tab/>
            </w:r>
            <w:r>
              <w:rPr>
                <w:noProof/>
                <w:webHidden/>
              </w:rPr>
              <w:fldChar w:fldCharType="begin"/>
            </w:r>
            <w:r>
              <w:rPr>
                <w:noProof/>
                <w:webHidden/>
              </w:rPr>
              <w:instrText xml:space="preserve"> PAGEREF _Toc68761572 \h </w:instrText>
            </w:r>
            <w:r>
              <w:rPr>
                <w:noProof/>
                <w:webHidden/>
              </w:rPr>
            </w:r>
            <w:r>
              <w:rPr>
                <w:noProof/>
                <w:webHidden/>
              </w:rPr>
              <w:fldChar w:fldCharType="separate"/>
            </w:r>
            <w:r w:rsidR="00BD510E">
              <w:rPr>
                <w:noProof/>
                <w:webHidden/>
              </w:rPr>
              <w:t>48</w:t>
            </w:r>
            <w:r>
              <w:rPr>
                <w:noProof/>
                <w:webHidden/>
              </w:rPr>
              <w:fldChar w:fldCharType="end"/>
            </w:r>
          </w:hyperlink>
        </w:p>
        <w:p w:rsidR="005E3F37" w:rsidRDefault="005E3F37" w:rsidP="008B5D5F">
          <w:pPr>
            <w:pStyle w:val="TOC1"/>
            <w:tabs>
              <w:tab w:val="left" w:pos="440"/>
            </w:tabs>
            <w:rPr>
              <w:rFonts w:asciiTheme="minorHAnsi" w:eastAsiaTheme="minorEastAsia" w:hAnsiTheme="minorHAnsi" w:cstheme="minorBidi"/>
              <w:noProof/>
              <w:sz w:val="22"/>
              <w:szCs w:val="22"/>
            </w:rPr>
          </w:pPr>
          <w:hyperlink w:anchor="_Toc68761573" w:history="1">
            <w:r w:rsidRPr="00436E9A">
              <w:rPr>
                <w:rStyle w:val="Hyperlink"/>
                <w:noProof/>
              </w:rPr>
              <w:t>4.</w:t>
            </w:r>
            <w:r>
              <w:rPr>
                <w:rFonts w:asciiTheme="minorHAnsi" w:eastAsiaTheme="minorEastAsia" w:hAnsiTheme="minorHAnsi" w:cstheme="minorBidi"/>
                <w:noProof/>
                <w:sz w:val="22"/>
                <w:szCs w:val="22"/>
              </w:rPr>
              <w:tab/>
            </w:r>
            <w:r w:rsidRPr="00436E9A">
              <w:rPr>
                <w:rStyle w:val="Hyperlink"/>
                <w:noProof/>
              </w:rPr>
              <w:t>RESULTS AND DISCUSSION</w:t>
            </w:r>
            <w:r>
              <w:rPr>
                <w:noProof/>
                <w:webHidden/>
              </w:rPr>
              <w:tab/>
            </w:r>
            <w:r>
              <w:rPr>
                <w:noProof/>
                <w:webHidden/>
              </w:rPr>
              <w:fldChar w:fldCharType="begin"/>
            </w:r>
            <w:r>
              <w:rPr>
                <w:noProof/>
                <w:webHidden/>
              </w:rPr>
              <w:instrText xml:space="preserve"> PAGEREF _Toc68761573 \h </w:instrText>
            </w:r>
            <w:r>
              <w:rPr>
                <w:noProof/>
                <w:webHidden/>
              </w:rPr>
            </w:r>
            <w:r>
              <w:rPr>
                <w:noProof/>
                <w:webHidden/>
              </w:rPr>
              <w:fldChar w:fldCharType="separate"/>
            </w:r>
            <w:r w:rsidR="00BD510E">
              <w:rPr>
                <w:noProof/>
                <w:webHidden/>
              </w:rPr>
              <w:t>50</w:t>
            </w:r>
            <w:r>
              <w:rPr>
                <w:noProof/>
                <w:webHidden/>
              </w:rPr>
              <w:fldChar w:fldCharType="end"/>
            </w:r>
          </w:hyperlink>
        </w:p>
        <w:p w:rsidR="005E3F37" w:rsidRDefault="005E3F37" w:rsidP="008B5D5F">
          <w:pPr>
            <w:pStyle w:val="TOC2"/>
            <w:tabs>
              <w:tab w:val="left" w:pos="880"/>
              <w:tab w:val="right" w:leader="dot" w:pos="8774"/>
            </w:tabs>
            <w:rPr>
              <w:rFonts w:asciiTheme="minorHAnsi" w:eastAsiaTheme="minorEastAsia" w:hAnsiTheme="minorHAnsi" w:cstheme="minorBidi"/>
              <w:noProof/>
              <w:sz w:val="22"/>
              <w:szCs w:val="22"/>
            </w:rPr>
          </w:pPr>
          <w:hyperlink w:anchor="_Toc68761574" w:history="1">
            <w:r w:rsidRPr="00436E9A">
              <w:rPr>
                <w:rStyle w:val="Hyperlink"/>
                <w:noProof/>
              </w:rPr>
              <w:t>4.1.</w:t>
            </w:r>
            <w:r>
              <w:rPr>
                <w:rFonts w:asciiTheme="minorHAnsi" w:eastAsiaTheme="minorEastAsia" w:hAnsiTheme="minorHAnsi" w:cstheme="minorBidi"/>
                <w:noProof/>
                <w:sz w:val="22"/>
                <w:szCs w:val="22"/>
              </w:rPr>
              <w:tab/>
            </w:r>
            <w:r w:rsidRPr="00436E9A">
              <w:rPr>
                <w:rStyle w:val="Hyperlink"/>
                <w:noProof/>
              </w:rPr>
              <w:t>Characterization of Factors Influencing Groundwater Potential</w:t>
            </w:r>
            <w:r>
              <w:rPr>
                <w:noProof/>
                <w:webHidden/>
              </w:rPr>
              <w:tab/>
            </w:r>
            <w:r>
              <w:rPr>
                <w:noProof/>
                <w:webHidden/>
              </w:rPr>
              <w:fldChar w:fldCharType="begin"/>
            </w:r>
            <w:r>
              <w:rPr>
                <w:noProof/>
                <w:webHidden/>
              </w:rPr>
              <w:instrText xml:space="preserve"> PAGEREF _Toc68761574 \h </w:instrText>
            </w:r>
            <w:r>
              <w:rPr>
                <w:noProof/>
                <w:webHidden/>
              </w:rPr>
            </w:r>
            <w:r>
              <w:rPr>
                <w:noProof/>
                <w:webHidden/>
              </w:rPr>
              <w:fldChar w:fldCharType="separate"/>
            </w:r>
            <w:r w:rsidR="00BD510E">
              <w:rPr>
                <w:noProof/>
                <w:webHidden/>
              </w:rPr>
              <w:t>50</w:t>
            </w:r>
            <w:r>
              <w:rPr>
                <w:noProof/>
                <w:webHidden/>
              </w:rPr>
              <w:fldChar w:fldCharType="end"/>
            </w:r>
          </w:hyperlink>
        </w:p>
        <w:p w:rsidR="005E3F37" w:rsidRDefault="005E3F37" w:rsidP="008B5D5F">
          <w:pPr>
            <w:pStyle w:val="TOC3"/>
            <w:tabs>
              <w:tab w:val="left" w:pos="1320"/>
              <w:tab w:val="right" w:leader="dot" w:pos="8774"/>
            </w:tabs>
            <w:rPr>
              <w:rFonts w:asciiTheme="minorHAnsi" w:eastAsiaTheme="minorEastAsia" w:hAnsiTheme="minorHAnsi" w:cstheme="minorBidi"/>
              <w:noProof/>
              <w:sz w:val="22"/>
              <w:szCs w:val="22"/>
            </w:rPr>
          </w:pPr>
          <w:hyperlink w:anchor="_Toc68761575" w:history="1">
            <w:r w:rsidRPr="00436E9A">
              <w:rPr>
                <w:rStyle w:val="Hyperlink"/>
                <w:noProof/>
              </w:rPr>
              <w:t>4.1.1.</w:t>
            </w:r>
            <w:r>
              <w:rPr>
                <w:rFonts w:asciiTheme="minorHAnsi" w:eastAsiaTheme="minorEastAsia" w:hAnsiTheme="minorHAnsi" w:cstheme="minorBidi"/>
                <w:noProof/>
                <w:sz w:val="22"/>
                <w:szCs w:val="22"/>
              </w:rPr>
              <w:tab/>
            </w:r>
            <w:r w:rsidRPr="00436E9A">
              <w:rPr>
                <w:rStyle w:val="Hyperlink"/>
                <w:noProof/>
              </w:rPr>
              <w:t>The Thematic Map of Geomorphology</w:t>
            </w:r>
            <w:r>
              <w:rPr>
                <w:noProof/>
                <w:webHidden/>
              </w:rPr>
              <w:tab/>
            </w:r>
            <w:r>
              <w:rPr>
                <w:noProof/>
                <w:webHidden/>
              </w:rPr>
              <w:fldChar w:fldCharType="begin"/>
            </w:r>
            <w:r>
              <w:rPr>
                <w:noProof/>
                <w:webHidden/>
              </w:rPr>
              <w:instrText xml:space="preserve"> PAGEREF _Toc68761575 \h </w:instrText>
            </w:r>
            <w:r>
              <w:rPr>
                <w:noProof/>
                <w:webHidden/>
              </w:rPr>
            </w:r>
            <w:r>
              <w:rPr>
                <w:noProof/>
                <w:webHidden/>
              </w:rPr>
              <w:fldChar w:fldCharType="separate"/>
            </w:r>
            <w:r w:rsidR="00BD510E">
              <w:rPr>
                <w:noProof/>
                <w:webHidden/>
              </w:rPr>
              <w:t>50</w:t>
            </w:r>
            <w:r>
              <w:rPr>
                <w:noProof/>
                <w:webHidden/>
              </w:rPr>
              <w:fldChar w:fldCharType="end"/>
            </w:r>
          </w:hyperlink>
        </w:p>
        <w:p w:rsidR="005E3F37" w:rsidRDefault="005E3F37" w:rsidP="008B5D5F">
          <w:pPr>
            <w:pStyle w:val="TOC3"/>
            <w:tabs>
              <w:tab w:val="left" w:pos="1320"/>
              <w:tab w:val="right" w:leader="dot" w:pos="8774"/>
            </w:tabs>
            <w:rPr>
              <w:rFonts w:asciiTheme="minorHAnsi" w:eastAsiaTheme="minorEastAsia" w:hAnsiTheme="minorHAnsi" w:cstheme="minorBidi"/>
              <w:noProof/>
              <w:sz w:val="22"/>
              <w:szCs w:val="22"/>
            </w:rPr>
          </w:pPr>
          <w:hyperlink w:anchor="_Toc68761576" w:history="1">
            <w:r w:rsidRPr="00436E9A">
              <w:rPr>
                <w:rStyle w:val="Hyperlink"/>
                <w:noProof/>
              </w:rPr>
              <w:t>4.1.2.</w:t>
            </w:r>
            <w:r>
              <w:rPr>
                <w:rFonts w:asciiTheme="minorHAnsi" w:eastAsiaTheme="minorEastAsia" w:hAnsiTheme="minorHAnsi" w:cstheme="minorBidi"/>
                <w:noProof/>
                <w:sz w:val="22"/>
                <w:szCs w:val="22"/>
              </w:rPr>
              <w:tab/>
            </w:r>
            <w:r w:rsidRPr="00436E9A">
              <w:rPr>
                <w:rStyle w:val="Hyperlink"/>
                <w:noProof/>
              </w:rPr>
              <w:t>The Thematic Map of Lineament Density</w:t>
            </w:r>
            <w:r>
              <w:rPr>
                <w:noProof/>
                <w:webHidden/>
              </w:rPr>
              <w:tab/>
            </w:r>
            <w:r>
              <w:rPr>
                <w:noProof/>
                <w:webHidden/>
              </w:rPr>
              <w:fldChar w:fldCharType="begin"/>
            </w:r>
            <w:r>
              <w:rPr>
                <w:noProof/>
                <w:webHidden/>
              </w:rPr>
              <w:instrText xml:space="preserve"> PAGEREF _Toc68761576 \h </w:instrText>
            </w:r>
            <w:r>
              <w:rPr>
                <w:noProof/>
                <w:webHidden/>
              </w:rPr>
            </w:r>
            <w:r>
              <w:rPr>
                <w:noProof/>
                <w:webHidden/>
              </w:rPr>
              <w:fldChar w:fldCharType="separate"/>
            </w:r>
            <w:r w:rsidR="00BD510E">
              <w:rPr>
                <w:noProof/>
                <w:webHidden/>
              </w:rPr>
              <w:t>52</w:t>
            </w:r>
            <w:r>
              <w:rPr>
                <w:noProof/>
                <w:webHidden/>
              </w:rPr>
              <w:fldChar w:fldCharType="end"/>
            </w:r>
          </w:hyperlink>
        </w:p>
        <w:p w:rsidR="005E3F37" w:rsidRDefault="005E3F37" w:rsidP="008B5D5F">
          <w:pPr>
            <w:pStyle w:val="TOC3"/>
            <w:tabs>
              <w:tab w:val="left" w:pos="1320"/>
              <w:tab w:val="right" w:leader="dot" w:pos="8774"/>
            </w:tabs>
            <w:rPr>
              <w:rFonts w:asciiTheme="minorHAnsi" w:eastAsiaTheme="minorEastAsia" w:hAnsiTheme="minorHAnsi" w:cstheme="minorBidi"/>
              <w:noProof/>
              <w:sz w:val="22"/>
              <w:szCs w:val="22"/>
            </w:rPr>
          </w:pPr>
          <w:hyperlink w:anchor="_Toc68761577" w:history="1">
            <w:r w:rsidRPr="00436E9A">
              <w:rPr>
                <w:rStyle w:val="Hyperlink"/>
                <w:noProof/>
              </w:rPr>
              <w:t>4.1.3.</w:t>
            </w:r>
            <w:r>
              <w:rPr>
                <w:rFonts w:asciiTheme="minorHAnsi" w:eastAsiaTheme="minorEastAsia" w:hAnsiTheme="minorHAnsi" w:cstheme="minorBidi"/>
                <w:noProof/>
                <w:sz w:val="22"/>
                <w:szCs w:val="22"/>
              </w:rPr>
              <w:tab/>
            </w:r>
            <w:r w:rsidRPr="00436E9A">
              <w:rPr>
                <w:rStyle w:val="Hyperlink"/>
                <w:noProof/>
              </w:rPr>
              <w:t>The Thematic Map of Geological Formation</w:t>
            </w:r>
            <w:r>
              <w:rPr>
                <w:noProof/>
                <w:webHidden/>
              </w:rPr>
              <w:tab/>
            </w:r>
            <w:r>
              <w:rPr>
                <w:noProof/>
                <w:webHidden/>
              </w:rPr>
              <w:fldChar w:fldCharType="begin"/>
            </w:r>
            <w:r>
              <w:rPr>
                <w:noProof/>
                <w:webHidden/>
              </w:rPr>
              <w:instrText xml:space="preserve"> PAGEREF _Toc68761577 \h </w:instrText>
            </w:r>
            <w:r>
              <w:rPr>
                <w:noProof/>
                <w:webHidden/>
              </w:rPr>
            </w:r>
            <w:r>
              <w:rPr>
                <w:noProof/>
                <w:webHidden/>
              </w:rPr>
              <w:fldChar w:fldCharType="separate"/>
            </w:r>
            <w:r w:rsidR="00BD510E">
              <w:rPr>
                <w:noProof/>
                <w:webHidden/>
              </w:rPr>
              <w:t>55</w:t>
            </w:r>
            <w:r>
              <w:rPr>
                <w:noProof/>
                <w:webHidden/>
              </w:rPr>
              <w:fldChar w:fldCharType="end"/>
            </w:r>
          </w:hyperlink>
        </w:p>
        <w:p w:rsidR="005E3F37" w:rsidRDefault="005E3F37" w:rsidP="008B5D5F">
          <w:pPr>
            <w:pStyle w:val="TOC3"/>
            <w:tabs>
              <w:tab w:val="left" w:pos="1320"/>
              <w:tab w:val="right" w:leader="dot" w:pos="8774"/>
            </w:tabs>
            <w:rPr>
              <w:rFonts w:asciiTheme="minorHAnsi" w:eastAsiaTheme="minorEastAsia" w:hAnsiTheme="minorHAnsi" w:cstheme="minorBidi"/>
              <w:noProof/>
              <w:sz w:val="22"/>
              <w:szCs w:val="22"/>
            </w:rPr>
          </w:pPr>
          <w:hyperlink w:anchor="_Toc68761578" w:history="1">
            <w:r w:rsidRPr="00436E9A">
              <w:rPr>
                <w:rStyle w:val="Hyperlink"/>
                <w:noProof/>
              </w:rPr>
              <w:t>4.1.4.</w:t>
            </w:r>
            <w:r>
              <w:rPr>
                <w:rFonts w:asciiTheme="minorHAnsi" w:eastAsiaTheme="minorEastAsia" w:hAnsiTheme="minorHAnsi" w:cstheme="minorBidi"/>
                <w:noProof/>
                <w:sz w:val="22"/>
                <w:szCs w:val="22"/>
              </w:rPr>
              <w:tab/>
            </w:r>
            <w:r w:rsidRPr="00436E9A">
              <w:rPr>
                <w:rStyle w:val="Hyperlink"/>
                <w:noProof/>
              </w:rPr>
              <w:t>The Thematic Map of Rainfall Distribution</w:t>
            </w:r>
            <w:r>
              <w:rPr>
                <w:noProof/>
                <w:webHidden/>
              </w:rPr>
              <w:tab/>
            </w:r>
            <w:r>
              <w:rPr>
                <w:noProof/>
                <w:webHidden/>
              </w:rPr>
              <w:fldChar w:fldCharType="begin"/>
            </w:r>
            <w:r>
              <w:rPr>
                <w:noProof/>
                <w:webHidden/>
              </w:rPr>
              <w:instrText xml:space="preserve"> PAGEREF _Toc68761578 \h </w:instrText>
            </w:r>
            <w:r>
              <w:rPr>
                <w:noProof/>
                <w:webHidden/>
              </w:rPr>
            </w:r>
            <w:r>
              <w:rPr>
                <w:noProof/>
                <w:webHidden/>
              </w:rPr>
              <w:fldChar w:fldCharType="separate"/>
            </w:r>
            <w:r w:rsidR="00BD510E">
              <w:rPr>
                <w:noProof/>
                <w:webHidden/>
              </w:rPr>
              <w:t>56</w:t>
            </w:r>
            <w:r>
              <w:rPr>
                <w:noProof/>
                <w:webHidden/>
              </w:rPr>
              <w:fldChar w:fldCharType="end"/>
            </w:r>
          </w:hyperlink>
        </w:p>
        <w:p w:rsidR="005E3F37" w:rsidRDefault="005E3F37" w:rsidP="008B5D5F">
          <w:pPr>
            <w:pStyle w:val="TOC3"/>
            <w:tabs>
              <w:tab w:val="left" w:pos="1320"/>
              <w:tab w:val="right" w:leader="dot" w:pos="8774"/>
            </w:tabs>
            <w:rPr>
              <w:rFonts w:asciiTheme="minorHAnsi" w:eastAsiaTheme="minorEastAsia" w:hAnsiTheme="minorHAnsi" w:cstheme="minorBidi"/>
              <w:noProof/>
              <w:sz w:val="22"/>
              <w:szCs w:val="22"/>
            </w:rPr>
          </w:pPr>
          <w:hyperlink w:anchor="_Toc68761579" w:history="1">
            <w:r w:rsidRPr="00436E9A">
              <w:rPr>
                <w:rStyle w:val="Hyperlink"/>
                <w:noProof/>
              </w:rPr>
              <w:t>4.1.5.</w:t>
            </w:r>
            <w:r>
              <w:rPr>
                <w:rFonts w:asciiTheme="minorHAnsi" w:eastAsiaTheme="minorEastAsia" w:hAnsiTheme="minorHAnsi" w:cstheme="minorBidi"/>
                <w:noProof/>
                <w:sz w:val="22"/>
                <w:szCs w:val="22"/>
              </w:rPr>
              <w:tab/>
            </w:r>
            <w:r w:rsidRPr="00436E9A">
              <w:rPr>
                <w:rStyle w:val="Hyperlink"/>
                <w:noProof/>
              </w:rPr>
              <w:t>The Thematic Map of Drainage Density</w:t>
            </w:r>
            <w:r>
              <w:rPr>
                <w:noProof/>
                <w:webHidden/>
              </w:rPr>
              <w:tab/>
            </w:r>
            <w:r>
              <w:rPr>
                <w:noProof/>
                <w:webHidden/>
              </w:rPr>
              <w:fldChar w:fldCharType="begin"/>
            </w:r>
            <w:r>
              <w:rPr>
                <w:noProof/>
                <w:webHidden/>
              </w:rPr>
              <w:instrText xml:space="preserve"> PAGEREF _Toc68761579 \h </w:instrText>
            </w:r>
            <w:r>
              <w:rPr>
                <w:noProof/>
                <w:webHidden/>
              </w:rPr>
            </w:r>
            <w:r>
              <w:rPr>
                <w:noProof/>
                <w:webHidden/>
              </w:rPr>
              <w:fldChar w:fldCharType="separate"/>
            </w:r>
            <w:r w:rsidR="00BD510E">
              <w:rPr>
                <w:noProof/>
                <w:webHidden/>
              </w:rPr>
              <w:t>58</w:t>
            </w:r>
            <w:r>
              <w:rPr>
                <w:noProof/>
                <w:webHidden/>
              </w:rPr>
              <w:fldChar w:fldCharType="end"/>
            </w:r>
          </w:hyperlink>
        </w:p>
        <w:p w:rsidR="005E3F37" w:rsidRDefault="005E3F37" w:rsidP="008B5D5F">
          <w:pPr>
            <w:pStyle w:val="TOC3"/>
            <w:tabs>
              <w:tab w:val="left" w:pos="1320"/>
              <w:tab w:val="right" w:leader="dot" w:pos="8774"/>
            </w:tabs>
            <w:rPr>
              <w:rFonts w:asciiTheme="minorHAnsi" w:eastAsiaTheme="minorEastAsia" w:hAnsiTheme="minorHAnsi" w:cstheme="minorBidi"/>
              <w:noProof/>
              <w:sz w:val="22"/>
              <w:szCs w:val="22"/>
            </w:rPr>
          </w:pPr>
          <w:hyperlink w:anchor="_Toc68761580" w:history="1">
            <w:r w:rsidRPr="00436E9A">
              <w:rPr>
                <w:rStyle w:val="Hyperlink"/>
                <w:noProof/>
              </w:rPr>
              <w:t>4.1.6.</w:t>
            </w:r>
            <w:r>
              <w:rPr>
                <w:rFonts w:asciiTheme="minorHAnsi" w:eastAsiaTheme="minorEastAsia" w:hAnsiTheme="minorHAnsi" w:cstheme="minorBidi"/>
                <w:noProof/>
                <w:sz w:val="22"/>
                <w:szCs w:val="22"/>
              </w:rPr>
              <w:tab/>
            </w:r>
            <w:r w:rsidRPr="00436E9A">
              <w:rPr>
                <w:rStyle w:val="Hyperlink"/>
                <w:noProof/>
              </w:rPr>
              <w:t>The Thematic Map of Slope</w:t>
            </w:r>
            <w:r>
              <w:rPr>
                <w:noProof/>
                <w:webHidden/>
              </w:rPr>
              <w:tab/>
            </w:r>
            <w:r>
              <w:rPr>
                <w:noProof/>
                <w:webHidden/>
              </w:rPr>
              <w:fldChar w:fldCharType="begin"/>
            </w:r>
            <w:r>
              <w:rPr>
                <w:noProof/>
                <w:webHidden/>
              </w:rPr>
              <w:instrText xml:space="preserve"> PAGEREF _Toc68761580 \h </w:instrText>
            </w:r>
            <w:r>
              <w:rPr>
                <w:noProof/>
                <w:webHidden/>
              </w:rPr>
            </w:r>
            <w:r>
              <w:rPr>
                <w:noProof/>
                <w:webHidden/>
              </w:rPr>
              <w:fldChar w:fldCharType="separate"/>
            </w:r>
            <w:r w:rsidR="00BD510E">
              <w:rPr>
                <w:noProof/>
                <w:webHidden/>
              </w:rPr>
              <w:t>60</w:t>
            </w:r>
            <w:r>
              <w:rPr>
                <w:noProof/>
                <w:webHidden/>
              </w:rPr>
              <w:fldChar w:fldCharType="end"/>
            </w:r>
          </w:hyperlink>
        </w:p>
        <w:p w:rsidR="005E3F37" w:rsidRDefault="005E3F37" w:rsidP="008B5D5F">
          <w:pPr>
            <w:pStyle w:val="TOC3"/>
            <w:tabs>
              <w:tab w:val="left" w:pos="1320"/>
              <w:tab w:val="right" w:leader="dot" w:pos="8774"/>
            </w:tabs>
            <w:rPr>
              <w:rFonts w:asciiTheme="minorHAnsi" w:eastAsiaTheme="minorEastAsia" w:hAnsiTheme="minorHAnsi" w:cstheme="minorBidi"/>
              <w:noProof/>
              <w:sz w:val="22"/>
              <w:szCs w:val="22"/>
            </w:rPr>
          </w:pPr>
          <w:hyperlink w:anchor="_Toc68761581" w:history="1">
            <w:r w:rsidRPr="00436E9A">
              <w:rPr>
                <w:rStyle w:val="Hyperlink"/>
                <w:noProof/>
              </w:rPr>
              <w:t>4.1.7.</w:t>
            </w:r>
            <w:r>
              <w:rPr>
                <w:rFonts w:asciiTheme="minorHAnsi" w:eastAsiaTheme="minorEastAsia" w:hAnsiTheme="minorHAnsi" w:cstheme="minorBidi"/>
                <w:noProof/>
                <w:sz w:val="22"/>
                <w:szCs w:val="22"/>
              </w:rPr>
              <w:tab/>
            </w:r>
            <w:r w:rsidRPr="00436E9A">
              <w:rPr>
                <w:rStyle w:val="Hyperlink"/>
                <w:noProof/>
              </w:rPr>
              <w:t>The Thematic Map of Elevation</w:t>
            </w:r>
            <w:r>
              <w:rPr>
                <w:noProof/>
                <w:webHidden/>
              </w:rPr>
              <w:tab/>
            </w:r>
            <w:r>
              <w:rPr>
                <w:noProof/>
                <w:webHidden/>
              </w:rPr>
              <w:fldChar w:fldCharType="begin"/>
            </w:r>
            <w:r>
              <w:rPr>
                <w:noProof/>
                <w:webHidden/>
              </w:rPr>
              <w:instrText xml:space="preserve"> PAGEREF _Toc68761581 \h </w:instrText>
            </w:r>
            <w:r>
              <w:rPr>
                <w:noProof/>
                <w:webHidden/>
              </w:rPr>
            </w:r>
            <w:r>
              <w:rPr>
                <w:noProof/>
                <w:webHidden/>
              </w:rPr>
              <w:fldChar w:fldCharType="separate"/>
            </w:r>
            <w:r w:rsidR="00BD510E">
              <w:rPr>
                <w:noProof/>
                <w:webHidden/>
              </w:rPr>
              <w:t>62</w:t>
            </w:r>
            <w:r>
              <w:rPr>
                <w:noProof/>
                <w:webHidden/>
              </w:rPr>
              <w:fldChar w:fldCharType="end"/>
            </w:r>
          </w:hyperlink>
        </w:p>
        <w:p w:rsidR="005E3F37" w:rsidRDefault="005E3F37" w:rsidP="008B5D5F">
          <w:pPr>
            <w:pStyle w:val="TOC3"/>
            <w:tabs>
              <w:tab w:val="left" w:pos="1320"/>
              <w:tab w:val="right" w:leader="dot" w:pos="8774"/>
            </w:tabs>
            <w:rPr>
              <w:rFonts w:asciiTheme="minorHAnsi" w:eastAsiaTheme="minorEastAsia" w:hAnsiTheme="minorHAnsi" w:cstheme="minorBidi"/>
              <w:noProof/>
              <w:sz w:val="22"/>
              <w:szCs w:val="22"/>
            </w:rPr>
          </w:pPr>
          <w:hyperlink w:anchor="_Toc68761582" w:history="1">
            <w:r w:rsidRPr="00436E9A">
              <w:rPr>
                <w:rStyle w:val="Hyperlink"/>
                <w:noProof/>
              </w:rPr>
              <w:t>4.1.8.</w:t>
            </w:r>
            <w:r>
              <w:rPr>
                <w:rFonts w:asciiTheme="minorHAnsi" w:eastAsiaTheme="minorEastAsia" w:hAnsiTheme="minorHAnsi" w:cstheme="minorBidi"/>
                <w:noProof/>
                <w:sz w:val="22"/>
                <w:szCs w:val="22"/>
              </w:rPr>
              <w:tab/>
            </w:r>
            <w:r w:rsidRPr="00436E9A">
              <w:rPr>
                <w:rStyle w:val="Hyperlink"/>
                <w:noProof/>
              </w:rPr>
              <w:t>The Thematic Map of Land Use and Land Cover</w:t>
            </w:r>
            <w:r>
              <w:rPr>
                <w:noProof/>
                <w:webHidden/>
              </w:rPr>
              <w:tab/>
            </w:r>
            <w:r>
              <w:rPr>
                <w:noProof/>
                <w:webHidden/>
              </w:rPr>
              <w:fldChar w:fldCharType="begin"/>
            </w:r>
            <w:r>
              <w:rPr>
                <w:noProof/>
                <w:webHidden/>
              </w:rPr>
              <w:instrText xml:space="preserve"> PAGEREF _Toc68761582 \h </w:instrText>
            </w:r>
            <w:r>
              <w:rPr>
                <w:noProof/>
                <w:webHidden/>
              </w:rPr>
            </w:r>
            <w:r>
              <w:rPr>
                <w:noProof/>
                <w:webHidden/>
              </w:rPr>
              <w:fldChar w:fldCharType="separate"/>
            </w:r>
            <w:r w:rsidR="00BD510E">
              <w:rPr>
                <w:noProof/>
                <w:webHidden/>
              </w:rPr>
              <w:t>64</w:t>
            </w:r>
            <w:r>
              <w:rPr>
                <w:noProof/>
                <w:webHidden/>
              </w:rPr>
              <w:fldChar w:fldCharType="end"/>
            </w:r>
          </w:hyperlink>
        </w:p>
        <w:p w:rsidR="005E3F37" w:rsidRDefault="005E3F37" w:rsidP="008B5D5F">
          <w:pPr>
            <w:pStyle w:val="TOC3"/>
            <w:tabs>
              <w:tab w:val="left" w:pos="1320"/>
              <w:tab w:val="right" w:leader="dot" w:pos="8774"/>
            </w:tabs>
            <w:rPr>
              <w:rFonts w:asciiTheme="minorHAnsi" w:eastAsiaTheme="minorEastAsia" w:hAnsiTheme="minorHAnsi" w:cstheme="minorBidi"/>
              <w:noProof/>
              <w:sz w:val="22"/>
              <w:szCs w:val="22"/>
            </w:rPr>
          </w:pPr>
          <w:hyperlink w:anchor="_Toc68761583" w:history="1">
            <w:r w:rsidRPr="00436E9A">
              <w:rPr>
                <w:rStyle w:val="Hyperlink"/>
                <w:noProof/>
              </w:rPr>
              <w:t>4.1.9.</w:t>
            </w:r>
            <w:r>
              <w:rPr>
                <w:rFonts w:asciiTheme="minorHAnsi" w:eastAsiaTheme="minorEastAsia" w:hAnsiTheme="minorHAnsi" w:cstheme="minorBidi"/>
                <w:noProof/>
                <w:sz w:val="22"/>
                <w:szCs w:val="22"/>
              </w:rPr>
              <w:tab/>
            </w:r>
            <w:r w:rsidRPr="00436E9A">
              <w:rPr>
                <w:rStyle w:val="Hyperlink"/>
                <w:noProof/>
              </w:rPr>
              <w:t>The Thematic Map of Soil Texture</w:t>
            </w:r>
            <w:r>
              <w:rPr>
                <w:noProof/>
                <w:webHidden/>
              </w:rPr>
              <w:tab/>
            </w:r>
            <w:r>
              <w:rPr>
                <w:noProof/>
                <w:webHidden/>
              </w:rPr>
              <w:fldChar w:fldCharType="begin"/>
            </w:r>
            <w:r>
              <w:rPr>
                <w:noProof/>
                <w:webHidden/>
              </w:rPr>
              <w:instrText xml:space="preserve"> PAGEREF _Toc68761583 \h </w:instrText>
            </w:r>
            <w:r>
              <w:rPr>
                <w:noProof/>
                <w:webHidden/>
              </w:rPr>
            </w:r>
            <w:r>
              <w:rPr>
                <w:noProof/>
                <w:webHidden/>
              </w:rPr>
              <w:fldChar w:fldCharType="separate"/>
            </w:r>
            <w:r w:rsidR="00BD510E">
              <w:rPr>
                <w:noProof/>
                <w:webHidden/>
              </w:rPr>
              <w:t>66</w:t>
            </w:r>
            <w:r>
              <w:rPr>
                <w:noProof/>
                <w:webHidden/>
              </w:rPr>
              <w:fldChar w:fldCharType="end"/>
            </w:r>
          </w:hyperlink>
        </w:p>
        <w:p w:rsidR="005E3F37" w:rsidRDefault="005E3F37" w:rsidP="008B5D5F">
          <w:pPr>
            <w:pStyle w:val="TOC2"/>
            <w:tabs>
              <w:tab w:val="left" w:pos="880"/>
              <w:tab w:val="right" w:leader="dot" w:pos="8774"/>
            </w:tabs>
            <w:rPr>
              <w:rFonts w:asciiTheme="minorHAnsi" w:eastAsiaTheme="minorEastAsia" w:hAnsiTheme="minorHAnsi" w:cstheme="minorBidi"/>
              <w:noProof/>
              <w:sz w:val="22"/>
              <w:szCs w:val="22"/>
            </w:rPr>
          </w:pPr>
          <w:hyperlink w:anchor="_Toc68761584" w:history="1">
            <w:r w:rsidRPr="00436E9A">
              <w:rPr>
                <w:rStyle w:val="Hyperlink"/>
                <w:noProof/>
              </w:rPr>
              <w:t>4.2.</w:t>
            </w:r>
            <w:r>
              <w:rPr>
                <w:rFonts w:asciiTheme="minorHAnsi" w:eastAsiaTheme="minorEastAsia" w:hAnsiTheme="minorHAnsi" w:cstheme="minorBidi"/>
                <w:noProof/>
                <w:sz w:val="22"/>
                <w:szCs w:val="22"/>
              </w:rPr>
              <w:tab/>
            </w:r>
            <w:r w:rsidRPr="00436E9A">
              <w:rPr>
                <w:rStyle w:val="Hyperlink"/>
                <w:noProof/>
              </w:rPr>
              <w:t>Assignment of Weight to Factors</w:t>
            </w:r>
            <w:r>
              <w:rPr>
                <w:noProof/>
                <w:webHidden/>
              </w:rPr>
              <w:tab/>
            </w:r>
            <w:r>
              <w:rPr>
                <w:noProof/>
                <w:webHidden/>
              </w:rPr>
              <w:fldChar w:fldCharType="begin"/>
            </w:r>
            <w:r>
              <w:rPr>
                <w:noProof/>
                <w:webHidden/>
              </w:rPr>
              <w:instrText xml:space="preserve"> PAGEREF _Toc68761584 \h </w:instrText>
            </w:r>
            <w:r>
              <w:rPr>
                <w:noProof/>
                <w:webHidden/>
              </w:rPr>
            </w:r>
            <w:r>
              <w:rPr>
                <w:noProof/>
                <w:webHidden/>
              </w:rPr>
              <w:fldChar w:fldCharType="separate"/>
            </w:r>
            <w:r w:rsidR="00BD510E">
              <w:rPr>
                <w:noProof/>
                <w:webHidden/>
              </w:rPr>
              <w:t>68</w:t>
            </w:r>
            <w:r>
              <w:rPr>
                <w:noProof/>
                <w:webHidden/>
              </w:rPr>
              <w:fldChar w:fldCharType="end"/>
            </w:r>
          </w:hyperlink>
        </w:p>
        <w:p w:rsidR="005E3F37" w:rsidRDefault="005E3F37" w:rsidP="008B5D5F">
          <w:pPr>
            <w:pStyle w:val="TOC2"/>
            <w:tabs>
              <w:tab w:val="left" w:pos="880"/>
              <w:tab w:val="right" w:leader="dot" w:pos="8774"/>
            </w:tabs>
            <w:rPr>
              <w:rFonts w:asciiTheme="minorHAnsi" w:eastAsiaTheme="minorEastAsia" w:hAnsiTheme="minorHAnsi" w:cstheme="minorBidi"/>
              <w:noProof/>
              <w:sz w:val="22"/>
              <w:szCs w:val="22"/>
            </w:rPr>
          </w:pPr>
          <w:hyperlink w:anchor="_Toc68761585" w:history="1">
            <w:r w:rsidRPr="00436E9A">
              <w:rPr>
                <w:rStyle w:val="Hyperlink"/>
                <w:noProof/>
              </w:rPr>
              <w:t>4.3.</w:t>
            </w:r>
            <w:r>
              <w:rPr>
                <w:rFonts w:asciiTheme="minorHAnsi" w:eastAsiaTheme="minorEastAsia" w:hAnsiTheme="minorHAnsi" w:cstheme="minorBidi"/>
                <w:noProof/>
                <w:sz w:val="22"/>
                <w:szCs w:val="22"/>
              </w:rPr>
              <w:tab/>
            </w:r>
            <w:r w:rsidRPr="00436E9A">
              <w:rPr>
                <w:rStyle w:val="Hyperlink"/>
                <w:noProof/>
              </w:rPr>
              <w:t>Delineation of Groundwater Potential Zones</w:t>
            </w:r>
            <w:r>
              <w:rPr>
                <w:noProof/>
                <w:webHidden/>
              </w:rPr>
              <w:tab/>
            </w:r>
            <w:r>
              <w:rPr>
                <w:noProof/>
                <w:webHidden/>
              </w:rPr>
              <w:fldChar w:fldCharType="begin"/>
            </w:r>
            <w:r>
              <w:rPr>
                <w:noProof/>
                <w:webHidden/>
              </w:rPr>
              <w:instrText xml:space="preserve"> PAGEREF _Toc68761585 \h </w:instrText>
            </w:r>
            <w:r>
              <w:rPr>
                <w:noProof/>
                <w:webHidden/>
              </w:rPr>
            </w:r>
            <w:r>
              <w:rPr>
                <w:noProof/>
                <w:webHidden/>
              </w:rPr>
              <w:fldChar w:fldCharType="separate"/>
            </w:r>
            <w:r w:rsidR="00BD510E">
              <w:rPr>
                <w:noProof/>
                <w:webHidden/>
              </w:rPr>
              <w:t>71</w:t>
            </w:r>
            <w:r>
              <w:rPr>
                <w:noProof/>
                <w:webHidden/>
              </w:rPr>
              <w:fldChar w:fldCharType="end"/>
            </w:r>
          </w:hyperlink>
        </w:p>
        <w:p w:rsidR="005E3F37" w:rsidRDefault="005E3F37" w:rsidP="008B5D5F">
          <w:pPr>
            <w:pStyle w:val="TOC2"/>
            <w:tabs>
              <w:tab w:val="left" w:pos="880"/>
              <w:tab w:val="right" w:leader="dot" w:pos="8774"/>
            </w:tabs>
            <w:rPr>
              <w:rFonts w:asciiTheme="minorHAnsi" w:eastAsiaTheme="minorEastAsia" w:hAnsiTheme="minorHAnsi" w:cstheme="minorBidi"/>
              <w:noProof/>
              <w:sz w:val="22"/>
              <w:szCs w:val="22"/>
            </w:rPr>
          </w:pPr>
          <w:hyperlink w:anchor="_Toc68761586" w:history="1">
            <w:r w:rsidRPr="00436E9A">
              <w:rPr>
                <w:rStyle w:val="Hyperlink"/>
                <w:rFonts w:eastAsiaTheme="majorEastAsia"/>
                <w:noProof/>
              </w:rPr>
              <w:t>4.4.</w:t>
            </w:r>
            <w:r>
              <w:rPr>
                <w:rFonts w:asciiTheme="minorHAnsi" w:eastAsiaTheme="minorEastAsia" w:hAnsiTheme="minorHAnsi" w:cstheme="minorBidi"/>
                <w:noProof/>
                <w:sz w:val="22"/>
                <w:szCs w:val="22"/>
              </w:rPr>
              <w:tab/>
            </w:r>
            <w:r w:rsidRPr="00436E9A">
              <w:rPr>
                <w:rStyle w:val="Hyperlink"/>
                <w:rFonts w:eastAsiaTheme="majorEastAsia"/>
                <w:noProof/>
              </w:rPr>
              <w:t>Verification of the Result Using Water Point Data</w:t>
            </w:r>
            <w:r>
              <w:rPr>
                <w:noProof/>
                <w:webHidden/>
              </w:rPr>
              <w:tab/>
            </w:r>
            <w:r>
              <w:rPr>
                <w:noProof/>
                <w:webHidden/>
              </w:rPr>
              <w:fldChar w:fldCharType="begin"/>
            </w:r>
            <w:r>
              <w:rPr>
                <w:noProof/>
                <w:webHidden/>
              </w:rPr>
              <w:instrText xml:space="preserve"> PAGEREF _Toc68761586 \h </w:instrText>
            </w:r>
            <w:r>
              <w:rPr>
                <w:noProof/>
                <w:webHidden/>
              </w:rPr>
            </w:r>
            <w:r>
              <w:rPr>
                <w:noProof/>
                <w:webHidden/>
              </w:rPr>
              <w:fldChar w:fldCharType="separate"/>
            </w:r>
            <w:r w:rsidR="00BD510E">
              <w:rPr>
                <w:noProof/>
                <w:webHidden/>
              </w:rPr>
              <w:t>74</w:t>
            </w:r>
            <w:r>
              <w:rPr>
                <w:noProof/>
                <w:webHidden/>
              </w:rPr>
              <w:fldChar w:fldCharType="end"/>
            </w:r>
          </w:hyperlink>
        </w:p>
        <w:p w:rsidR="005E3F37" w:rsidRDefault="005E3F37" w:rsidP="008B5D5F">
          <w:pPr>
            <w:pStyle w:val="TOC2"/>
            <w:tabs>
              <w:tab w:val="left" w:pos="880"/>
              <w:tab w:val="right" w:leader="dot" w:pos="8774"/>
            </w:tabs>
            <w:rPr>
              <w:rFonts w:asciiTheme="minorHAnsi" w:eastAsiaTheme="minorEastAsia" w:hAnsiTheme="minorHAnsi" w:cstheme="minorBidi"/>
              <w:noProof/>
              <w:sz w:val="22"/>
              <w:szCs w:val="22"/>
            </w:rPr>
          </w:pPr>
          <w:hyperlink w:anchor="_Toc68761587" w:history="1">
            <w:r w:rsidRPr="00436E9A">
              <w:rPr>
                <w:rStyle w:val="Hyperlink"/>
                <w:rFonts w:eastAsiaTheme="minorHAnsi"/>
                <w:noProof/>
              </w:rPr>
              <w:t>4.5.</w:t>
            </w:r>
            <w:r>
              <w:rPr>
                <w:rFonts w:asciiTheme="minorHAnsi" w:eastAsiaTheme="minorEastAsia" w:hAnsiTheme="minorHAnsi" w:cstheme="minorBidi"/>
                <w:noProof/>
                <w:sz w:val="22"/>
                <w:szCs w:val="22"/>
              </w:rPr>
              <w:tab/>
            </w:r>
            <w:r w:rsidRPr="00436E9A">
              <w:rPr>
                <w:rStyle w:val="Hyperlink"/>
                <w:rFonts w:eastAsiaTheme="minorHAnsi"/>
                <w:noProof/>
              </w:rPr>
              <w:t>Groundwater Flow Direction</w:t>
            </w:r>
            <w:r>
              <w:rPr>
                <w:noProof/>
                <w:webHidden/>
              </w:rPr>
              <w:tab/>
            </w:r>
            <w:r>
              <w:rPr>
                <w:noProof/>
                <w:webHidden/>
              </w:rPr>
              <w:fldChar w:fldCharType="begin"/>
            </w:r>
            <w:r>
              <w:rPr>
                <w:noProof/>
                <w:webHidden/>
              </w:rPr>
              <w:instrText xml:space="preserve"> PAGEREF _Toc68761587 \h </w:instrText>
            </w:r>
            <w:r>
              <w:rPr>
                <w:noProof/>
                <w:webHidden/>
              </w:rPr>
            </w:r>
            <w:r>
              <w:rPr>
                <w:noProof/>
                <w:webHidden/>
              </w:rPr>
              <w:fldChar w:fldCharType="separate"/>
            </w:r>
            <w:r w:rsidR="00BD510E">
              <w:rPr>
                <w:noProof/>
                <w:webHidden/>
              </w:rPr>
              <w:t>76</w:t>
            </w:r>
            <w:r>
              <w:rPr>
                <w:noProof/>
                <w:webHidden/>
              </w:rPr>
              <w:fldChar w:fldCharType="end"/>
            </w:r>
          </w:hyperlink>
        </w:p>
        <w:p w:rsidR="005E3F37" w:rsidRDefault="005E3F37" w:rsidP="008B5D5F">
          <w:pPr>
            <w:pStyle w:val="TOC1"/>
            <w:tabs>
              <w:tab w:val="left" w:pos="440"/>
            </w:tabs>
            <w:rPr>
              <w:rFonts w:asciiTheme="minorHAnsi" w:eastAsiaTheme="minorEastAsia" w:hAnsiTheme="minorHAnsi" w:cstheme="minorBidi"/>
              <w:noProof/>
              <w:sz w:val="22"/>
              <w:szCs w:val="22"/>
            </w:rPr>
          </w:pPr>
          <w:hyperlink w:anchor="_Toc68761588" w:history="1">
            <w:r w:rsidRPr="00436E9A">
              <w:rPr>
                <w:rStyle w:val="Hyperlink"/>
                <w:noProof/>
              </w:rPr>
              <w:t>5.</w:t>
            </w:r>
            <w:r>
              <w:rPr>
                <w:rFonts w:asciiTheme="minorHAnsi" w:eastAsiaTheme="minorEastAsia" w:hAnsiTheme="minorHAnsi" w:cstheme="minorBidi"/>
                <w:noProof/>
                <w:sz w:val="22"/>
                <w:szCs w:val="22"/>
              </w:rPr>
              <w:tab/>
            </w:r>
            <w:r w:rsidRPr="00436E9A">
              <w:rPr>
                <w:rStyle w:val="Hyperlink"/>
                <w:noProof/>
              </w:rPr>
              <w:t>SUMMARY AND CONCLUSION</w:t>
            </w:r>
            <w:r>
              <w:rPr>
                <w:noProof/>
                <w:webHidden/>
              </w:rPr>
              <w:tab/>
            </w:r>
            <w:r>
              <w:rPr>
                <w:noProof/>
                <w:webHidden/>
              </w:rPr>
              <w:fldChar w:fldCharType="begin"/>
            </w:r>
            <w:r>
              <w:rPr>
                <w:noProof/>
                <w:webHidden/>
              </w:rPr>
              <w:instrText xml:space="preserve"> PAGEREF _Toc68761588 \h </w:instrText>
            </w:r>
            <w:r>
              <w:rPr>
                <w:noProof/>
                <w:webHidden/>
              </w:rPr>
            </w:r>
            <w:r>
              <w:rPr>
                <w:noProof/>
                <w:webHidden/>
              </w:rPr>
              <w:fldChar w:fldCharType="separate"/>
            </w:r>
            <w:r w:rsidR="00BD510E">
              <w:rPr>
                <w:noProof/>
                <w:webHidden/>
              </w:rPr>
              <w:t>80</w:t>
            </w:r>
            <w:r>
              <w:rPr>
                <w:noProof/>
                <w:webHidden/>
              </w:rPr>
              <w:fldChar w:fldCharType="end"/>
            </w:r>
          </w:hyperlink>
        </w:p>
        <w:p w:rsidR="005E3F37" w:rsidRDefault="005E3F37" w:rsidP="008B5D5F">
          <w:pPr>
            <w:pStyle w:val="TOC2"/>
            <w:tabs>
              <w:tab w:val="left" w:pos="880"/>
              <w:tab w:val="right" w:leader="dot" w:pos="8774"/>
            </w:tabs>
            <w:rPr>
              <w:rFonts w:asciiTheme="minorHAnsi" w:eastAsiaTheme="minorEastAsia" w:hAnsiTheme="minorHAnsi" w:cstheme="minorBidi"/>
              <w:noProof/>
              <w:sz w:val="22"/>
              <w:szCs w:val="22"/>
            </w:rPr>
          </w:pPr>
          <w:hyperlink w:anchor="_Toc68761589" w:history="1">
            <w:r w:rsidRPr="00436E9A">
              <w:rPr>
                <w:rStyle w:val="Hyperlink"/>
                <w:rFonts w:eastAsiaTheme="majorEastAsia"/>
                <w:noProof/>
              </w:rPr>
              <w:t>5.1.</w:t>
            </w:r>
            <w:r>
              <w:rPr>
                <w:rFonts w:asciiTheme="minorHAnsi" w:eastAsiaTheme="minorEastAsia" w:hAnsiTheme="minorHAnsi" w:cstheme="minorBidi"/>
                <w:noProof/>
                <w:sz w:val="22"/>
                <w:szCs w:val="22"/>
              </w:rPr>
              <w:tab/>
            </w:r>
            <w:r w:rsidRPr="00436E9A">
              <w:rPr>
                <w:rStyle w:val="Hyperlink"/>
                <w:rFonts w:eastAsiaTheme="majorEastAsia"/>
                <w:noProof/>
              </w:rPr>
              <w:t>Summary</w:t>
            </w:r>
            <w:r>
              <w:rPr>
                <w:noProof/>
                <w:webHidden/>
              </w:rPr>
              <w:tab/>
            </w:r>
            <w:r>
              <w:rPr>
                <w:noProof/>
                <w:webHidden/>
              </w:rPr>
              <w:fldChar w:fldCharType="begin"/>
            </w:r>
            <w:r>
              <w:rPr>
                <w:noProof/>
                <w:webHidden/>
              </w:rPr>
              <w:instrText xml:space="preserve"> PAGEREF _Toc68761589 \h </w:instrText>
            </w:r>
            <w:r>
              <w:rPr>
                <w:noProof/>
                <w:webHidden/>
              </w:rPr>
            </w:r>
            <w:r>
              <w:rPr>
                <w:noProof/>
                <w:webHidden/>
              </w:rPr>
              <w:fldChar w:fldCharType="separate"/>
            </w:r>
            <w:r w:rsidR="00BD510E">
              <w:rPr>
                <w:noProof/>
                <w:webHidden/>
              </w:rPr>
              <w:t>80</w:t>
            </w:r>
            <w:r>
              <w:rPr>
                <w:noProof/>
                <w:webHidden/>
              </w:rPr>
              <w:fldChar w:fldCharType="end"/>
            </w:r>
          </w:hyperlink>
        </w:p>
        <w:p w:rsidR="005E3F37" w:rsidRDefault="005E3F37" w:rsidP="008B5D5F">
          <w:pPr>
            <w:pStyle w:val="TOC2"/>
            <w:tabs>
              <w:tab w:val="left" w:pos="880"/>
              <w:tab w:val="right" w:leader="dot" w:pos="8774"/>
            </w:tabs>
            <w:rPr>
              <w:rFonts w:asciiTheme="minorHAnsi" w:eastAsiaTheme="minorEastAsia" w:hAnsiTheme="minorHAnsi" w:cstheme="minorBidi"/>
              <w:noProof/>
              <w:sz w:val="22"/>
              <w:szCs w:val="22"/>
            </w:rPr>
          </w:pPr>
          <w:hyperlink w:anchor="_Toc68761590" w:history="1">
            <w:r w:rsidRPr="00436E9A">
              <w:rPr>
                <w:rStyle w:val="Hyperlink"/>
                <w:rFonts w:eastAsiaTheme="majorEastAsia"/>
                <w:noProof/>
              </w:rPr>
              <w:t>5.2.</w:t>
            </w:r>
            <w:r>
              <w:rPr>
                <w:rFonts w:asciiTheme="minorHAnsi" w:eastAsiaTheme="minorEastAsia" w:hAnsiTheme="minorHAnsi" w:cstheme="minorBidi"/>
                <w:noProof/>
                <w:sz w:val="22"/>
                <w:szCs w:val="22"/>
              </w:rPr>
              <w:tab/>
            </w:r>
            <w:r w:rsidRPr="00436E9A">
              <w:rPr>
                <w:rStyle w:val="Hyperlink"/>
                <w:rFonts w:eastAsiaTheme="majorEastAsia"/>
                <w:noProof/>
              </w:rPr>
              <w:t>Conclusions</w:t>
            </w:r>
            <w:r>
              <w:rPr>
                <w:noProof/>
                <w:webHidden/>
              </w:rPr>
              <w:tab/>
            </w:r>
            <w:r>
              <w:rPr>
                <w:noProof/>
                <w:webHidden/>
              </w:rPr>
              <w:fldChar w:fldCharType="begin"/>
            </w:r>
            <w:r>
              <w:rPr>
                <w:noProof/>
                <w:webHidden/>
              </w:rPr>
              <w:instrText xml:space="preserve"> PAGEREF _Toc68761590 \h </w:instrText>
            </w:r>
            <w:r>
              <w:rPr>
                <w:noProof/>
                <w:webHidden/>
              </w:rPr>
            </w:r>
            <w:r>
              <w:rPr>
                <w:noProof/>
                <w:webHidden/>
              </w:rPr>
              <w:fldChar w:fldCharType="separate"/>
            </w:r>
            <w:r w:rsidR="00BD510E">
              <w:rPr>
                <w:noProof/>
                <w:webHidden/>
              </w:rPr>
              <w:t>81</w:t>
            </w:r>
            <w:r>
              <w:rPr>
                <w:noProof/>
                <w:webHidden/>
              </w:rPr>
              <w:fldChar w:fldCharType="end"/>
            </w:r>
          </w:hyperlink>
        </w:p>
        <w:p w:rsidR="005E3F37" w:rsidRDefault="005E3F37" w:rsidP="008B5D5F">
          <w:pPr>
            <w:pStyle w:val="TOC2"/>
            <w:tabs>
              <w:tab w:val="left" w:pos="880"/>
              <w:tab w:val="right" w:leader="dot" w:pos="8774"/>
            </w:tabs>
            <w:rPr>
              <w:rFonts w:asciiTheme="minorHAnsi" w:eastAsiaTheme="minorEastAsia" w:hAnsiTheme="minorHAnsi" w:cstheme="minorBidi"/>
              <w:noProof/>
              <w:sz w:val="22"/>
              <w:szCs w:val="22"/>
            </w:rPr>
          </w:pPr>
          <w:hyperlink w:anchor="_Toc68761591" w:history="1">
            <w:r w:rsidRPr="00436E9A">
              <w:rPr>
                <w:rStyle w:val="Hyperlink"/>
                <w:noProof/>
              </w:rPr>
              <w:t>5.3.</w:t>
            </w:r>
            <w:r>
              <w:rPr>
                <w:rFonts w:asciiTheme="minorHAnsi" w:eastAsiaTheme="minorEastAsia" w:hAnsiTheme="minorHAnsi" w:cstheme="minorBidi"/>
                <w:noProof/>
                <w:sz w:val="22"/>
                <w:szCs w:val="22"/>
              </w:rPr>
              <w:tab/>
            </w:r>
            <w:r w:rsidRPr="00436E9A">
              <w:rPr>
                <w:rStyle w:val="Hyperlink"/>
                <w:noProof/>
              </w:rPr>
              <w:t>Recommendations</w:t>
            </w:r>
            <w:r>
              <w:rPr>
                <w:noProof/>
                <w:webHidden/>
              </w:rPr>
              <w:tab/>
            </w:r>
            <w:r>
              <w:rPr>
                <w:noProof/>
                <w:webHidden/>
              </w:rPr>
              <w:fldChar w:fldCharType="begin"/>
            </w:r>
            <w:r>
              <w:rPr>
                <w:noProof/>
                <w:webHidden/>
              </w:rPr>
              <w:instrText xml:space="preserve"> PAGEREF _Toc68761591 \h </w:instrText>
            </w:r>
            <w:r>
              <w:rPr>
                <w:noProof/>
                <w:webHidden/>
              </w:rPr>
            </w:r>
            <w:r>
              <w:rPr>
                <w:noProof/>
                <w:webHidden/>
              </w:rPr>
              <w:fldChar w:fldCharType="separate"/>
            </w:r>
            <w:r w:rsidR="00BD510E">
              <w:rPr>
                <w:noProof/>
                <w:webHidden/>
              </w:rPr>
              <w:t>83</w:t>
            </w:r>
            <w:r>
              <w:rPr>
                <w:noProof/>
                <w:webHidden/>
              </w:rPr>
              <w:fldChar w:fldCharType="end"/>
            </w:r>
          </w:hyperlink>
        </w:p>
        <w:p w:rsidR="005E3F37" w:rsidRDefault="005E3F37" w:rsidP="008B5D5F">
          <w:pPr>
            <w:pStyle w:val="TOC1"/>
            <w:tabs>
              <w:tab w:val="left" w:pos="440"/>
            </w:tabs>
            <w:rPr>
              <w:rFonts w:asciiTheme="minorHAnsi" w:eastAsiaTheme="minorEastAsia" w:hAnsiTheme="minorHAnsi" w:cstheme="minorBidi"/>
              <w:noProof/>
              <w:sz w:val="22"/>
              <w:szCs w:val="22"/>
            </w:rPr>
          </w:pPr>
          <w:hyperlink w:anchor="_Toc68761592" w:history="1">
            <w:r w:rsidRPr="00436E9A">
              <w:rPr>
                <w:rStyle w:val="Hyperlink"/>
                <w:noProof/>
              </w:rPr>
              <w:t>6.</w:t>
            </w:r>
            <w:r>
              <w:rPr>
                <w:rFonts w:asciiTheme="minorHAnsi" w:eastAsiaTheme="minorEastAsia" w:hAnsiTheme="minorHAnsi" w:cstheme="minorBidi"/>
                <w:noProof/>
                <w:sz w:val="22"/>
                <w:szCs w:val="22"/>
              </w:rPr>
              <w:tab/>
            </w:r>
            <w:r w:rsidRPr="00436E9A">
              <w:rPr>
                <w:rStyle w:val="Hyperlink"/>
                <w:noProof/>
              </w:rPr>
              <w:t>REFERENCES</w:t>
            </w:r>
            <w:r>
              <w:rPr>
                <w:noProof/>
                <w:webHidden/>
              </w:rPr>
              <w:tab/>
            </w:r>
            <w:r>
              <w:rPr>
                <w:noProof/>
                <w:webHidden/>
              </w:rPr>
              <w:fldChar w:fldCharType="begin"/>
            </w:r>
            <w:r>
              <w:rPr>
                <w:noProof/>
                <w:webHidden/>
              </w:rPr>
              <w:instrText xml:space="preserve"> PAGEREF _Toc68761592 \h </w:instrText>
            </w:r>
            <w:r>
              <w:rPr>
                <w:noProof/>
                <w:webHidden/>
              </w:rPr>
            </w:r>
            <w:r>
              <w:rPr>
                <w:noProof/>
                <w:webHidden/>
              </w:rPr>
              <w:fldChar w:fldCharType="separate"/>
            </w:r>
            <w:r w:rsidR="00BD510E">
              <w:rPr>
                <w:noProof/>
                <w:webHidden/>
              </w:rPr>
              <w:t>85</w:t>
            </w:r>
            <w:r>
              <w:rPr>
                <w:noProof/>
                <w:webHidden/>
              </w:rPr>
              <w:fldChar w:fldCharType="end"/>
            </w:r>
          </w:hyperlink>
        </w:p>
        <w:p w:rsidR="005E3F37" w:rsidRDefault="005E3F37" w:rsidP="008B5D5F">
          <w:pPr>
            <w:pStyle w:val="TOC1"/>
            <w:tabs>
              <w:tab w:val="left" w:pos="440"/>
            </w:tabs>
            <w:rPr>
              <w:rFonts w:asciiTheme="minorHAnsi" w:eastAsiaTheme="minorEastAsia" w:hAnsiTheme="minorHAnsi" w:cstheme="minorBidi"/>
              <w:noProof/>
              <w:sz w:val="22"/>
              <w:szCs w:val="22"/>
            </w:rPr>
          </w:pPr>
          <w:hyperlink w:anchor="_Toc68761593" w:history="1">
            <w:r w:rsidRPr="00436E9A">
              <w:rPr>
                <w:rStyle w:val="Hyperlink"/>
                <w:noProof/>
              </w:rPr>
              <w:t>7.</w:t>
            </w:r>
            <w:r>
              <w:rPr>
                <w:rFonts w:asciiTheme="minorHAnsi" w:eastAsiaTheme="minorEastAsia" w:hAnsiTheme="minorHAnsi" w:cstheme="minorBidi"/>
                <w:noProof/>
                <w:sz w:val="22"/>
                <w:szCs w:val="22"/>
              </w:rPr>
              <w:tab/>
            </w:r>
            <w:r w:rsidRPr="00436E9A">
              <w:rPr>
                <w:rStyle w:val="Hyperlink"/>
                <w:noProof/>
              </w:rPr>
              <w:t>APPENDICES</w:t>
            </w:r>
            <w:r>
              <w:rPr>
                <w:noProof/>
                <w:webHidden/>
              </w:rPr>
              <w:tab/>
            </w:r>
            <w:r>
              <w:rPr>
                <w:noProof/>
                <w:webHidden/>
              </w:rPr>
              <w:fldChar w:fldCharType="begin"/>
            </w:r>
            <w:r>
              <w:rPr>
                <w:noProof/>
                <w:webHidden/>
              </w:rPr>
              <w:instrText xml:space="preserve"> PAGEREF _Toc68761593 \h </w:instrText>
            </w:r>
            <w:r>
              <w:rPr>
                <w:noProof/>
                <w:webHidden/>
              </w:rPr>
            </w:r>
            <w:r>
              <w:rPr>
                <w:noProof/>
                <w:webHidden/>
              </w:rPr>
              <w:fldChar w:fldCharType="separate"/>
            </w:r>
            <w:r w:rsidR="00BD510E">
              <w:rPr>
                <w:noProof/>
                <w:webHidden/>
              </w:rPr>
              <w:t>103</w:t>
            </w:r>
            <w:r>
              <w:rPr>
                <w:noProof/>
                <w:webHidden/>
              </w:rPr>
              <w:fldChar w:fldCharType="end"/>
            </w:r>
          </w:hyperlink>
        </w:p>
        <w:p w:rsidR="00AA3FF0" w:rsidRDefault="00AA3FF0" w:rsidP="008B5D5F">
          <w:r>
            <w:rPr>
              <w:b/>
              <w:bCs/>
              <w:noProof/>
            </w:rPr>
            <w:fldChar w:fldCharType="end"/>
          </w:r>
        </w:p>
      </w:sdtContent>
    </w:sdt>
    <w:p w:rsidR="003365BD" w:rsidRDefault="003365BD" w:rsidP="008B5D5F">
      <w:pPr>
        <w:spacing w:before="240" w:after="240"/>
        <w:rPr>
          <w:b/>
          <w:sz w:val="28"/>
        </w:rPr>
      </w:pPr>
    </w:p>
    <w:p w:rsidR="00247EE3" w:rsidRDefault="00247EE3" w:rsidP="00457BF7">
      <w:pPr>
        <w:spacing w:before="240" w:after="240"/>
        <w:rPr>
          <w:b/>
          <w:i/>
        </w:rPr>
      </w:pPr>
    </w:p>
    <w:p w:rsidR="00247EE3" w:rsidRDefault="00247EE3" w:rsidP="00457BF7">
      <w:pPr>
        <w:spacing w:before="240" w:after="240"/>
        <w:rPr>
          <w:b/>
          <w:i/>
        </w:rPr>
      </w:pPr>
    </w:p>
    <w:p w:rsidR="001326CE" w:rsidRPr="003365BD" w:rsidRDefault="001326CE" w:rsidP="00457BF7">
      <w:pPr>
        <w:spacing w:before="240" w:after="240"/>
        <w:rPr>
          <w:b/>
          <w:i/>
        </w:rPr>
      </w:pPr>
      <w:r w:rsidRPr="003365BD">
        <w:rPr>
          <w:b/>
          <w:i/>
        </w:rPr>
        <w:lastRenderedPageBreak/>
        <w:t>Dedicated to</w:t>
      </w:r>
      <w:r w:rsidR="0021186D" w:rsidRPr="003365BD">
        <w:rPr>
          <w:b/>
          <w:i/>
        </w:rPr>
        <w:t>:</w:t>
      </w:r>
    </w:p>
    <w:p w:rsidR="009F1633" w:rsidRDefault="009F1633" w:rsidP="00457BF7">
      <w:pPr>
        <w:spacing w:before="240" w:after="240"/>
        <w:rPr>
          <w:b/>
          <w:i/>
        </w:rPr>
      </w:pPr>
    </w:p>
    <w:p w:rsidR="009F1633" w:rsidRDefault="009F1633" w:rsidP="00457BF7">
      <w:pPr>
        <w:spacing w:before="240" w:after="240"/>
        <w:rPr>
          <w:b/>
          <w:i/>
        </w:rPr>
      </w:pPr>
    </w:p>
    <w:p w:rsidR="009F1633" w:rsidRPr="0021186D" w:rsidRDefault="009F1633" w:rsidP="00457BF7">
      <w:pPr>
        <w:spacing w:before="240" w:after="240"/>
        <w:rPr>
          <w:b/>
          <w:i/>
        </w:rPr>
      </w:pPr>
    </w:p>
    <w:p w:rsidR="004C6624" w:rsidRPr="009F1633" w:rsidRDefault="007E40CE" w:rsidP="00457BF7">
      <w:pPr>
        <w:spacing w:before="240" w:after="240"/>
        <w:rPr>
          <w:b/>
        </w:rPr>
      </w:pPr>
      <w:r w:rsidRPr="007E40CE">
        <w:rPr>
          <w:b/>
        </w:rPr>
        <w:t>………………………………………………………………………………………………</w:t>
      </w:r>
    </w:p>
    <w:p w:rsidR="009F1633" w:rsidRPr="0021186D" w:rsidRDefault="009F1633" w:rsidP="00457BF7">
      <w:pPr>
        <w:spacing w:before="240" w:after="240"/>
        <w:rPr>
          <w:b/>
          <w:i/>
        </w:rPr>
      </w:pPr>
    </w:p>
    <w:p w:rsidR="00751240" w:rsidRPr="0021186D" w:rsidRDefault="005B77A8" w:rsidP="00605661">
      <w:pPr>
        <w:spacing w:before="240" w:after="240" w:line="480" w:lineRule="auto"/>
        <w:jc w:val="center"/>
        <w:rPr>
          <w:b/>
          <w:i/>
        </w:rPr>
      </w:pPr>
      <w:r w:rsidRPr="0021186D">
        <w:rPr>
          <w:b/>
          <w:i/>
        </w:rPr>
        <w:t>Haadholii</w:t>
      </w:r>
      <w:r w:rsidR="009F1633">
        <w:rPr>
          <w:b/>
          <w:i/>
        </w:rPr>
        <w:t>;</w:t>
      </w:r>
      <w:r w:rsidRPr="0021186D">
        <w:rPr>
          <w:b/>
          <w:i/>
        </w:rPr>
        <w:t xml:space="preserve"> </w:t>
      </w:r>
      <w:r w:rsidR="00217258" w:rsidRPr="0021186D">
        <w:rPr>
          <w:b/>
          <w:i/>
        </w:rPr>
        <w:t>Daa’immanii fi Da’oo Isaanii D</w:t>
      </w:r>
      <w:r w:rsidRPr="0021186D">
        <w:rPr>
          <w:b/>
          <w:i/>
        </w:rPr>
        <w:t>hiisanii</w:t>
      </w:r>
      <w:r w:rsidR="00217258" w:rsidRPr="0021186D">
        <w:rPr>
          <w:b/>
          <w:i/>
        </w:rPr>
        <w:t xml:space="preserve"> </w:t>
      </w:r>
    </w:p>
    <w:p w:rsidR="005B77A8" w:rsidRPr="0021186D" w:rsidRDefault="00217258" w:rsidP="00605661">
      <w:pPr>
        <w:spacing w:before="240" w:after="240" w:line="480" w:lineRule="auto"/>
        <w:jc w:val="center"/>
        <w:rPr>
          <w:b/>
          <w:i/>
        </w:rPr>
      </w:pPr>
      <w:r w:rsidRPr="0021186D">
        <w:rPr>
          <w:b/>
          <w:i/>
        </w:rPr>
        <w:t>Bishaan Barbaacha Dachee Bishaaniin Guut</w:t>
      </w:r>
      <w:r w:rsidR="00457BF7" w:rsidRPr="0021186D">
        <w:rPr>
          <w:b/>
          <w:i/>
        </w:rPr>
        <w:t>t</w:t>
      </w:r>
      <w:r w:rsidRPr="0021186D">
        <w:rPr>
          <w:b/>
          <w:i/>
        </w:rPr>
        <w:t xml:space="preserve">ame irra Maayiloota Deemanii fi </w:t>
      </w:r>
    </w:p>
    <w:p w:rsidR="00751240" w:rsidRPr="0021186D" w:rsidRDefault="00217258" w:rsidP="00605661">
      <w:pPr>
        <w:spacing w:before="240" w:after="240" w:line="480" w:lineRule="auto"/>
        <w:jc w:val="center"/>
        <w:rPr>
          <w:b/>
          <w:i/>
        </w:rPr>
      </w:pPr>
      <w:r w:rsidRPr="0021186D">
        <w:rPr>
          <w:b/>
          <w:i/>
        </w:rPr>
        <w:t xml:space="preserve">Hidhamtoota Siyaasaa Jiruu fi Jireenya Isaanii Dhiisanii </w:t>
      </w:r>
    </w:p>
    <w:p w:rsidR="002F5823" w:rsidRPr="0021186D" w:rsidRDefault="00217258" w:rsidP="00605661">
      <w:pPr>
        <w:spacing w:before="240" w:after="240" w:line="480" w:lineRule="auto"/>
        <w:jc w:val="center"/>
        <w:rPr>
          <w:b/>
          <w:i/>
        </w:rPr>
      </w:pPr>
      <w:r w:rsidRPr="0021186D">
        <w:rPr>
          <w:b/>
          <w:i/>
        </w:rPr>
        <w:t xml:space="preserve">Haqa Barbaacha Dachee Ummata Isaanii Miliyoonotaan Guuttame Keessatti Ummata </w:t>
      </w:r>
    </w:p>
    <w:p w:rsidR="00457BF7" w:rsidRPr="007E40CE" w:rsidRDefault="00217258" w:rsidP="00605661">
      <w:pPr>
        <w:spacing w:before="240" w:after="240" w:line="480" w:lineRule="auto"/>
        <w:jc w:val="center"/>
        <w:rPr>
          <w:b/>
          <w:i/>
        </w:rPr>
      </w:pPr>
      <w:r w:rsidRPr="0021186D">
        <w:rPr>
          <w:b/>
          <w:i/>
        </w:rPr>
        <w:t xml:space="preserve">Isaaniitiif </w:t>
      </w:r>
      <w:r w:rsidRPr="007E40CE">
        <w:rPr>
          <w:b/>
          <w:i/>
        </w:rPr>
        <w:t xml:space="preserve">Beelayaa fi </w:t>
      </w:r>
      <w:r w:rsidR="00751240" w:rsidRPr="007E40CE">
        <w:rPr>
          <w:b/>
          <w:i/>
        </w:rPr>
        <w:t xml:space="preserve">Gidirfamaa Jiranii fi </w:t>
      </w:r>
      <w:r w:rsidR="00457BF7" w:rsidRPr="007E40CE">
        <w:rPr>
          <w:b/>
          <w:i/>
        </w:rPr>
        <w:t>T</w:t>
      </w:r>
      <w:r w:rsidR="00751240" w:rsidRPr="007E40CE">
        <w:rPr>
          <w:b/>
          <w:i/>
        </w:rPr>
        <w:t xml:space="preserve">uraniif </w:t>
      </w:r>
    </w:p>
    <w:p w:rsidR="00F81B3A" w:rsidRPr="007E40CE" w:rsidRDefault="00751240" w:rsidP="004C6624">
      <w:pPr>
        <w:spacing w:before="240" w:after="240" w:line="480" w:lineRule="auto"/>
        <w:jc w:val="center"/>
        <w:rPr>
          <w:b/>
          <w:i/>
        </w:rPr>
      </w:pPr>
      <w:r w:rsidRPr="007E40CE">
        <w:rPr>
          <w:b/>
          <w:i/>
        </w:rPr>
        <w:t>H</w:t>
      </w:r>
      <w:r w:rsidR="00217258" w:rsidRPr="007E40CE">
        <w:rPr>
          <w:b/>
          <w:i/>
        </w:rPr>
        <w:t>aa Ta’u!</w:t>
      </w:r>
    </w:p>
    <w:p w:rsidR="009F1633" w:rsidRPr="009F1633" w:rsidRDefault="007E40CE" w:rsidP="009F1633">
      <w:pPr>
        <w:spacing w:before="240" w:after="240"/>
        <w:rPr>
          <w:b/>
        </w:rPr>
      </w:pPr>
      <w:r w:rsidRPr="007E40CE">
        <w:rPr>
          <w:b/>
        </w:rPr>
        <w:t>………………………………………………………………………………………………</w:t>
      </w:r>
    </w:p>
    <w:p w:rsidR="009F1633" w:rsidRDefault="009F1633" w:rsidP="003D22A7">
      <w:pPr>
        <w:spacing w:before="240" w:after="240"/>
        <w:jc w:val="right"/>
        <w:rPr>
          <w:b/>
          <w:i/>
        </w:rPr>
      </w:pPr>
    </w:p>
    <w:p w:rsidR="009F1633" w:rsidRDefault="009F1633" w:rsidP="003D22A7">
      <w:pPr>
        <w:spacing w:before="240" w:after="240"/>
        <w:jc w:val="right"/>
        <w:rPr>
          <w:b/>
          <w:i/>
        </w:rPr>
      </w:pPr>
    </w:p>
    <w:p w:rsidR="009F1633" w:rsidRDefault="009F1633" w:rsidP="003D22A7">
      <w:pPr>
        <w:spacing w:before="240" w:after="240"/>
        <w:jc w:val="right"/>
        <w:rPr>
          <w:b/>
          <w:i/>
        </w:rPr>
      </w:pPr>
    </w:p>
    <w:p w:rsidR="0064326B" w:rsidRPr="007E40CE" w:rsidRDefault="00C21958" w:rsidP="003D22A7">
      <w:pPr>
        <w:spacing w:before="240" w:after="240"/>
        <w:jc w:val="right"/>
        <w:rPr>
          <w:b/>
          <w:i/>
        </w:rPr>
      </w:pPr>
      <w:r w:rsidRPr="007E40CE">
        <w:rPr>
          <w:b/>
          <w:i/>
        </w:rPr>
        <w:t>Even</w:t>
      </w:r>
      <w:r w:rsidR="00971565" w:rsidRPr="007E40CE">
        <w:rPr>
          <w:b/>
          <w:i/>
        </w:rPr>
        <w:t xml:space="preserve"> you deserve more</w:t>
      </w:r>
      <w:r w:rsidR="00C84814" w:rsidRPr="007E40CE">
        <w:rPr>
          <w:b/>
          <w:i/>
        </w:rPr>
        <w:t>!</w:t>
      </w:r>
    </w:p>
    <w:p w:rsidR="003D22A7" w:rsidRDefault="003D22A7" w:rsidP="009F1633">
      <w:pPr>
        <w:spacing w:before="240" w:after="240"/>
        <w:rPr>
          <w:b/>
          <w:i/>
        </w:rPr>
      </w:pPr>
    </w:p>
    <w:p w:rsidR="009F1633" w:rsidRPr="0064326B" w:rsidRDefault="009F1633" w:rsidP="009F1633">
      <w:pPr>
        <w:spacing w:before="240" w:after="240"/>
        <w:rPr>
          <w:b/>
          <w:i/>
        </w:rPr>
      </w:pPr>
    </w:p>
    <w:p w:rsidR="00624AB4" w:rsidRPr="0070028E" w:rsidRDefault="002D6B21" w:rsidP="008B5D5F">
      <w:pPr>
        <w:pStyle w:val="Heading1"/>
      </w:pPr>
      <w:r w:rsidRPr="0070028E">
        <w:lastRenderedPageBreak/>
        <w:t xml:space="preserve">                               </w:t>
      </w:r>
      <w:bookmarkStart w:id="5" w:name="_Toc68025043"/>
      <w:bookmarkStart w:id="6" w:name="_Toc68761526"/>
      <w:r w:rsidR="00DE5FFE">
        <w:t xml:space="preserve">LIST OF </w:t>
      </w:r>
      <w:r w:rsidR="00624AB4" w:rsidRPr="0070028E">
        <w:t>ACRONYMS</w:t>
      </w:r>
      <w:bookmarkEnd w:id="5"/>
      <w:bookmarkEnd w:id="6"/>
    </w:p>
    <w:p w:rsidR="00624AB4" w:rsidRPr="0070028E" w:rsidRDefault="00624AB4" w:rsidP="008B5D5F">
      <w:pPr>
        <w:autoSpaceDE w:val="0"/>
        <w:autoSpaceDN w:val="0"/>
        <w:adjustRightInd w:val="0"/>
      </w:pPr>
      <w:r w:rsidRPr="0070028E">
        <w:t>AHP</w:t>
      </w:r>
      <w:r w:rsidRPr="0070028E">
        <w:tab/>
      </w:r>
      <w:r w:rsidRPr="0070028E">
        <w:tab/>
        <w:t xml:space="preserve">Analytic </w:t>
      </w:r>
      <w:r w:rsidR="0076176A" w:rsidRPr="0070028E">
        <w:t>Hierarchy Process</w:t>
      </w:r>
    </w:p>
    <w:p w:rsidR="00624AB4" w:rsidRPr="0070028E" w:rsidRDefault="005A10C6" w:rsidP="008B5D5F">
      <w:pPr>
        <w:autoSpaceDE w:val="0"/>
        <w:autoSpaceDN w:val="0"/>
        <w:adjustRightInd w:val="0"/>
      </w:pPr>
      <w:r w:rsidRPr="0070028E">
        <w:t>B</w:t>
      </w:r>
      <w:r w:rsidR="00624AB4" w:rsidRPr="0070028E">
        <w:t>C</w:t>
      </w:r>
      <w:r w:rsidRPr="0070028E">
        <w:t>M</w:t>
      </w:r>
      <w:r w:rsidR="00624AB4" w:rsidRPr="0070028E">
        <w:tab/>
      </w:r>
      <w:r w:rsidR="00624AB4" w:rsidRPr="0070028E">
        <w:tab/>
        <w:t xml:space="preserve">Billion </w:t>
      </w:r>
      <w:r w:rsidR="0076176A" w:rsidRPr="0070028E">
        <w:t xml:space="preserve">Cubic Meter </w:t>
      </w:r>
    </w:p>
    <w:p w:rsidR="001A155E" w:rsidRPr="0070028E" w:rsidRDefault="001A155E" w:rsidP="008B5D5F">
      <w:pPr>
        <w:autoSpaceDE w:val="0"/>
        <w:autoSpaceDN w:val="0"/>
        <w:adjustRightInd w:val="0"/>
      </w:pPr>
      <w:r w:rsidRPr="0070028E">
        <w:t>BCK</w:t>
      </w:r>
      <w:r w:rsidRPr="0070028E">
        <w:tab/>
      </w:r>
      <w:r w:rsidRPr="0070028E">
        <w:tab/>
        <w:t>Billion Cubic Kilometer</w:t>
      </w:r>
    </w:p>
    <w:p w:rsidR="00624AB4" w:rsidRPr="0070028E" w:rsidRDefault="00624AB4" w:rsidP="008B5D5F">
      <w:r w:rsidRPr="0070028E">
        <w:t>ERDAS</w:t>
      </w:r>
      <w:r w:rsidRPr="0070028E">
        <w:tab/>
        <w:t xml:space="preserve">Earth </w:t>
      </w:r>
      <w:r w:rsidR="00B40BA6" w:rsidRPr="0070028E">
        <w:t>Resource Data Analysis System</w:t>
      </w:r>
    </w:p>
    <w:p w:rsidR="00361FAF" w:rsidRPr="0070028E" w:rsidRDefault="00361FAF" w:rsidP="008B5D5F">
      <w:pPr>
        <w:rPr>
          <w:shd w:val="clear" w:color="auto" w:fill="FFFFFF"/>
        </w:rPr>
      </w:pPr>
      <w:r w:rsidRPr="0070028E">
        <w:t>FAO</w:t>
      </w:r>
      <w:r w:rsidRPr="0070028E">
        <w:tab/>
      </w:r>
      <w:r w:rsidRPr="0070028E">
        <w:tab/>
      </w:r>
      <w:r w:rsidRPr="0070028E">
        <w:rPr>
          <w:shd w:val="clear" w:color="auto" w:fill="FFFFFF"/>
        </w:rPr>
        <w:t xml:space="preserve">Food and </w:t>
      </w:r>
      <w:r w:rsidR="00B40BA6" w:rsidRPr="0070028E">
        <w:rPr>
          <w:shd w:val="clear" w:color="auto" w:fill="FFFFFF"/>
        </w:rPr>
        <w:t xml:space="preserve">Agriculture Organization </w:t>
      </w:r>
    </w:p>
    <w:p w:rsidR="00624AB4" w:rsidRPr="0070028E" w:rsidRDefault="00361FAF" w:rsidP="008B5D5F">
      <w:r w:rsidRPr="0070028E">
        <w:t>GIS</w:t>
      </w:r>
      <w:r w:rsidRPr="0070028E">
        <w:tab/>
      </w:r>
      <w:r w:rsidRPr="0070028E">
        <w:tab/>
      </w:r>
      <w:r w:rsidR="00624AB4" w:rsidRPr="0070028E">
        <w:rPr>
          <w:rStyle w:val="Emphasis"/>
          <w:bCs/>
          <w:i w:val="0"/>
          <w:iCs w:val="0"/>
          <w:shd w:val="clear" w:color="auto" w:fill="FFFFFF"/>
        </w:rPr>
        <w:t xml:space="preserve">Geographic </w:t>
      </w:r>
      <w:r w:rsidR="0076176A" w:rsidRPr="0070028E">
        <w:rPr>
          <w:rStyle w:val="Emphasis"/>
          <w:bCs/>
          <w:i w:val="0"/>
          <w:iCs w:val="0"/>
          <w:shd w:val="clear" w:color="auto" w:fill="FFFFFF"/>
        </w:rPr>
        <w:t>Information System</w:t>
      </w:r>
    </w:p>
    <w:p w:rsidR="00624AB4" w:rsidRPr="0070028E" w:rsidRDefault="00624AB4" w:rsidP="008B5D5F">
      <w:r w:rsidRPr="0070028E">
        <w:t>GWMATE</w:t>
      </w:r>
      <w:r w:rsidR="00361FAF" w:rsidRPr="0070028E">
        <w:tab/>
      </w:r>
      <w:r w:rsidRPr="0070028E">
        <w:t xml:space="preserve">Groundwater </w:t>
      </w:r>
      <w:r w:rsidR="009A5888" w:rsidRPr="0070028E">
        <w:t>Management Assistance Team</w:t>
      </w:r>
    </w:p>
    <w:p w:rsidR="00624AB4" w:rsidRPr="0070028E" w:rsidRDefault="00624AB4" w:rsidP="008B5D5F">
      <w:pPr>
        <w:autoSpaceDE w:val="0"/>
        <w:autoSpaceDN w:val="0"/>
        <w:adjustRightInd w:val="0"/>
      </w:pPr>
      <w:r w:rsidRPr="0070028E">
        <w:t>GWPZ</w:t>
      </w:r>
      <w:r w:rsidRPr="0070028E">
        <w:tab/>
      </w:r>
      <w:r w:rsidRPr="0070028E">
        <w:tab/>
        <w:t xml:space="preserve">Groundwater potential zones </w:t>
      </w:r>
    </w:p>
    <w:p w:rsidR="00624AB4" w:rsidRPr="0070028E" w:rsidRDefault="00624AB4" w:rsidP="008B5D5F">
      <w:pPr>
        <w:autoSpaceDE w:val="0"/>
        <w:autoSpaceDN w:val="0"/>
        <w:adjustRightInd w:val="0"/>
      </w:pPr>
      <w:r w:rsidRPr="0070028E">
        <w:t>LU/LC</w:t>
      </w:r>
      <w:r w:rsidRPr="0070028E">
        <w:tab/>
      </w:r>
      <w:r w:rsidRPr="0070028E">
        <w:tab/>
        <w:t>Land use land cover</w:t>
      </w:r>
    </w:p>
    <w:p w:rsidR="00624AB4" w:rsidRPr="0070028E" w:rsidRDefault="00624AB4" w:rsidP="008B5D5F">
      <w:r w:rsidRPr="0070028E">
        <w:t>MCDA</w:t>
      </w:r>
      <w:r w:rsidRPr="0070028E">
        <w:tab/>
        <w:t>Multiple criteria decision analysis</w:t>
      </w:r>
    </w:p>
    <w:p w:rsidR="00624AB4" w:rsidRPr="0070028E" w:rsidRDefault="00360398" w:rsidP="008B5D5F">
      <w:r w:rsidRPr="0070028E">
        <w:t>MoWIE</w:t>
      </w:r>
      <w:r w:rsidRPr="0070028E">
        <w:tab/>
        <w:t>Ministry of Water, I</w:t>
      </w:r>
      <w:r w:rsidR="00624AB4" w:rsidRPr="0070028E">
        <w:t xml:space="preserve">rrigation and </w:t>
      </w:r>
      <w:r w:rsidRPr="0070028E">
        <w:t>Energy</w:t>
      </w:r>
    </w:p>
    <w:p w:rsidR="00624AB4" w:rsidRPr="0070028E" w:rsidRDefault="00624AB4" w:rsidP="008B5D5F">
      <w:pPr>
        <w:autoSpaceDE w:val="0"/>
        <w:autoSpaceDN w:val="0"/>
        <w:adjustRightInd w:val="0"/>
      </w:pPr>
      <w:r w:rsidRPr="0070028E">
        <w:t>MoWR</w:t>
      </w:r>
      <w:r w:rsidRPr="0070028E">
        <w:tab/>
        <w:t xml:space="preserve">Ministry of </w:t>
      </w:r>
      <w:r w:rsidR="009A5888" w:rsidRPr="0070028E">
        <w:t>Water Resources</w:t>
      </w:r>
    </w:p>
    <w:p w:rsidR="00624AB4" w:rsidRPr="0070028E" w:rsidRDefault="00624AB4" w:rsidP="008B5D5F">
      <w:pPr>
        <w:autoSpaceDE w:val="0"/>
        <w:autoSpaceDN w:val="0"/>
        <w:adjustRightInd w:val="0"/>
        <w:rPr>
          <w:bCs/>
        </w:rPr>
      </w:pPr>
      <w:r w:rsidRPr="0070028E">
        <w:rPr>
          <w:bCs/>
        </w:rPr>
        <w:t>RS</w:t>
      </w:r>
      <w:r w:rsidRPr="0070028E">
        <w:rPr>
          <w:bCs/>
        </w:rPr>
        <w:tab/>
      </w:r>
      <w:r w:rsidRPr="0070028E">
        <w:rPr>
          <w:bCs/>
        </w:rPr>
        <w:tab/>
        <w:t xml:space="preserve">Remote </w:t>
      </w:r>
      <w:r w:rsidR="009A5888" w:rsidRPr="0070028E">
        <w:rPr>
          <w:bCs/>
        </w:rPr>
        <w:t>Sensing</w:t>
      </w:r>
    </w:p>
    <w:p w:rsidR="00624AB4" w:rsidRPr="0070028E" w:rsidRDefault="00624AB4" w:rsidP="008B5D5F">
      <w:pPr>
        <w:autoSpaceDE w:val="0"/>
        <w:autoSpaceDN w:val="0"/>
        <w:adjustRightInd w:val="0"/>
        <w:rPr>
          <w:bCs/>
        </w:rPr>
      </w:pPr>
      <w:r w:rsidRPr="0070028E">
        <w:t>SOMSC</w:t>
      </w:r>
      <w:r w:rsidRPr="0070028E">
        <w:tab/>
        <w:t xml:space="preserve">South Oromia </w:t>
      </w:r>
      <w:r w:rsidR="0076176A" w:rsidRPr="0070028E">
        <w:t>Meteorological Service Center</w:t>
      </w:r>
    </w:p>
    <w:p w:rsidR="00624AB4" w:rsidRPr="0070028E" w:rsidRDefault="00624AB4" w:rsidP="008B5D5F">
      <w:r w:rsidRPr="0070028E">
        <w:t>SRTM DEM</w:t>
      </w:r>
      <w:r w:rsidRPr="0070028E">
        <w:tab/>
        <w:t xml:space="preserve">Shuttle </w:t>
      </w:r>
      <w:r w:rsidR="0076176A" w:rsidRPr="0070028E">
        <w:t>Radar Topography Mission Digital Elevation Model</w:t>
      </w:r>
    </w:p>
    <w:p w:rsidR="005A10C6" w:rsidRPr="0070028E" w:rsidRDefault="00624AB4" w:rsidP="008B5D5F">
      <w:pPr>
        <w:rPr>
          <w:bCs/>
        </w:rPr>
      </w:pPr>
      <w:r w:rsidRPr="0070028E">
        <w:t>SWAT</w:t>
      </w:r>
      <w:r w:rsidRPr="0070028E">
        <w:tab/>
      </w:r>
      <w:r w:rsidRPr="0070028E">
        <w:tab/>
      </w:r>
      <w:r w:rsidRPr="0070028E">
        <w:rPr>
          <w:bCs/>
        </w:rPr>
        <w:t xml:space="preserve">Soil </w:t>
      </w:r>
      <w:r w:rsidR="0076176A" w:rsidRPr="0070028E">
        <w:rPr>
          <w:bCs/>
        </w:rPr>
        <w:t>Water Assessment Tool</w:t>
      </w:r>
    </w:p>
    <w:p w:rsidR="00F550EF" w:rsidRPr="0070028E" w:rsidRDefault="00F550EF" w:rsidP="008B5D5F">
      <w:pPr>
        <w:rPr>
          <w:bCs/>
        </w:rPr>
      </w:pPr>
      <w:r w:rsidRPr="0070028E">
        <w:rPr>
          <w:bCs/>
        </w:rPr>
        <w:t>TPI</w:t>
      </w:r>
      <w:r w:rsidRPr="0070028E">
        <w:rPr>
          <w:bCs/>
        </w:rPr>
        <w:tab/>
      </w:r>
      <w:r w:rsidRPr="0070028E">
        <w:rPr>
          <w:bCs/>
        </w:rPr>
        <w:tab/>
        <w:t>Topographic Position Index</w:t>
      </w:r>
    </w:p>
    <w:p w:rsidR="005A10C6" w:rsidRPr="0070028E" w:rsidRDefault="005A10C6" w:rsidP="008B5D5F">
      <w:r w:rsidRPr="0070028E">
        <w:t>UNESCO</w:t>
      </w:r>
      <w:r w:rsidRPr="0070028E">
        <w:tab/>
        <w:t>Un</w:t>
      </w:r>
      <w:r w:rsidR="00361FAF" w:rsidRPr="0070028E">
        <w:t>ited N</w:t>
      </w:r>
      <w:r w:rsidRPr="0070028E">
        <w:t>ation</w:t>
      </w:r>
      <w:r w:rsidR="00361FAF" w:rsidRPr="0070028E">
        <w:t>s</w:t>
      </w:r>
      <w:r w:rsidRPr="0070028E">
        <w:t xml:space="preserve"> </w:t>
      </w:r>
      <w:r w:rsidR="009A5888" w:rsidRPr="0070028E">
        <w:t xml:space="preserve">Educational, Scientific </w:t>
      </w:r>
      <w:r w:rsidRPr="0070028E">
        <w:t xml:space="preserve">and </w:t>
      </w:r>
      <w:r w:rsidR="009A5888" w:rsidRPr="0070028E">
        <w:t>Cultural Organization</w:t>
      </w:r>
    </w:p>
    <w:p w:rsidR="00624AB4" w:rsidRPr="0070028E" w:rsidRDefault="00624AB4" w:rsidP="008B5D5F">
      <w:pPr>
        <w:rPr>
          <w:shd w:val="clear" w:color="auto" w:fill="FFFFFF"/>
        </w:rPr>
      </w:pPr>
      <w:r w:rsidRPr="0070028E">
        <w:t>USGS</w:t>
      </w:r>
      <w:r w:rsidRPr="0070028E">
        <w:tab/>
      </w:r>
      <w:r w:rsidRPr="0070028E">
        <w:tab/>
      </w:r>
      <w:r w:rsidRPr="0070028E">
        <w:rPr>
          <w:shd w:val="clear" w:color="auto" w:fill="FFFFFF"/>
        </w:rPr>
        <w:t xml:space="preserve">United States </w:t>
      </w:r>
      <w:r w:rsidR="009A5888" w:rsidRPr="0070028E">
        <w:rPr>
          <w:shd w:val="clear" w:color="auto" w:fill="FFFFFF"/>
        </w:rPr>
        <w:t>Geological Survey</w:t>
      </w:r>
    </w:p>
    <w:p w:rsidR="005F56F6" w:rsidRPr="0070028E" w:rsidRDefault="00624AB4" w:rsidP="008B5D5F">
      <w:r w:rsidRPr="0070028E">
        <w:t>UTM</w:t>
      </w:r>
      <w:r w:rsidRPr="0070028E">
        <w:tab/>
      </w:r>
      <w:r w:rsidRPr="0070028E">
        <w:tab/>
        <w:t>Universal Transverse Mercator</w:t>
      </w:r>
    </w:p>
    <w:p w:rsidR="002A6518" w:rsidRPr="0070028E" w:rsidRDefault="002A6518" w:rsidP="008B5D5F"/>
    <w:p w:rsidR="002A6518" w:rsidRPr="0070028E" w:rsidRDefault="002A6518" w:rsidP="008B5D5F"/>
    <w:p w:rsidR="006E4DDB" w:rsidRPr="0070028E" w:rsidRDefault="006E4DDB" w:rsidP="008B5D5F">
      <w:pPr>
        <w:rPr>
          <w:bCs/>
          <w:shd w:val="clear" w:color="auto" w:fill="FFFFFF"/>
        </w:rPr>
      </w:pPr>
    </w:p>
    <w:p w:rsidR="00703E5E" w:rsidRPr="0070028E" w:rsidRDefault="00CA0343" w:rsidP="008B5D5F">
      <w:pPr>
        <w:pStyle w:val="Heading1"/>
      </w:pPr>
      <w:r w:rsidRPr="0070028E">
        <w:lastRenderedPageBreak/>
        <w:t xml:space="preserve">                                               </w:t>
      </w:r>
      <w:bookmarkStart w:id="7" w:name="_Toc68025044"/>
      <w:bookmarkStart w:id="8" w:name="_Toc68761527"/>
      <w:r w:rsidR="006C4D6A" w:rsidRPr="0070028E">
        <w:t xml:space="preserve">LIST OF </w:t>
      </w:r>
      <w:r w:rsidR="00393973" w:rsidRPr="0070028E">
        <w:t>TABLES</w:t>
      </w:r>
      <w:bookmarkEnd w:id="7"/>
      <w:bookmarkEnd w:id="8"/>
    </w:p>
    <w:p w:rsidR="005E3F37" w:rsidRDefault="00703E5E" w:rsidP="008B5D5F">
      <w:pPr>
        <w:pStyle w:val="TableofFigures"/>
        <w:tabs>
          <w:tab w:val="right" w:leader="dot" w:pos="8774"/>
        </w:tabs>
        <w:rPr>
          <w:rFonts w:asciiTheme="minorHAnsi" w:eastAsiaTheme="minorEastAsia" w:hAnsiTheme="minorHAnsi" w:cstheme="minorBidi"/>
          <w:noProof/>
          <w:sz w:val="22"/>
          <w:szCs w:val="22"/>
        </w:rPr>
      </w:pPr>
      <w:r w:rsidRPr="0070028E">
        <w:fldChar w:fldCharType="begin"/>
      </w:r>
      <w:r w:rsidRPr="0070028E">
        <w:instrText xml:space="preserve"> TOC \h \z \c "Table" </w:instrText>
      </w:r>
      <w:r w:rsidRPr="0070028E">
        <w:fldChar w:fldCharType="separate"/>
      </w:r>
      <w:hyperlink w:anchor="_Toc68761594" w:history="1">
        <w:r w:rsidR="005E3F37" w:rsidRPr="00F66724">
          <w:rPr>
            <w:rStyle w:val="Hyperlink"/>
            <w:iCs/>
            <w:noProof/>
          </w:rPr>
          <w:t xml:space="preserve">Table 3.1: </w:t>
        </w:r>
        <w:r w:rsidR="005E3F37" w:rsidRPr="00F66724">
          <w:rPr>
            <w:rStyle w:val="Hyperlink"/>
            <w:rFonts w:eastAsia="Times New Roman"/>
            <w:iCs/>
            <w:noProof/>
          </w:rPr>
          <w:t>Random consistency index (RI)</w:t>
        </w:r>
        <w:r w:rsidR="005E3F37" w:rsidRPr="00F66724">
          <w:rPr>
            <w:rStyle w:val="Hyperlink"/>
            <w:noProof/>
          </w:rPr>
          <w:t xml:space="preserve"> </w:t>
        </w:r>
        <w:r w:rsidR="005E3F37" w:rsidRPr="00F66724">
          <w:rPr>
            <w:rStyle w:val="Hyperlink"/>
            <w:rFonts w:eastAsia="Times New Roman"/>
            <w:iCs/>
            <w:noProof/>
          </w:rPr>
          <w:t>for n ≤ 10 n</w:t>
        </w:r>
        <w:r w:rsidR="005E3F37">
          <w:rPr>
            <w:noProof/>
            <w:webHidden/>
          </w:rPr>
          <w:tab/>
        </w:r>
        <w:r w:rsidR="005E3F37">
          <w:rPr>
            <w:noProof/>
            <w:webHidden/>
          </w:rPr>
          <w:fldChar w:fldCharType="begin"/>
        </w:r>
        <w:r w:rsidR="005E3F37">
          <w:rPr>
            <w:noProof/>
            <w:webHidden/>
          </w:rPr>
          <w:instrText xml:space="preserve"> PAGEREF _Toc68761594 \h </w:instrText>
        </w:r>
        <w:r w:rsidR="005E3F37">
          <w:rPr>
            <w:noProof/>
            <w:webHidden/>
          </w:rPr>
        </w:r>
        <w:r w:rsidR="005E3F37">
          <w:rPr>
            <w:noProof/>
            <w:webHidden/>
          </w:rPr>
          <w:fldChar w:fldCharType="separate"/>
        </w:r>
        <w:r w:rsidR="00BD510E">
          <w:rPr>
            <w:noProof/>
            <w:webHidden/>
          </w:rPr>
          <w:t>46</w:t>
        </w:r>
        <w:r w:rsidR="005E3F37">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595" w:history="1">
        <w:r w:rsidRPr="00F66724">
          <w:rPr>
            <w:rStyle w:val="Hyperlink"/>
            <w:noProof/>
          </w:rPr>
          <w:t>Table 4.1: The relative weight and consistency ratio of the reclassified landforms</w:t>
        </w:r>
        <w:r>
          <w:rPr>
            <w:noProof/>
            <w:webHidden/>
          </w:rPr>
          <w:tab/>
        </w:r>
        <w:r>
          <w:rPr>
            <w:noProof/>
            <w:webHidden/>
          </w:rPr>
          <w:fldChar w:fldCharType="begin"/>
        </w:r>
        <w:r>
          <w:rPr>
            <w:noProof/>
            <w:webHidden/>
          </w:rPr>
          <w:instrText xml:space="preserve"> PAGEREF _Toc68761595 \h </w:instrText>
        </w:r>
        <w:r>
          <w:rPr>
            <w:noProof/>
            <w:webHidden/>
          </w:rPr>
        </w:r>
        <w:r>
          <w:rPr>
            <w:noProof/>
            <w:webHidden/>
          </w:rPr>
          <w:fldChar w:fldCharType="separate"/>
        </w:r>
        <w:r w:rsidR="00BD510E">
          <w:rPr>
            <w:noProof/>
            <w:webHidden/>
          </w:rPr>
          <w:t>51</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596" w:history="1">
        <w:r w:rsidRPr="00F66724">
          <w:rPr>
            <w:rStyle w:val="Hyperlink"/>
            <w:noProof/>
          </w:rPr>
          <w:t>Table 4.2: Lineament density and relative weight as per suitability for GWPZ</w:t>
        </w:r>
        <w:r>
          <w:rPr>
            <w:noProof/>
            <w:webHidden/>
          </w:rPr>
          <w:tab/>
        </w:r>
        <w:r>
          <w:rPr>
            <w:noProof/>
            <w:webHidden/>
          </w:rPr>
          <w:fldChar w:fldCharType="begin"/>
        </w:r>
        <w:r>
          <w:rPr>
            <w:noProof/>
            <w:webHidden/>
          </w:rPr>
          <w:instrText xml:space="preserve"> PAGEREF _Toc68761596 \h </w:instrText>
        </w:r>
        <w:r>
          <w:rPr>
            <w:noProof/>
            <w:webHidden/>
          </w:rPr>
        </w:r>
        <w:r>
          <w:rPr>
            <w:noProof/>
            <w:webHidden/>
          </w:rPr>
          <w:fldChar w:fldCharType="separate"/>
        </w:r>
        <w:r w:rsidR="00BD510E">
          <w:rPr>
            <w:noProof/>
            <w:webHidden/>
          </w:rPr>
          <w:t>54</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597" w:history="1">
        <w:r w:rsidRPr="00F66724">
          <w:rPr>
            <w:rStyle w:val="Hyperlink"/>
            <w:noProof/>
          </w:rPr>
          <w:t>Table 4.3: Geologic formation and their relative weights</w:t>
        </w:r>
        <w:r>
          <w:rPr>
            <w:noProof/>
            <w:webHidden/>
          </w:rPr>
          <w:tab/>
        </w:r>
        <w:r>
          <w:rPr>
            <w:noProof/>
            <w:webHidden/>
          </w:rPr>
          <w:fldChar w:fldCharType="begin"/>
        </w:r>
        <w:r>
          <w:rPr>
            <w:noProof/>
            <w:webHidden/>
          </w:rPr>
          <w:instrText xml:space="preserve"> PAGEREF _Toc68761597 \h </w:instrText>
        </w:r>
        <w:r>
          <w:rPr>
            <w:noProof/>
            <w:webHidden/>
          </w:rPr>
        </w:r>
        <w:r>
          <w:rPr>
            <w:noProof/>
            <w:webHidden/>
          </w:rPr>
          <w:fldChar w:fldCharType="separate"/>
        </w:r>
        <w:r w:rsidR="00BD510E">
          <w:rPr>
            <w:noProof/>
            <w:webHidden/>
          </w:rPr>
          <w:t>56</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598" w:history="1">
        <w:r w:rsidRPr="00F66724">
          <w:rPr>
            <w:rStyle w:val="Hyperlink"/>
            <w:bCs/>
            <w:noProof/>
          </w:rPr>
          <w:t>Table 4.4: Rainfall distribution and relative weight as per suitability for GWPZ</w:t>
        </w:r>
        <w:r>
          <w:rPr>
            <w:noProof/>
            <w:webHidden/>
          </w:rPr>
          <w:tab/>
        </w:r>
        <w:r>
          <w:rPr>
            <w:noProof/>
            <w:webHidden/>
          </w:rPr>
          <w:fldChar w:fldCharType="begin"/>
        </w:r>
        <w:r>
          <w:rPr>
            <w:noProof/>
            <w:webHidden/>
          </w:rPr>
          <w:instrText xml:space="preserve"> PAGEREF _Toc68761598 \h </w:instrText>
        </w:r>
        <w:r>
          <w:rPr>
            <w:noProof/>
            <w:webHidden/>
          </w:rPr>
        </w:r>
        <w:r>
          <w:rPr>
            <w:noProof/>
            <w:webHidden/>
          </w:rPr>
          <w:fldChar w:fldCharType="separate"/>
        </w:r>
        <w:r w:rsidR="00BD510E">
          <w:rPr>
            <w:noProof/>
            <w:webHidden/>
          </w:rPr>
          <w:t>57</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599" w:history="1">
        <w:r w:rsidRPr="00F66724">
          <w:rPr>
            <w:rStyle w:val="Hyperlink"/>
            <w:noProof/>
          </w:rPr>
          <w:t>Table 4.5: Drainage density and relative weight of classes as per suitability for GWPZ</w:t>
        </w:r>
        <w:r>
          <w:rPr>
            <w:noProof/>
            <w:webHidden/>
          </w:rPr>
          <w:tab/>
        </w:r>
        <w:r>
          <w:rPr>
            <w:noProof/>
            <w:webHidden/>
          </w:rPr>
          <w:fldChar w:fldCharType="begin"/>
        </w:r>
        <w:r>
          <w:rPr>
            <w:noProof/>
            <w:webHidden/>
          </w:rPr>
          <w:instrText xml:space="preserve"> PAGEREF _Toc68761599 \h </w:instrText>
        </w:r>
        <w:r>
          <w:rPr>
            <w:noProof/>
            <w:webHidden/>
          </w:rPr>
        </w:r>
        <w:r>
          <w:rPr>
            <w:noProof/>
            <w:webHidden/>
          </w:rPr>
          <w:fldChar w:fldCharType="separate"/>
        </w:r>
        <w:r w:rsidR="00BD510E">
          <w:rPr>
            <w:noProof/>
            <w:webHidden/>
          </w:rPr>
          <w:t>58</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00" w:history="1">
        <w:r w:rsidRPr="00F66724">
          <w:rPr>
            <w:rStyle w:val="Hyperlink"/>
            <w:noProof/>
          </w:rPr>
          <w:t>Table 4.6: Slope range and relative weight of slope classes</w:t>
        </w:r>
        <w:r>
          <w:rPr>
            <w:noProof/>
            <w:webHidden/>
          </w:rPr>
          <w:tab/>
        </w:r>
        <w:r>
          <w:rPr>
            <w:noProof/>
            <w:webHidden/>
          </w:rPr>
          <w:fldChar w:fldCharType="begin"/>
        </w:r>
        <w:r>
          <w:rPr>
            <w:noProof/>
            <w:webHidden/>
          </w:rPr>
          <w:instrText xml:space="preserve"> PAGEREF _Toc68761600 \h </w:instrText>
        </w:r>
        <w:r>
          <w:rPr>
            <w:noProof/>
            <w:webHidden/>
          </w:rPr>
        </w:r>
        <w:r>
          <w:rPr>
            <w:noProof/>
            <w:webHidden/>
          </w:rPr>
          <w:fldChar w:fldCharType="separate"/>
        </w:r>
        <w:r w:rsidR="00BD510E">
          <w:rPr>
            <w:noProof/>
            <w:webHidden/>
          </w:rPr>
          <w:t>62</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01" w:history="1">
        <w:r w:rsidRPr="00F66724">
          <w:rPr>
            <w:rStyle w:val="Hyperlink"/>
            <w:noProof/>
          </w:rPr>
          <w:t>Table 4.7: The elevation range and relative weight of classes</w:t>
        </w:r>
        <w:r>
          <w:rPr>
            <w:noProof/>
            <w:webHidden/>
          </w:rPr>
          <w:tab/>
        </w:r>
        <w:r>
          <w:rPr>
            <w:noProof/>
            <w:webHidden/>
          </w:rPr>
          <w:fldChar w:fldCharType="begin"/>
        </w:r>
        <w:r>
          <w:rPr>
            <w:noProof/>
            <w:webHidden/>
          </w:rPr>
          <w:instrText xml:space="preserve"> PAGEREF _Toc68761601 \h </w:instrText>
        </w:r>
        <w:r>
          <w:rPr>
            <w:noProof/>
            <w:webHidden/>
          </w:rPr>
        </w:r>
        <w:r>
          <w:rPr>
            <w:noProof/>
            <w:webHidden/>
          </w:rPr>
          <w:fldChar w:fldCharType="separate"/>
        </w:r>
        <w:r w:rsidR="00BD510E">
          <w:rPr>
            <w:noProof/>
            <w:webHidden/>
          </w:rPr>
          <w:t>63</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02" w:history="1">
        <w:r w:rsidRPr="00F66724">
          <w:rPr>
            <w:rStyle w:val="Hyperlink"/>
            <w:noProof/>
          </w:rPr>
          <w:t>Table 4.8: The classified LU/LC, contribution and relative weight of classes</w:t>
        </w:r>
        <w:r>
          <w:rPr>
            <w:noProof/>
            <w:webHidden/>
          </w:rPr>
          <w:tab/>
        </w:r>
        <w:r>
          <w:rPr>
            <w:noProof/>
            <w:webHidden/>
          </w:rPr>
          <w:fldChar w:fldCharType="begin"/>
        </w:r>
        <w:r>
          <w:rPr>
            <w:noProof/>
            <w:webHidden/>
          </w:rPr>
          <w:instrText xml:space="preserve"> PAGEREF _Toc68761602 \h </w:instrText>
        </w:r>
        <w:r>
          <w:rPr>
            <w:noProof/>
            <w:webHidden/>
          </w:rPr>
        </w:r>
        <w:r>
          <w:rPr>
            <w:noProof/>
            <w:webHidden/>
          </w:rPr>
          <w:fldChar w:fldCharType="separate"/>
        </w:r>
        <w:r w:rsidR="00BD510E">
          <w:rPr>
            <w:noProof/>
            <w:webHidden/>
          </w:rPr>
          <w:t>65</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03" w:history="1">
        <w:r w:rsidRPr="00F66724">
          <w:rPr>
            <w:rStyle w:val="Hyperlink"/>
            <w:noProof/>
          </w:rPr>
          <w:t>Table 4.9: E</w:t>
        </w:r>
        <w:r w:rsidRPr="00F66724">
          <w:rPr>
            <w:rStyle w:val="Hyperlink"/>
            <w:rFonts w:eastAsia="Times New Roman"/>
            <w:noProof/>
          </w:rPr>
          <w:t>rror matrix and accuracy of the classified LU/LC map</w:t>
        </w:r>
        <w:r>
          <w:rPr>
            <w:noProof/>
            <w:webHidden/>
          </w:rPr>
          <w:tab/>
        </w:r>
        <w:r>
          <w:rPr>
            <w:noProof/>
            <w:webHidden/>
          </w:rPr>
          <w:fldChar w:fldCharType="begin"/>
        </w:r>
        <w:r>
          <w:rPr>
            <w:noProof/>
            <w:webHidden/>
          </w:rPr>
          <w:instrText xml:space="preserve"> PAGEREF _Toc68761603 \h </w:instrText>
        </w:r>
        <w:r>
          <w:rPr>
            <w:noProof/>
            <w:webHidden/>
          </w:rPr>
        </w:r>
        <w:r>
          <w:rPr>
            <w:noProof/>
            <w:webHidden/>
          </w:rPr>
          <w:fldChar w:fldCharType="separate"/>
        </w:r>
        <w:r w:rsidR="00BD510E">
          <w:rPr>
            <w:noProof/>
            <w:webHidden/>
          </w:rPr>
          <w:t>66</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04" w:history="1">
        <w:r w:rsidRPr="00F66724">
          <w:rPr>
            <w:rStyle w:val="Hyperlink"/>
            <w:noProof/>
          </w:rPr>
          <w:t>Table 4.10: The soil texture, relative weight and consistency ratio.</w:t>
        </w:r>
        <w:r>
          <w:rPr>
            <w:noProof/>
            <w:webHidden/>
          </w:rPr>
          <w:tab/>
        </w:r>
        <w:r>
          <w:rPr>
            <w:noProof/>
            <w:webHidden/>
          </w:rPr>
          <w:fldChar w:fldCharType="begin"/>
        </w:r>
        <w:r>
          <w:rPr>
            <w:noProof/>
            <w:webHidden/>
          </w:rPr>
          <w:instrText xml:space="preserve"> PAGEREF _Toc68761604 \h </w:instrText>
        </w:r>
        <w:r>
          <w:rPr>
            <w:noProof/>
            <w:webHidden/>
          </w:rPr>
        </w:r>
        <w:r>
          <w:rPr>
            <w:noProof/>
            <w:webHidden/>
          </w:rPr>
          <w:fldChar w:fldCharType="separate"/>
        </w:r>
        <w:r w:rsidR="00BD510E">
          <w:rPr>
            <w:noProof/>
            <w:webHidden/>
          </w:rPr>
          <w:t>66</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05" w:history="1">
        <w:r w:rsidRPr="00F66724">
          <w:rPr>
            <w:rStyle w:val="Hyperlink"/>
            <w:noProof/>
          </w:rPr>
          <w:t>Table 4.11: Pairwise comparison matrix and the relative weights of factors</w:t>
        </w:r>
        <w:r>
          <w:rPr>
            <w:noProof/>
            <w:webHidden/>
          </w:rPr>
          <w:tab/>
        </w:r>
        <w:r>
          <w:rPr>
            <w:noProof/>
            <w:webHidden/>
          </w:rPr>
          <w:fldChar w:fldCharType="begin"/>
        </w:r>
        <w:r>
          <w:rPr>
            <w:noProof/>
            <w:webHidden/>
          </w:rPr>
          <w:instrText xml:space="preserve"> PAGEREF _Toc68761605 \h </w:instrText>
        </w:r>
        <w:r>
          <w:rPr>
            <w:noProof/>
            <w:webHidden/>
          </w:rPr>
        </w:r>
        <w:r>
          <w:rPr>
            <w:noProof/>
            <w:webHidden/>
          </w:rPr>
          <w:fldChar w:fldCharType="separate"/>
        </w:r>
        <w:r w:rsidR="00BD510E">
          <w:rPr>
            <w:noProof/>
            <w:webHidden/>
          </w:rPr>
          <w:t>68</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06" w:history="1">
        <w:r w:rsidRPr="00F66724">
          <w:rPr>
            <w:rStyle w:val="Hyperlink"/>
            <w:noProof/>
          </w:rPr>
          <w:t>Table 4.12: Normalized pairwise comparison matrix and final weighted values</w:t>
        </w:r>
        <w:r>
          <w:rPr>
            <w:noProof/>
            <w:webHidden/>
          </w:rPr>
          <w:tab/>
        </w:r>
        <w:r>
          <w:rPr>
            <w:noProof/>
            <w:webHidden/>
          </w:rPr>
          <w:fldChar w:fldCharType="begin"/>
        </w:r>
        <w:r>
          <w:rPr>
            <w:noProof/>
            <w:webHidden/>
          </w:rPr>
          <w:instrText xml:space="preserve"> PAGEREF _Toc68761606 \h </w:instrText>
        </w:r>
        <w:r>
          <w:rPr>
            <w:noProof/>
            <w:webHidden/>
          </w:rPr>
        </w:r>
        <w:r>
          <w:rPr>
            <w:noProof/>
            <w:webHidden/>
          </w:rPr>
          <w:fldChar w:fldCharType="separate"/>
        </w:r>
        <w:r w:rsidR="00BD510E">
          <w:rPr>
            <w:noProof/>
            <w:webHidden/>
          </w:rPr>
          <w:t>69</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07" w:history="1">
        <w:r w:rsidRPr="00F66724">
          <w:rPr>
            <w:rStyle w:val="Hyperlink"/>
            <w:noProof/>
          </w:rPr>
          <w:t>Table 4.13: Consistency ratio (CR) of the generated matrix</w:t>
        </w:r>
        <w:r>
          <w:rPr>
            <w:noProof/>
            <w:webHidden/>
          </w:rPr>
          <w:tab/>
        </w:r>
        <w:r>
          <w:rPr>
            <w:noProof/>
            <w:webHidden/>
          </w:rPr>
          <w:fldChar w:fldCharType="begin"/>
        </w:r>
        <w:r>
          <w:rPr>
            <w:noProof/>
            <w:webHidden/>
          </w:rPr>
          <w:instrText xml:space="preserve"> PAGEREF _Toc68761607 \h </w:instrText>
        </w:r>
        <w:r>
          <w:rPr>
            <w:noProof/>
            <w:webHidden/>
          </w:rPr>
        </w:r>
        <w:r>
          <w:rPr>
            <w:noProof/>
            <w:webHidden/>
          </w:rPr>
          <w:fldChar w:fldCharType="separate"/>
        </w:r>
        <w:r w:rsidR="00BD510E">
          <w:rPr>
            <w:noProof/>
            <w:webHidden/>
          </w:rPr>
          <w:t>69</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08" w:history="1">
        <w:r w:rsidRPr="00F66724">
          <w:rPr>
            <w:rStyle w:val="Hyperlink"/>
            <w:noProof/>
          </w:rPr>
          <w:t>Table 4.14: Groundwater potential zone</w:t>
        </w:r>
        <w:r>
          <w:rPr>
            <w:noProof/>
            <w:webHidden/>
          </w:rPr>
          <w:tab/>
        </w:r>
        <w:r>
          <w:rPr>
            <w:noProof/>
            <w:webHidden/>
          </w:rPr>
          <w:fldChar w:fldCharType="begin"/>
        </w:r>
        <w:r>
          <w:rPr>
            <w:noProof/>
            <w:webHidden/>
          </w:rPr>
          <w:instrText xml:space="preserve"> PAGEREF _Toc68761608 \h </w:instrText>
        </w:r>
        <w:r>
          <w:rPr>
            <w:noProof/>
            <w:webHidden/>
          </w:rPr>
        </w:r>
        <w:r>
          <w:rPr>
            <w:noProof/>
            <w:webHidden/>
          </w:rPr>
          <w:fldChar w:fldCharType="separate"/>
        </w:r>
        <w:r w:rsidR="00BD510E">
          <w:rPr>
            <w:noProof/>
            <w:webHidden/>
          </w:rPr>
          <w:t>71</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09" w:history="1">
        <w:r w:rsidRPr="00F66724">
          <w:rPr>
            <w:rStyle w:val="Hyperlink"/>
            <w:noProof/>
          </w:rPr>
          <w:t>Table 4.15: Suitable groundwater potential zone for Woredas in the study area</w:t>
        </w:r>
        <w:r>
          <w:rPr>
            <w:noProof/>
            <w:webHidden/>
          </w:rPr>
          <w:tab/>
        </w:r>
        <w:r>
          <w:rPr>
            <w:noProof/>
            <w:webHidden/>
          </w:rPr>
          <w:fldChar w:fldCharType="begin"/>
        </w:r>
        <w:r>
          <w:rPr>
            <w:noProof/>
            <w:webHidden/>
          </w:rPr>
          <w:instrText xml:space="preserve"> PAGEREF _Toc68761609 \h </w:instrText>
        </w:r>
        <w:r>
          <w:rPr>
            <w:noProof/>
            <w:webHidden/>
          </w:rPr>
        </w:r>
        <w:r>
          <w:rPr>
            <w:noProof/>
            <w:webHidden/>
          </w:rPr>
          <w:fldChar w:fldCharType="separate"/>
        </w:r>
        <w:r w:rsidR="00BD510E">
          <w:rPr>
            <w:noProof/>
            <w:webHidden/>
          </w:rPr>
          <w:t>73</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10" w:history="1">
        <w:r w:rsidRPr="00F66724">
          <w:rPr>
            <w:rStyle w:val="Hyperlink"/>
            <w:noProof/>
          </w:rPr>
          <w:t xml:space="preserve">Table 4.16: </w:t>
        </w:r>
        <w:r w:rsidRPr="00F66724">
          <w:rPr>
            <w:rStyle w:val="Hyperlink"/>
            <w:rFonts w:eastAsiaTheme="minorHAnsi"/>
            <w:noProof/>
          </w:rPr>
          <w:t>Validation of the identified groundwater potential zones with actual yield</w:t>
        </w:r>
        <w:r>
          <w:rPr>
            <w:noProof/>
            <w:webHidden/>
          </w:rPr>
          <w:tab/>
        </w:r>
        <w:r>
          <w:rPr>
            <w:noProof/>
            <w:webHidden/>
          </w:rPr>
          <w:fldChar w:fldCharType="begin"/>
        </w:r>
        <w:r>
          <w:rPr>
            <w:noProof/>
            <w:webHidden/>
          </w:rPr>
          <w:instrText xml:space="preserve"> PAGEREF _Toc68761610 \h </w:instrText>
        </w:r>
        <w:r>
          <w:rPr>
            <w:noProof/>
            <w:webHidden/>
          </w:rPr>
        </w:r>
        <w:r>
          <w:rPr>
            <w:noProof/>
            <w:webHidden/>
          </w:rPr>
          <w:fldChar w:fldCharType="separate"/>
        </w:r>
        <w:r w:rsidR="00BD510E">
          <w:rPr>
            <w:noProof/>
            <w:webHidden/>
          </w:rPr>
          <w:t>74</w:t>
        </w:r>
        <w:r>
          <w:rPr>
            <w:noProof/>
            <w:webHidden/>
          </w:rPr>
          <w:fldChar w:fldCharType="end"/>
        </w:r>
      </w:hyperlink>
    </w:p>
    <w:p w:rsidR="002A6518" w:rsidRPr="0070028E" w:rsidRDefault="00703E5E" w:rsidP="008B5D5F">
      <w:r w:rsidRPr="0070028E">
        <w:fldChar w:fldCharType="end"/>
      </w:r>
    </w:p>
    <w:p w:rsidR="002A6518" w:rsidRPr="0070028E" w:rsidRDefault="002A6518" w:rsidP="008B5D5F"/>
    <w:p w:rsidR="002A6518" w:rsidRPr="0070028E" w:rsidRDefault="002A6518" w:rsidP="008B5D5F"/>
    <w:p w:rsidR="00F5497D" w:rsidRPr="0070028E" w:rsidRDefault="00F5497D" w:rsidP="008B5D5F"/>
    <w:p w:rsidR="00F5497D" w:rsidRPr="0070028E" w:rsidRDefault="00F5497D" w:rsidP="008B5D5F"/>
    <w:p w:rsidR="002A6518" w:rsidRPr="0070028E" w:rsidRDefault="002A6518" w:rsidP="008B5D5F"/>
    <w:p w:rsidR="00703E5E" w:rsidRPr="0070028E" w:rsidRDefault="00CA0343" w:rsidP="008B5D5F">
      <w:pPr>
        <w:pStyle w:val="Heading1"/>
      </w:pPr>
      <w:r w:rsidRPr="0070028E">
        <w:lastRenderedPageBreak/>
        <w:t xml:space="preserve">                                             </w:t>
      </w:r>
      <w:bookmarkStart w:id="9" w:name="_Toc68025045"/>
      <w:bookmarkStart w:id="10" w:name="_Toc68761528"/>
      <w:r w:rsidR="006C4D6A" w:rsidRPr="0070028E">
        <w:t>LIS</w:t>
      </w:r>
      <w:bookmarkStart w:id="11" w:name="_GoBack"/>
      <w:bookmarkEnd w:id="11"/>
      <w:r w:rsidR="006C4D6A" w:rsidRPr="0070028E">
        <w:t xml:space="preserve">T OF </w:t>
      </w:r>
      <w:r w:rsidR="00C267B4" w:rsidRPr="0070028E">
        <w:t>FIGURE</w:t>
      </w:r>
      <w:r w:rsidR="00393973" w:rsidRPr="0070028E">
        <w:t>S</w:t>
      </w:r>
      <w:bookmarkEnd w:id="9"/>
      <w:bookmarkEnd w:id="10"/>
    </w:p>
    <w:p w:rsidR="005E3F37" w:rsidRDefault="00703E5E" w:rsidP="008B5D5F">
      <w:pPr>
        <w:pStyle w:val="TableofFigures"/>
        <w:tabs>
          <w:tab w:val="right" w:leader="dot" w:pos="8774"/>
        </w:tabs>
        <w:rPr>
          <w:rFonts w:asciiTheme="minorHAnsi" w:eastAsiaTheme="minorEastAsia" w:hAnsiTheme="minorHAnsi" w:cstheme="minorBidi"/>
          <w:noProof/>
          <w:sz w:val="22"/>
          <w:szCs w:val="22"/>
        </w:rPr>
      </w:pPr>
      <w:r w:rsidRPr="0070028E">
        <w:fldChar w:fldCharType="begin"/>
      </w:r>
      <w:r w:rsidRPr="0070028E">
        <w:instrText xml:space="preserve"> TOC \h \z \c "Figure" </w:instrText>
      </w:r>
      <w:r w:rsidRPr="0070028E">
        <w:fldChar w:fldCharType="separate"/>
      </w:r>
      <w:hyperlink w:anchor="_Toc68761611" w:history="1">
        <w:r w:rsidR="005E3F37" w:rsidRPr="006D061E">
          <w:rPr>
            <w:rStyle w:val="Hyperlink"/>
            <w:noProof/>
          </w:rPr>
          <w:t>Figure 3.1: The location map of the study area</w:t>
        </w:r>
        <w:r w:rsidR="005E3F37">
          <w:rPr>
            <w:noProof/>
            <w:webHidden/>
          </w:rPr>
          <w:tab/>
        </w:r>
        <w:r w:rsidR="005E3F37">
          <w:rPr>
            <w:noProof/>
            <w:webHidden/>
          </w:rPr>
          <w:fldChar w:fldCharType="begin"/>
        </w:r>
        <w:r w:rsidR="005E3F37">
          <w:rPr>
            <w:noProof/>
            <w:webHidden/>
          </w:rPr>
          <w:instrText xml:space="preserve"> PAGEREF _Toc68761611 \h </w:instrText>
        </w:r>
        <w:r w:rsidR="005E3F37">
          <w:rPr>
            <w:noProof/>
            <w:webHidden/>
          </w:rPr>
        </w:r>
        <w:r w:rsidR="005E3F37">
          <w:rPr>
            <w:noProof/>
            <w:webHidden/>
          </w:rPr>
          <w:fldChar w:fldCharType="separate"/>
        </w:r>
        <w:r w:rsidR="00BD510E">
          <w:rPr>
            <w:noProof/>
            <w:webHidden/>
          </w:rPr>
          <w:t>28</w:t>
        </w:r>
        <w:r w:rsidR="005E3F37">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12" w:history="1">
        <w:r w:rsidRPr="006D061E">
          <w:rPr>
            <w:rStyle w:val="Hyperlink"/>
            <w:noProof/>
          </w:rPr>
          <w:t>Figure 3.2: The shaded DEM and the cross-section along the downstream</w:t>
        </w:r>
        <w:r>
          <w:rPr>
            <w:noProof/>
            <w:webHidden/>
          </w:rPr>
          <w:tab/>
        </w:r>
        <w:r>
          <w:rPr>
            <w:noProof/>
            <w:webHidden/>
          </w:rPr>
          <w:fldChar w:fldCharType="begin"/>
        </w:r>
        <w:r>
          <w:rPr>
            <w:noProof/>
            <w:webHidden/>
          </w:rPr>
          <w:instrText xml:space="preserve"> PAGEREF _Toc68761612 \h </w:instrText>
        </w:r>
        <w:r>
          <w:rPr>
            <w:noProof/>
            <w:webHidden/>
          </w:rPr>
        </w:r>
        <w:r>
          <w:rPr>
            <w:noProof/>
            <w:webHidden/>
          </w:rPr>
          <w:fldChar w:fldCharType="separate"/>
        </w:r>
        <w:r w:rsidR="00BD510E">
          <w:rPr>
            <w:noProof/>
            <w:webHidden/>
          </w:rPr>
          <w:t>30</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13" w:history="1">
        <w:r w:rsidRPr="006D061E">
          <w:rPr>
            <w:rStyle w:val="Hyperlink"/>
            <w:noProof/>
          </w:rPr>
          <w:t>Figure 3.3: Bar charts of average monthly rainfall (a) and temperature (b)</w:t>
        </w:r>
        <w:r>
          <w:rPr>
            <w:noProof/>
            <w:webHidden/>
          </w:rPr>
          <w:tab/>
        </w:r>
        <w:r>
          <w:rPr>
            <w:noProof/>
            <w:webHidden/>
          </w:rPr>
          <w:fldChar w:fldCharType="begin"/>
        </w:r>
        <w:r>
          <w:rPr>
            <w:noProof/>
            <w:webHidden/>
          </w:rPr>
          <w:instrText xml:space="preserve"> PAGEREF _Toc68761613 \h </w:instrText>
        </w:r>
        <w:r>
          <w:rPr>
            <w:noProof/>
            <w:webHidden/>
          </w:rPr>
        </w:r>
        <w:r>
          <w:rPr>
            <w:noProof/>
            <w:webHidden/>
          </w:rPr>
          <w:fldChar w:fldCharType="separate"/>
        </w:r>
        <w:r w:rsidR="00BD510E">
          <w:rPr>
            <w:noProof/>
            <w:webHidden/>
          </w:rPr>
          <w:t>31</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14" w:history="1">
        <w:r w:rsidRPr="006D061E">
          <w:rPr>
            <w:rStyle w:val="Hyperlink"/>
            <w:noProof/>
          </w:rPr>
          <w:t>Figure 3.4: Rainfall stations and Thiessen polygon of the study area</w:t>
        </w:r>
        <w:r>
          <w:rPr>
            <w:noProof/>
            <w:webHidden/>
          </w:rPr>
          <w:tab/>
        </w:r>
        <w:r>
          <w:rPr>
            <w:noProof/>
            <w:webHidden/>
          </w:rPr>
          <w:fldChar w:fldCharType="begin"/>
        </w:r>
        <w:r>
          <w:rPr>
            <w:noProof/>
            <w:webHidden/>
          </w:rPr>
          <w:instrText xml:space="preserve"> PAGEREF _Toc68761614 \h </w:instrText>
        </w:r>
        <w:r>
          <w:rPr>
            <w:noProof/>
            <w:webHidden/>
          </w:rPr>
        </w:r>
        <w:r>
          <w:rPr>
            <w:noProof/>
            <w:webHidden/>
          </w:rPr>
          <w:fldChar w:fldCharType="separate"/>
        </w:r>
        <w:r w:rsidR="00BD510E">
          <w:rPr>
            <w:noProof/>
            <w:webHidden/>
          </w:rPr>
          <w:t>32</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15" w:history="1">
        <w:r w:rsidRPr="006D061E">
          <w:rPr>
            <w:rStyle w:val="Hyperlink"/>
            <w:noProof/>
          </w:rPr>
          <w:t>Figure 3.5: Reach, monitoring point and sub-basin outlet point of the study area</w:t>
        </w:r>
        <w:r>
          <w:rPr>
            <w:noProof/>
            <w:webHidden/>
          </w:rPr>
          <w:tab/>
        </w:r>
        <w:r>
          <w:rPr>
            <w:noProof/>
            <w:webHidden/>
          </w:rPr>
          <w:fldChar w:fldCharType="begin"/>
        </w:r>
        <w:r>
          <w:rPr>
            <w:noProof/>
            <w:webHidden/>
          </w:rPr>
          <w:instrText xml:space="preserve"> PAGEREF _Toc68761615 \h </w:instrText>
        </w:r>
        <w:r>
          <w:rPr>
            <w:noProof/>
            <w:webHidden/>
          </w:rPr>
        </w:r>
        <w:r>
          <w:rPr>
            <w:noProof/>
            <w:webHidden/>
          </w:rPr>
          <w:fldChar w:fldCharType="separate"/>
        </w:r>
        <w:r w:rsidR="00BD510E">
          <w:rPr>
            <w:noProof/>
            <w:webHidden/>
          </w:rPr>
          <w:t>33</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16" w:history="1">
        <w:r w:rsidRPr="006D061E">
          <w:rPr>
            <w:rStyle w:val="Hyperlink"/>
            <w:noProof/>
          </w:rPr>
          <w:t>Figure 3.6: Double mass curve</w:t>
        </w:r>
        <w:r>
          <w:rPr>
            <w:noProof/>
            <w:webHidden/>
          </w:rPr>
          <w:tab/>
        </w:r>
        <w:r>
          <w:rPr>
            <w:noProof/>
            <w:webHidden/>
          </w:rPr>
          <w:fldChar w:fldCharType="begin"/>
        </w:r>
        <w:r>
          <w:rPr>
            <w:noProof/>
            <w:webHidden/>
          </w:rPr>
          <w:instrText xml:space="preserve"> PAGEREF _Toc68761616 \h </w:instrText>
        </w:r>
        <w:r>
          <w:rPr>
            <w:noProof/>
            <w:webHidden/>
          </w:rPr>
        </w:r>
        <w:r>
          <w:rPr>
            <w:noProof/>
            <w:webHidden/>
          </w:rPr>
          <w:fldChar w:fldCharType="separate"/>
        </w:r>
        <w:r w:rsidR="00BD510E">
          <w:rPr>
            <w:noProof/>
            <w:webHidden/>
          </w:rPr>
          <w:t>37</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17" w:history="1">
        <w:r w:rsidRPr="006D061E">
          <w:rPr>
            <w:rStyle w:val="Hyperlink"/>
            <w:noProof/>
          </w:rPr>
          <w:t>Figure 3.7: TPI and slope positi</w:t>
        </w:r>
        <w:r>
          <w:rPr>
            <w:rStyle w:val="Hyperlink"/>
            <w:noProof/>
          </w:rPr>
          <w:t>on</w:t>
        </w:r>
        <w:r>
          <w:rPr>
            <w:noProof/>
            <w:webHidden/>
          </w:rPr>
          <w:tab/>
        </w:r>
        <w:r>
          <w:rPr>
            <w:noProof/>
            <w:webHidden/>
          </w:rPr>
          <w:fldChar w:fldCharType="begin"/>
        </w:r>
        <w:r>
          <w:rPr>
            <w:noProof/>
            <w:webHidden/>
          </w:rPr>
          <w:instrText xml:space="preserve"> PAGEREF _Toc68761617 \h </w:instrText>
        </w:r>
        <w:r>
          <w:rPr>
            <w:noProof/>
            <w:webHidden/>
          </w:rPr>
        </w:r>
        <w:r>
          <w:rPr>
            <w:noProof/>
            <w:webHidden/>
          </w:rPr>
          <w:fldChar w:fldCharType="separate"/>
        </w:r>
        <w:r w:rsidR="00BD510E">
          <w:rPr>
            <w:noProof/>
            <w:webHidden/>
          </w:rPr>
          <w:t>39</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18" w:history="1">
        <w:r w:rsidRPr="006D061E">
          <w:rPr>
            <w:rStyle w:val="Hyperlink"/>
            <w:noProof/>
          </w:rPr>
          <w:t>Figure 3.8: Conceptual framework of the study</w:t>
        </w:r>
        <w:r>
          <w:rPr>
            <w:noProof/>
            <w:webHidden/>
          </w:rPr>
          <w:tab/>
        </w:r>
        <w:r>
          <w:rPr>
            <w:noProof/>
            <w:webHidden/>
          </w:rPr>
          <w:fldChar w:fldCharType="begin"/>
        </w:r>
        <w:r>
          <w:rPr>
            <w:noProof/>
            <w:webHidden/>
          </w:rPr>
          <w:instrText xml:space="preserve"> PAGEREF _Toc68761618 \h </w:instrText>
        </w:r>
        <w:r>
          <w:rPr>
            <w:noProof/>
            <w:webHidden/>
          </w:rPr>
        </w:r>
        <w:r>
          <w:rPr>
            <w:noProof/>
            <w:webHidden/>
          </w:rPr>
          <w:fldChar w:fldCharType="separate"/>
        </w:r>
        <w:r w:rsidR="00BD510E">
          <w:rPr>
            <w:noProof/>
            <w:webHidden/>
          </w:rPr>
          <w:t>49</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19" w:history="1">
        <w:r w:rsidRPr="006D061E">
          <w:rPr>
            <w:rStyle w:val="Hyperlink"/>
            <w:noProof/>
          </w:rPr>
          <w:t>Figure 4.1: The classified landforms of study area</w:t>
        </w:r>
        <w:r>
          <w:rPr>
            <w:noProof/>
            <w:webHidden/>
          </w:rPr>
          <w:tab/>
        </w:r>
        <w:r>
          <w:rPr>
            <w:noProof/>
            <w:webHidden/>
          </w:rPr>
          <w:fldChar w:fldCharType="begin"/>
        </w:r>
        <w:r>
          <w:rPr>
            <w:noProof/>
            <w:webHidden/>
          </w:rPr>
          <w:instrText xml:space="preserve"> PAGEREF _Toc68761619 \h </w:instrText>
        </w:r>
        <w:r>
          <w:rPr>
            <w:noProof/>
            <w:webHidden/>
          </w:rPr>
        </w:r>
        <w:r>
          <w:rPr>
            <w:noProof/>
            <w:webHidden/>
          </w:rPr>
          <w:fldChar w:fldCharType="separate"/>
        </w:r>
        <w:r w:rsidR="00BD510E">
          <w:rPr>
            <w:noProof/>
            <w:webHidden/>
          </w:rPr>
          <w:t>50</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20" w:history="1">
        <w:r w:rsidRPr="006D061E">
          <w:rPr>
            <w:rStyle w:val="Hyperlink"/>
            <w:noProof/>
          </w:rPr>
          <w:t>Figure 4.2: The reclassified landforms of study area</w:t>
        </w:r>
        <w:r>
          <w:rPr>
            <w:noProof/>
            <w:webHidden/>
          </w:rPr>
          <w:tab/>
        </w:r>
        <w:r>
          <w:rPr>
            <w:noProof/>
            <w:webHidden/>
          </w:rPr>
          <w:fldChar w:fldCharType="begin"/>
        </w:r>
        <w:r>
          <w:rPr>
            <w:noProof/>
            <w:webHidden/>
          </w:rPr>
          <w:instrText xml:space="preserve"> PAGEREF _Toc68761620 \h </w:instrText>
        </w:r>
        <w:r>
          <w:rPr>
            <w:noProof/>
            <w:webHidden/>
          </w:rPr>
        </w:r>
        <w:r>
          <w:rPr>
            <w:noProof/>
            <w:webHidden/>
          </w:rPr>
          <w:fldChar w:fldCharType="separate"/>
        </w:r>
        <w:r w:rsidR="00BD510E">
          <w:rPr>
            <w:noProof/>
            <w:webHidden/>
          </w:rPr>
          <w:t>51</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21" w:history="1">
        <w:r w:rsidRPr="006D061E">
          <w:rPr>
            <w:rStyle w:val="Hyperlink"/>
            <w:noProof/>
          </w:rPr>
          <w:t>Figure 4.3: Lineament map of Weyib Sub-basin</w:t>
        </w:r>
        <w:r>
          <w:rPr>
            <w:noProof/>
            <w:webHidden/>
          </w:rPr>
          <w:tab/>
        </w:r>
        <w:r>
          <w:rPr>
            <w:noProof/>
            <w:webHidden/>
          </w:rPr>
          <w:fldChar w:fldCharType="begin"/>
        </w:r>
        <w:r>
          <w:rPr>
            <w:noProof/>
            <w:webHidden/>
          </w:rPr>
          <w:instrText xml:space="preserve"> PAGEREF _Toc68761621 \h </w:instrText>
        </w:r>
        <w:r>
          <w:rPr>
            <w:noProof/>
            <w:webHidden/>
          </w:rPr>
        </w:r>
        <w:r>
          <w:rPr>
            <w:noProof/>
            <w:webHidden/>
          </w:rPr>
          <w:fldChar w:fldCharType="separate"/>
        </w:r>
        <w:r w:rsidR="00BD510E">
          <w:rPr>
            <w:noProof/>
            <w:webHidden/>
          </w:rPr>
          <w:t>52</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22" w:history="1">
        <w:r w:rsidRPr="006D061E">
          <w:rPr>
            <w:rStyle w:val="Hyperlink"/>
            <w:iCs/>
            <w:noProof/>
          </w:rPr>
          <w:t>Figure 4.4: The lineament density map of Weyib Sub-basin</w:t>
        </w:r>
        <w:r>
          <w:rPr>
            <w:noProof/>
            <w:webHidden/>
          </w:rPr>
          <w:tab/>
        </w:r>
        <w:r>
          <w:rPr>
            <w:noProof/>
            <w:webHidden/>
          </w:rPr>
          <w:fldChar w:fldCharType="begin"/>
        </w:r>
        <w:r>
          <w:rPr>
            <w:noProof/>
            <w:webHidden/>
          </w:rPr>
          <w:instrText xml:space="preserve"> PAGEREF _Toc68761622 \h </w:instrText>
        </w:r>
        <w:r>
          <w:rPr>
            <w:noProof/>
            <w:webHidden/>
          </w:rPr>
        </w:r>
        <w:r>
          <w:rPr>
            <w:noProof/>
            <w:webHidden/>
          </w:rPr>
          <w:fldChar w:fldCharType="separate"/>
        </w:r>
        <w:r w:rsidR="00BD510E">
          <w:rPr>
            <w:noProof/>
            <w:webHidden/>
          </w:rPr>
          <w:t>53</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23" w:history="1">
        <w:r w:rsidRPr="006D061E">
          <w:rPr>
            <w:rStyle w:val="Hyperlink"/>
            <w:iCs/>
            <w:noProof/>
          </w:rPr>
          <w:t>Figure 4.5: The reclassified lineament density map of study area</w:t>
        </w:r>
        <w:r>
          <w:rPr>
            <w:noProof/>
            <w:webHidden/>
          </w:rPr>
          <w:tab/>
        </w:r>
        <w:r>
          <w:rPr>
            <w:noProof/>
            <w:webHidden/>
          </w:rPr>
          <w:fldChar w:fldCharType="begin"/>
        </w:r>
        <w:r>
          <w:rPr>
            <w:noProof/>
            <w:webHidden/>
          </w:rPr>
          <w:instrText xml:space="preserve"> PAGEREF _Toc68761623 \h </w:instrText>
        </w:r>
        <w:r>
          <w:rPr>
            <w:noProof/>
            <w:webHidden/>
          </w:rPr>
        </w:r>
        <w:r>
          <w:rPr>
            <w:noProof/>
            <w:webHidden/>
          </w:rPr>
          <w:fldChar w:fldCharType="separate"/>
        </w:r>
        <w:r w:rsidR="00BD510E">
          <w:rPr>
            <w:noProof/>
            <w:webHidden/>
          </w:rPr>
          <w:t>53</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24" w:history="1">
        <w:r w:rsidRPr="006D061E">
          <w:rPr>
            <w:rStyle w:val="Hyperlink"/>
            <w:noProof/>
          </w:rPr>
          <w:t>Figure 4.6: Major lineament superimposed over the mainstream</w:t>
        </w:r>
        <w:r>
          <w:rPr>
            <w:noProof/>
            <w:webHidden/>
          </w:rPr>
          <w:tab/>
        </w:r>
        <w:r>
          <w:rPr>
            <w:noProof/>
            <w:webHidden/>
          </w:rPr>
          <w:fldChar w:fldCharType="begin"/>
        </w:r>
        <w:r>
          <w:rPr>
            <w:noProof/>
            <w:webHidden/>
          </w:rPr>
          <w:instrText xml:space="preserve"> PAGEREF _Toc68761624 \h </w:instrText>
        </w:r>
        <w:r>
          <w:rPr>
            <w:noProof/>
            <w:webHidden/>
          </w:rPr>
        </w:r>
        <w:r>
          <w:rPr>
            <w:noProof/>
            <w:webHidden/>
          </w:rPr>
          <w:fldChar w:fldCharType="separate"/>
        </w:r>
        <w:r w:rsidR="00BD510E">
          <w:rPr>
            <w:noProof/>
            <w:webHidden/>
          </w:rPr>
          <w:t>54</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25" w:history="1">
        <w:r w:rsidRPr="006D061E">
          <w:rPr>
            <w:rStyle w:val="Hyperlink"/>
            <w:noProof/>
          </w:rPr>
          <w:t>Figure 4.7:</w:t>
        </w:r>
        <w:r w:rsidRPr="006D061E">
          <w:rPr>
            <w:rStyle w:val="Hyperlink"/>
            <w:iCs/>
            <w:noProof/>
          </w:rPr>
          <w:t xml:space="preserve"> The g</w:t>
        </w:r>
        <w:r w:rsidRPr="006D061E">
          <w:rPr>
            <w:rStyle w:val="Hyperlink"/>
            <w:rFonts w:eastAsia="Times New Roman"/>
            <w:iCs/>
            <w:noProof/>
          </w:rPr>
          <w:t>eologic map of study area</w:t>
        </w:r>
        <w:r>
          <w:rPr>
            <w:noProof/>
            <w:webHidden/>
          </w:rPr>
          <w:tab/>
        </w:r>
        <w:r>
          <w:rPr>
            <w:noProof/>
            <w:webHidden/>
          </w:rPr>
          <w:fldChar w:fldCharType="begin"/>
        </w:r>
        <w:r>
          <w:rPr>
            <w:noProof/>
            <w:webHidden/>
          </w:rPr>
          <w:instrText xml:space="preserve"> PAGEREF _Toc68761625 \h </w:instrText>
        </w:r>
        <w:r>
          <w:rPr>
            <w:noProof/>
            <w:webHidden/>
          </w:rPr>
        </w:r>
        <w:r>
          <w:rPr>
            <w:noProof/>
            <w:webHidden/>
          </w:rPr>
          <w:fldChar w:fldCharType="separate"/>
        </w:r>
        <w:r w:rsidR="00BD510E">
          <w:rPr>
            <w:noProof/>
            <w:webHidden/>
          </w:rPr>
          <w:t>55</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26" w:history="1">
        <w:r w:rsidRPr="006D061E">
          <w:rPr>
            <w:rStyle w:val="Hyperlink"/>
            <w:noProof/>
          </w:rPr>
          <w:t>Figure 4.8:</w:t>
        </w:r>
        <w:r w:rsidRPr="006D061E">
          <w:rPr>
            <w:rStyle w:val="Hyperlink"/>
            <w:iCs/>
            <w:noProof/>
          </w:rPr>
          <w:t xml:space="preserve"> The reclassified </w:t>
        </w:r>
        <w:r w:rsidRPr="006D061E">
          <w:rPr>
            <w:rStyle w:val="Hyperlink"/>
            <w:rFonts w:eastAsia="Times New Roman"/>
            <w:iCs/>
            <w:noProof/>
          </w:rPr>
          <w:t>geological map of study area</w:t>
        </w:r>
        <w:r>
          <w:rPr>
            <w:noProof/>
            <w:webHidden/>
          </w:rPr>
          <w:tab/>
        </w:r>
        <w:r>
          <w:rPr>
            <w:noProof/>
            <w:webHidden/>
          </w:rPr>
          <w:fldChar w:fldCharType="begin"/>
        </w:r>
        <w:r>
          <w:rPr>
            <w:noProof/>
            <w:webHidden/>
          </w:rPr>
          <w:instrText xml:space="preserve"> PAGEREF _Toc68761626 \h </w:instrText>
        </w:r>
        <w:r>
          <w:rPr>
            <w:noProof/>
            <w:webHidden/>
          </w:rPr>
        </w:r>
        <w:r>
          <w:rPr>
            <w:noProof/>
            <w:webHidden/>
          </w:rPr>
          <w:fldChar w:fldCharType="separate"/>
        </w:r>
        <w:r w:rsidR="00BD510E">
          <w:rPr>
            <w:noProof/>
            <w:webHidden/>
          </w:rPr>
          <w:t>56</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27" w:history="1">
        <w:r w:rsidRPr="006D061E">
          <w:rPr>
            <w:rStyle w:val="Hyperlink"/>
            <w:noProof/>
          </w:rPr>
          <w:t>Figure 4.9: The areal rainfall distribution map of study area</w:t>
        </w:r>
        <w:r>
          <w:rPr>
            <w:noProof/>
            <w:webHidden/>
          </w:rPr>
          <w:tab/>
        </w:r>
        <w:r>
          <w:rPr>
            <w:noProof/>
            <w:webHidden/>
          </w:rPr>
          <w:fldChar w:fldCharType="begin"/>
        </w:r>
        <w:r>
          <w:rPr>
            <w:noProof/>
            <w:webHidden/>
          </w:rPr>
          <w:instrText xml:space="preserve"> PAGEREF _Toc68761627 \h </w:instrText>
        </w:r>
        <w:r>
          <w:rPr>
            <w:noProof/>
            <w:webHidden/>
          </w:rPr>
        </w:r>
        <w:r>
          <w:rPr>
            <w:noProof/>
            <w:webHidden/>
          </w:rPr>
          <w:fldChar w:fldCharType="separate"/>
        </w:r>
        <w:r w:rsidR="00BD510E">
          <w:rPr>
            <w:noProof/>
            <w:webHidden/>
          </w:rPr>
          <w:t>57</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28" w:history="1">
        <w:r w:rsidRPr="006D061E">
          <w:rPr>
            <w:rStyle w:val="Hyperlink"/>
            <w:noProof/>
          </w:rPr>
          <w:t>Figure 4.10: The reclassified areal rainfall distribution map of study area</w:t>
        </w:r>
        <w:r>
          <w:rPr>
            <w:noProof/>
            <w:webHidden/>
          </w:rPr>
          <w:tab/>
        </w:r>
        <w:r>
          <w:rPr>
            <w:noProof/>
            <w:webHidden/>
          </w:rPr>
          <w:fldChar w:fldCharType="begin"/>
        </w:r>
        <w:r>
          <w:rPr>
            <w:noProof/>
            <w:webHidden/>
          </w:rPr>
          <w:instrText xml:space="preserve"> PAGEREF _Toc68761628 \h </w:instrText>
        </w:r>
        <w:r>
          <w:rPr>
            <w:noProof/>
            <w:webHidden/>
          </w:rPr>
        </w:r>
        <w:r>
          <w:rPr>
            <w:noProof/>
            <w:webHidden/>
          </w:rPr>
          <w:fldChar w:fldCharType="separate"/>
        </w:r>
        <w:r w:rsidR="00BD510E">
          <w:rPr>
            <w:noProof/>
            <w:webHidden/>
          </w:rPr>
          <w:t>58</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29" w:history="1">
        <w:r w:rsidRPr="006D061E">
          <w:rPr>
            <w:rStyle w:val="Hyperlink"/>
            <w:iCs/>
            <w:noProof/>
          </w:rPr>
          <w:t>Figure 4.11: The drainage network map of study area</w:t>
        </w:r>
        <w:r>
          <w:rPr>
            <w:noProof/>
            <w:webHidden/>
          </w:rPr>
          <w:tab/>
        </w:r>
        <w:r>
          <w:rPr>
            <w:noProof/>
            <w:webHidden/>
          </w:rPr>
          <w:fldChar w:fldCharType="begin"/>
        </w:r>
        <w:r>
          <w:rPr>
            <w:noProof/>
            <w:webHidden/>
          </w:rPr>
          <w:instrText xml:space="preserve"> PAGEREF _Toc68761629 \h </w:instrText>
        </w:r>
        <w:r>
          <w:rPr>
            <w:noProof/>
            <w:webHidden/>
          </w:rPr>
        </w:r>
        <w:r>
          <w:rPr>
            <w:noProof/>
            <w:webHidden/>
          </w:rPr>
          <w:fldChar w:fldCharType="separate"/>
        </w:r>
        <w:r w:rsidR="00BD510E">
          <w:rPr>
            <w:noProof/>
            <w:webHidden/>
          </w:rPr>
          <w:t>59</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30" w:history="1">
        <w:r w:rsidRPr="006D061E">
          <w:rPr>
            <w:rStyle w:val="Hyperlink"/>
            <w:iCs/>
            <w:noProof/>
          </w:rPr>
          <w:t>Figure 4.12: The drainage density thematic map of study area</w:t>
        </w:r>
        <w:r>
          <w:rPr>
            <w:noProof/>
            <w:webHidden/>
          </w:rPr>
          <w:tab/>
        </w:r>
        <w:r>
          <w:rPr>
            <w:noProof/>
            <w:webHidden/>
          </w:rPr>
          <w:fldChar w:fldCharType="begin"/>
        </w:r>
        <w:r>
          <w:rPr>
            <w:noProof/>
            <w:webHidden/>
          </w:rPr>
          <w:instrText xml:space="preserve"> PAGEREF _Toc68761630 \h </w:instrText>
        </w:r>
        <w:r>
          <w:rPr>
            <w:noProof/>
            <w:webHidden/>
          </w:rPr>
        </w:r>
        <w:r>
          <w:rPr>
            <w:noProof/>
            <w:webHidden/>
          </w:rPr>
          <w:fldChar w:fldCharType="separate"/>
        </w:r>
        <w:r w:rsidR="00BD510E">
          <w:rPr>
            <w:noProof/>
            <w:webHidden/>
          </w:rPr>
          <w:t>59</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31" w:history="1">
        <w:r w:rsidRPr="006D061E">
          <w:rPr>
            <w:rStyle w:val="Hyperlink"/>
            <w:iCs/>
            <w:noProof/>
          </w:rPr>
          <w:t>Figure 4.13: The reclassified drainage density map of study area</w:t>
        </w:r>
        <w:r>
          <w:rPr>
            <w:noProof/>
            <w:webHidden/>
          </w:rPr>
          <w:tab/>
        </w:r>
        <w:r>
          <w:rPr>
            <w:noProof/>
            <w:webHidden/>
          </w:rPr>
          <w:fldChar w:fldCharType="begin"/>
        </w:r>
        <w:r>
          <w:rPr>
            <w:noProof/>
            <w:webHidden/>
          </w:rPr>
          <w:instrText xml:space="preserve"> PAGEREF _Toc68761631 \h </w:instrText>
        </w:r>
        <w:r>
          <w:rPr>
            <w:noProof/>
            <w:webHidden/>
          </w:rPr>
        </w:r>
        <w:r>
          <w:rPr>
            <w:noProof/>
            <w:webHidden/>
          </w:rPr>
          <w:fldChar w:fldCharType="separate"/>
        </w:r>
        <w:r w:rsidR="00BD510E">
          <w:rPr>
            <w:noProof/>
            <w:webHidden/>
          </w:rPr>
          <w:t>60</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32" w:history="1">
        <w:r w:rsidRPr="006D061E">
          <w:rPr>
            <w:rStyle w:val="Hyperlink"/>
            <w:noProof/>
          </w:rPr>
          <w:t>Figure 4.14: The slope map of study area</w:t>
        </w:r>
        <w:r>
          <w:rPr>
            <w:noProof/>
            <w:webHidden/>
          </w:rPr>
          <w:tab/>
        </w:r>
        <w:r>
          <w:rPr>
            <w:noProof/>
            <w:webHidden/>
          </w:rPr>
          <w:fldChar w:fldCharType="begin"/>
        </w:r>
        <w:r>
          <w:rPr>
            <w:noProof/>
            <w:webHidden/>
          </w:rPr>
          <w:instrText xml:space="preserve"> PAGEREF _Toc68761632 \h </w:instrText>
        </w:r>
        <w:r>
          <w:rPr>
            <w:noProof/>
            <w:webHidden/>
          </w:rPr>
        </w:r>
        <w:r>
          <w:rPr>
            <w:noProof/>
            <w:webHidden/>
          </w:rPr>
          <w:fldChar w:fldCharType="separate"/>
        </w:r>
        <w:r w:rsidR="00BD510E">
          <w:rPr>
            <w:noProof/>
            <w:webHidden/>
          </w:rPr>
          <w:t>61</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33" w:history="1">
        <w:r w:rsidRPr="006D061E">
          <w:rPr>
            <w:rStyle w:val="Hyperlink"/>
            <w:noProof/>
          </w:rPr>
          <w:t>Figure 4.15: The reclassified slope thematic map of Weyib Sub-basin</w:t>
        </w:r>
        <w:r>
          <w:rPr>
            <w:noProof/>
            <w:webHidden/>
          </w:rPr>
          <w:tab/>
        </w:r>
        <w:r>
          <w:rPr>
            <w:noProof/>
            <w:webHidden/>
          </w:rPr>
          <w:fldChar w:fldCharType="begin"/>
        </w:r>
        <w:r>
          <w:rPr>
            <w:noProof/>
            <w:webHidden/>
          </w:rPr>
          <w:instrText xml:space="preserve"> PAGEREF _Toc68761633 \h </w:instrText>
        </w:r>
        <w:r>
          <w:rPr>
            <w:noProof/>
            <w:webHidden/>
          </w:rPr>
        </w:r>
        <w:r>
          <w:rPr>
            <w:noProof/>
            <w:webHidden/>
          </w:rPr>
          <w:fldChar w:fldCharType="separate"/>
        </w:r>
        <w:r w:rsidR="00BD510E">
          <w:rPr>
            <w:noProof/>
            <w:webHidden/>
          </w:rPr>
          <w:t>61</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34" w:history="1">
        <w:r w:rsidRPr="006D061E">
          <w:rPr>
            <w:rStyle w:val="Hyperlink"/>
            <w:noProof/>
          </w:rPr>
          <w:t xml:space="preserve">Figure 4.16: Elevation map </w:t>
        </w:r>
        <w:r w:rsidRPr="006D061E">
          <w:rPr>
            <w:rStyle w:val="Hyperlink"/>
            <w:iCs/>
            <w:noProof/>
          </w:rPr>
          <w:t>of study area</w:t>
        </w:r>
        <w:r>
          <w:rPr>
            <w:noProof/>
            <w:webHidden/>
          </w:rPr>
          <w:tab/>
        </w:r>
        <w:r>
          <w:rPr>
            <w:noProof/>
            <w:webHidden/>
          </w:rPr>
          <w:fldChar w:fldCharType="begin"/>
        </w:r>
        <w:r>
          <w:rPr>
            <w:noProof/>
            <w:webHidden/>
          </w:rPr>
          <w:instrText xml:space="preserve"> PAGEREF _Toc68761634 \h </w:instrText>
        </w:r>
        <w:r>
          <w:rPr>
            <w:noProof/>
            <w:webHidden/>
          </w:rPr>
        </w:r>
        <w:r>
          <w:rPr>
            <w:noProof/>
            <w:webHidden/>
          </w:rPr>
          <w:fldChar w:fldCharType="separate"/>
        </w:r>
        <w:r w:rsidR="00BD510E">
          <w:rPr>
            <w:noProof/>
            <w:webHidden/>
          </w:rPr>
          <w:t>62</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35" w:history="1">
        <w:r w:rsidRPr="006D061E">
          <w:rPr>
            <w:rStyle w:val="Hyperlink"/>
            <w:noProof/>
          </w:rPr>
          <w:t>Figure 4.17: T</w:t>
        </w:r>
        <w:r w:rsidRPr="006D061E">
          <w:rPr>
            <w:rStyle w:val="Hyperlink"/>
            <w:iCs/>
            <w:noProof/>
          </w:rPr>
          <w:t>he reclassified elevation map of study area</w:t>
        </w:r>
        <w:r>
          <w:rPr>
            <w:noProof/>
            <w:webHidden/>
          </w:rPr>
          <w:tab/>
        </w:r>
        <w:r>
          <w:rPr>
            <w:noProof/>
            <w:webHidden/>
          </w:rPr>
          <w:fldChar w:fldCharType="begin"/>
        </w:r>
        <w:r>
          <w:rPr>
            <w:noProof/>
            <w:webHidden/>
          </w:rPr>
          <w:instrText xml:space="preserve"> PAGEREF _Toc68761635 \h </w:instrText>
        </w:r>
        <w:r>
          <w:rPr>
            <w:noProof/>
            <w:webHidden/>
          </w:rPr>
        </w:r>
        <w:r>
          <w:rPr>
            <w:noProof/>
            <w:webHidden/>
          </w:rPr>
          <w:fldChar w:fldCharType="separate"/>
        </w:r>
        <w:r w:rsidR="00BD510E">
          <w:rPr>
            <w:noProof/>
            <w:webHidden/>
          </w:rPr>
          <w:t>63</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36" w:history="1">
        <w:r w:rsidRPr="006D061E">
          <w:rPr>
            <w:rStyle w:val="Hyperlink"/>
            <w:noProof/>
          </w:rPr>
          <w:t>Figure 4.18: The LU/LC map of Weyib Sub-basin</w:t>
        </w:r>
        <w:r>
          <w:rPr>
            <w:noProof/>
            <w:webHidden/>
          </w:rPr>
          <w:tab/>
        </w:r>
        <w:r>
          <w:rPr>
            <w:noProof/>
            <w:webHidden/>
          </w:rPr>
          <w:fldChar w:fldCharType="begin"/>
        </w:r>
        <w:r>
          <w:rPr>
            <w:noProof/>
            <w:webHidden/>
          </w:rPr>
          <w:instrText xml:space="preserve"> PAGEREF _Toc68761636 \h </w:instrText>
        </w:r>
        <w:r>
          <w:rPr>
            <w:noProof/>
            <w:webHidden/>
          </w:rPr>
        </w:r>
        <w:r>
          <w:rPr>
            <w:noProof/>
            <w:webHidden/>
          </w:rPr>
          <w:fldChar w:fldCharType="separate"/>
        </w:r>
        <w:r w:rsidR="00BD510E">
          <w:rPr>
            <w:noProof/>
            <w:webHidden/>
          </w:rPr>
          <w:t>64</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37" w:history="1">
        <w:r w:rsidRPr="006D061E">
          <w:rPr>
            <w:rStyle w:val="Hyperlink"/>
            <w:noProof/>
          </w:rPr>
          <w:t>Figure 4.19: The reclassified LU/LC map of Weyib Sub-basin</w:t>
        </w:r>
        <w:r>
          <w:rPr>
            <w:noProof/>
            <w:webHidden/>
          </w:rPr>
          <w:tab/>
        </w:r>
        <w:r>
          <w:rPr>
            <w:noProof/>
            <w:webHidden/>
          </w:rPr>
          <w:fldChar w:fldCharType="begin"/>
        </w:r>
        <w:r>
          <w:rPr>
            <w:noProof/>
            <w:webHidden/>
          </w:rPr>
          <w:instrText xml:space="preserve"> PAGEREF _Toc68761637 \h </w:instrText>
        </w:r>
        <w:r>
          <w:rPr>
            <w:noProof/>
            <w:webHidden/>
          </w:rPr>
        </w:r>
        <w:r>
          <w:rPr>
            <w:noProof/>
            <w:webHidden/>
          </w:rPr>
          <w:fldChar w:fldCharType="separate"/>
        </w:r>
        <w:r w:rsidR="00BD510E">
          <w:rPr>
            <w:noProof/>
            <w:webHidden/>
          </w:rPr>
          <w:t>65</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38" w:history="1">
        <w:r w:rsidRPr="006D061E">
          <w:rPr>
            <w:rStyle w:val="Hyperlink"/>
            <w:noProof/>
          </w:rPr>
          <w:t>Figure 4.20: The soil texture classes of study area</w:t>
        </w:r>
        <w:r>
          <w:rPr>
            <w:noProof/>
            <w:webHidden/>
          </w:rPr>
          <w:tab/>
        </w:r>
        <w:r>
          <w:rPr>
            <w:noProof/>
            <w:webHidden/>
          </w:rPr>
          <w:fldChar w:fldCharType="begin"/>
        </w:r>
        <w:r>
          <w:rPr>
            <w:noProof/>
            <w:webHidden/>
          </w:rPr>
          <w:instrText xml:space="preserve"> PAGEREF _Toc68761638 \h </w:instrText>
        </w:r>
        <w:r>
          <w:rPr>
            <w:noProof/>
            <w:webHidden/>
          </w:rPr>
        </w:r>
        <w:r>
          <w:rPr>
            <w:noProof/>
            <w:webHidden/>
          </w:rPr>
          <w:fldChar w:fldCharType="separate"/>
        </w:r>
        <w:r w:rsidR="00BD510E">
          <w:rPr>
            <w:noProof/>
            <w:webHidden/>
          </w:rPr>
          <w:t>67</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39" w:history="1">
        <w:r w:rsidRPr="006D061E">
          <w:rPr>
            <w:rStyle w:val="Hyperlink"/>
            <w:iCs/>
            <w:noProof/>
          </w:rPr>
          <w:t>Figure 4.21: The reclassified soil map of study area</w:t>
        </w:r>
        <w:r>
          <w:rPr>
            <w:noProof/>
            <w:webHidden/>
          </w:rPr>
          <w:tab/>
        </w:r>
        <w:r>
          <w:rPr>
            <w:noProof/>
            <w:webHidden/>
          </w:rPr>
          <w:fldChar w:fldCharType="begin"/>
        </w:r>
        <w:r>
          <w:rPr>
            <w:noProof/>
            <w:webHidden/>
          </w:rPr>
          <w:instrText xml:space="preserve"> PAGEREF _Toc68761639 \h </w:instrText>
        </w:r>
        <w:r>
          <w:rPr>
            <w:noProof/>
            <w:webHidden/>
          </w:rPr>
        </w:r>
        <w:r>
          <w:rPr>
            <w:noProof/>
            <w:webHidden/>
          </w:rPr>
          <w:fldChar w:fldCharType="separate"/>
        </w:r>
        <w:r w:rsidR="00BD510E">
          <w:rPr>
            <w:noProof/>
            <w:webHidden/>
          </w:rPr>
          <w:t>67</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40" w:history="1">
        <w:r w:rsidRPr="006D061E">
          <w:rPr>
            <w:rStyle w:val="Hyperlink"/>
            <w:noProof/>
          </w:rPr>
          <w:t>Figure 4.22: Pie-chart of the physiographic, geology and climatic factors weightage</w:t>
        </w:r>
        <w:r>
          <w:rPr>
            <w:noProof/>
            <w:webHidden/>
          </w:rPr>
          <w:tab/>
        </w:r>
        <w:r>
          <w:rPr>
            <w:noProof/>
            <w:webHidden/>
          </w:rPr>
          <w:fldChar w:fldCharType="begin"/>
        </w:r>
        <w:r>
          <w:rPr>
            <w:noProof/>
            <w:webHidden/>
          </w:rPr>
          <w:instrText xml:space="preserve"> PAGEREF _Toc68761640 \h </w:instrText>
        </w:r>
        <w:r>
          <w:rPr>
            <w:noProof/>
            <w:webHidden/>
          </w:rPr>
        </w:r>
        <w:r>
          <w:rPr>
            <w:noProof/>
            <w:webHidden/>
          </w:rPr>
          <w:fldChar w:fldCharType="separate"/>
        </w:r>
        <w:r w:rsidR="00BD510E">
          <w:rPr>
            <w:noProof/>
            <w:webHidden/>
          </w:rPr>
          <w:t>70</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41" w:history="1">
        <w:r w:rsidRPr="006D061E">
          <w:rPr>
            <w:rStyle w:val="Hyperlink"/>
            <w:noProof/>
          </w:rPr>
          <w:t>Figure 4.23: The groundwater potential zone map</w:t>
        </w:r>
        <w:r>
          <w:rPr>
            <w:noProof/>
            <w:webHidden/>
          </w:rPr>
          <w:tab/>
        </w:r>
        <w:r>
          <w:rPr>
            <w:noProof/>
            <w:webHidden/>
          </w:rPr>
          <w:fldChar w:fldCharType="begin"/>
        </w:r>
        <w:r>
          <w:rPr>
            <w:noProof/>
            <w:webHidden/>
          </w:rPr>
          <w:instrText xml:space="preserve"> PAGEREF _Toc68761641 \h </w:instrText>
        </w:r>
        <w:r>
          <w:rPr>
            <w:noProof/>
            <w:webHidden/>
          </w:rPr>
        </w:r>
        <w:r>
          <w:rPr>
            <w:noProof/>
            <w:webHidden/>
          </w:rPr>
          <w:fldChar w:fldCharType="separate"/>
        </w:r>
        <w:r w:rsidR="00BD510E">
          <w:rPr>
            <w:noProof/>
            <w:webHidden/>
          </w:rPr>
          <w:t>71</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42" w:history="1">
        <w:r w:rsidRPr="006D061E">
          <w:rPr>
            <w:rStyle w:val="Hyperlink"/>
            <w:noProof/>
          </w:rPr>
          <w:t>Figure 4.24: Suitable groundwater potential zone for Woredas in the study area</w:t>
        </w:r>
        <w:r>
          <w:rPr>
            <w:noProof/>
            <w:webHidden/>
          </w:rPr>
          <w:tab/>
        </w:r>
        <w:r>
          <w:rPr>
            <w:noProof/>
            <w:webHidden/>
          </w:rPr>
          <w:fldChar w:fldCharType="begin"/>
        </w:r>
        <w:r>
          <w:rPr>
            <w:noProof/>
            <w:webHidden/>
          </w:rPr>
          <w:instrText xml:space="preserve"> PAGEREF _Toc68761642 \h </w:instrText>
        </w:r>
        <w:r>
          <w:rPr>
            <w:noProof/>
            <w:webHidden/>
          </w:rPr>
        </w:r>
        <w:r>
          <w:rPr>
            <w:noProof/>
            <w:webHidden/>
          </w:rPr>
          <w:fldChar w:fldCharType="separate"/>
        </w:r>
        <w:r w:rsidR="00BD510E">
          <w:rPr>
            <w:noProof/>
            <w:webHidden/>
          </w:rPr>
          <w:t>72</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43" w:history="1">
        <w:r w:rsidRPr="006D061E">
          <w:rPr>
            <w:rStyle w:val="Hyperlink"/>
            <w:noProof/>
          </w:rPr>
          <w:t>Figure 4.25: Bar charts showing very high and high GWPZ’s of Woredas</w:t>
        </w:r>
        <w:r>
          <w:rPr>
            <w:noProof/>
            <w:webHidden/>
          </w:rPr>
          <w:tab/>
        </w:r>
        <w:r>
          <w:rPr>
            <w:noProof/>
            <w:webHidden/>
          </w:rPr>
          <w:fldChar w:fldCharType="begin"/>
        </w:r>
        <w:r>
          <w:rPr>
            <w:noProof/>
            <w:webHidden/>
          </w:rPr>
          <w:instrText xml:space="preserve"> PAGEREF _Toc68761643 \h </w:instrText>
        </w:r>
        <w:r>
          <w:rPr>
            <w:noProof/>
            <w:webHidden/>
          </w:rPr>
        </w:r>
        <w:r>
          <w:rPr>
            <w:noProof/>
            <w:webHidden/>
          </w:rPr>
          <w:fldChar w:fldCharType="separate"/>
        </w:r>
        <w:r w:rsidR="00BD510E">
          <w:rPr>
            <w:noProof/>
            <w:webHidden/>
          </w:rPr>
          <w:t>73</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44" w:history="1">
        <w:r w:rsidRPr="006D061E">
          <w:rPr>
            <w:rStyle w:val="Hyperlink"/>
            <w:noProof/>
          </w:rPr>
          <w:t xml:space="preserve">Figure 4.26: </w:t>
        </w:r>
        <w:r w:rsidRPr="006D061E">
          <w:rPr>
            <w:rStyle w:val="Hyperlink"/>
            <w:rFonts w:eastAsiaTheme="minorHAnsi"/>
            <w:noProof/>
          </w:rPr>
          <w:t>Bar chart showing validation of the identified GWPZ</w:t>
        </w:r>
        <w:r>
          <w:rPr>
            <w:noProof/>
            <w:webHidden/>
          </w:rPr>
          <w:tab/>
        </w:r>
        <w:r>
          <w:rPr>
            <w:noProof/>
            <w:webHidden/>
          </w:rPr>
          <w:fldChar w:fldCharType="begin"/>
        </w:r>
        <w:r>
          <w:rPr>
            <w:noProof/>
            <w:webHidden/>
          </w:rPr>
          <w:instrText xml:space="preserve"> PAGEREF _Toc68761644 \h </w:instrText>
        </w:r>
        <w:r>
          <w:rPr>
            <w:noProof/>
            <w:webHidden/>
          </w:rPr>
        </w:r>
        <w:r>
          <w:rPr>
            <w:noProof/>
            <w:webHidden/>
          </w:rPr>
          <w:fldChar w:fldCharType="separate"/>
        </w:r>
        <w:r w:rsidR="00BD510E">
          <w:rPr>
            <w:noProof/>
            <w:webHidden/>
          </w:rPr>
          <w:t>75</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45" w:history="1">
        <w:r w:rsidRPr="006D061E">
          <w:rPr>
            <w:rStyle w:val="Hyperlink"/>
            <w:rFonts w:eastAsiaTheme="minorHAnsi"/>
            <w:iCs/>
            <w:noProof/>
          </w:rPr>
          <w:t>Figure 4.27: Evaluation of groundwater potential zones with water point’s yield data</w:t>
        </w:r>
        <w:r>
          <w:rPr>
            <w:noProof/>
            <w:webHidden/>
          </w:rPr>
          <w:tab/>
        </w:r>
        <w:r>
          <w:rPr>
            <w:noProof/>
            <w:webHidden/>
          </w:rPr>
          <w:fldChar w:fldCharType="begin"/>
        </w:r>
        <w:r>
          <w:rPr>
            <w:noProof/>
            <w:webHidden/>
          </w:rPr>
          <w:instrText xml:space="preserve"> PAGEREF _Toc68761645 \h </w:instrText>
        </w:r>
        <w:r>
          <w:rPr>
            <w:noProof/>
            <w:webHidden/>
          </w:rPr>
        </w:r>
        <w:r>
          <w:rPr>
            <w:noProof/>
            <w:webHidden/>
          </w:rPr>
          <w:fldChar w:fldCharType="separate"/>
        </w:r>
        <w:r w:rsidR="00BD510E">
          <w:rPr>
            <w:noProof/>
            <w:webHidden/>
          </w:rPr>
          <w:t>75</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46" w:history="1">
        <w:r w:rsidRPr="006D061E">
          <w:rPr>
            <w:rStyle w:val="Hyperlink"/>
            <w:noProof/>
          </w:rPr>
          <w:t>Figure 4.28: The groundwater flow direction, Recharge/Discharge zone (I) and groundwater level profile (II) along the downstream</w:t>
        </w:r>
        <w:r>
          <w:rPr>
            <w:noProof/>
            <w:webHidden/>
          </w:rPr>
          <w:tab/>
        </w:r>
        <w:r>
          <w:rPr>
            <w:noProof/>
            <w:webHidden/>
          </w:rPr>
          <w:fldChar w:fldCharType="begin"/>
        </w:r>
        <w:r>
          <w:rPr>
            <w:noProof/>
            <w:webHidden/>
          </w:rPr>
          <w:instrText xml:space="preserve"> PAGEREF _Toc68761646 \h </w:instrText>
        </w:r>
        <w:r>
          <w:rPr>
            <w:noProof/>
            <w:webHidden/>
          </w:rPr>
        </w:r>
        <w:r>
          <w:rPr>
            <w:noProof/>
            <w:webHidden/>
          </w:rPr>
          <w:fldChar w:fldCharType="separate"/>
        </w:r>
        <w:r w:rsidR="00BD510E">
          <w:rPr>
            <w:noProof/>
            <w:webHidden/>
          </w:rPr>
          <w:t>76</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47" w:history="1">
        <w:r w:rsidRPr="006D061E">
          <w:rPr>
            <w:rStyle w:val="Hyperlink"/>
            <w:noProof/>
          </w:rPr>
          <w:t>Figure 4.29: Groundwater level, reach and flow direction vectors map</w:t>
        </w:r>
        <w:r>
          <w:rPr>
            <w:noProof/>
            <w:webHidden/>
          </w:rPr>
          <w:tab/>
        </w:r>
        <w:r>
          <w:rPr>
            <w:noProof/>
            <w:webHidden/>
          </w:rPr>
          <w:fldChar w:fldCharType="begin"/>
        </w:r>
        <w:r>
          <w:rPr>
            <w:noProof/>
            <w:webHidden/>
          </w:rPr>
          <w:instrText xml:space="preserve"> PAGEREF _Toc68761647 \h </w:instrText>
        </w:r>
        <w:r>
          <w:rPr>
            <w:noProof/>
            <w:webHidden/>
          </w:rPr>
        </w:r>
        <w:r>
          <w:rPr>
            <w:noProof/>
            <w:webHidden/>
          </w:rPr>
          <w:fldChar w:fldCharType="separate"/>
        </w:r>
        <w:r w:rsidR="00BD510E">
          <w:rPr>
            <w:noProof/>
            <w:webHidden/>
          </w:rPr>
          <w:t>77</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48" w:history="1">
        <w:r w:rsidRPr="006D061E">
          <w:rPr>
            <w:rStyle w:val="Hyperlink"/>
            <w:noProof/>
          </w:rPr>
          <w:t>Figure 4.30 The GWFD vector superimposed over the delineated GWPZ</w:t>
        </w:r>
        <w:r>
          <w:rPr>
            <w:noProof/>
            <w:webHidden/>
          </w:rPr>
          <w:tab/>
        </w:r>
        <w:r>
          <w:rPr>
            <w:noProof/>
            <w:webHidden/>
          </w:rPr>
          <w:fldChar w:fldCharType="begin"/>
        </w:r>
        <w:r>
          <w:rPr>
            <w:noProof/>
            <w:webHidden/>
          </w:rPr>
          <w:instrText xml:space="preserve"> PAGEREF _Toc68761648 \h </w:instrText>
        </w:r>
        <w:r>
          <w:rPr>
            <w:noProof/>
            <w:webHidden/>
          </w:rPr>
        </w:r>
        <w:r>
          <w:rPr>
            <w:noProof/>
            <w:webHidden/>
          </w:rPr>
          <w:fldChar w:fldCharType="separate"/>
        </w:r>
        <w:r w:rsidR="00BD510E">
          <w:rPr>
            <w:noProof/>
            <w:webHidden/>
          </w:rPr>
          <w:t>78</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49" w:history="1">
        <w:r w:rsidRPr="006D061E">
          <w:rPr>
            <w:rStyle w:val="Hyperlink"/>
            <w:noProof/>
          </w:rPr>
          <w:t>Figure 4.31: The groundwater flow direction, contour map and surface profile generated from topographic tilting</w:t>
        </w:r>
        <w:r>
          <w:rPr>
            <w:noProof/>
            <w:webHidden/>
          </w:rPr>
          <w:tab/>
        </w:r>
        <w:r>
          <w:rPr>
            <w:noProof/>
            <w:webHidden/>
          </w:rPr>
          <w:fldChar w:fldCharType="begin"/>
        </w:r>
        <w:r>
          <w:rPr>
            <w:noProof/>
            <w:webHidden/>
          </w:rPr>
          <w:instrText xml:space="preserve"> PAGEREF _Toc68761649 \h </w:instrText>
        </w:r>
        <w:r>
          <w:rPr>
            <w:noProof/>
            <w:webHidden/>
          </w:rPr>
        </w:r>
        <w:r>
          <w:rPr>
            <w:noProof/>
            <w:webHidden/>
          </w:rPr>
          <w:fldChar w:fldCharType="separate"/>
        </w:r>
        <w:r w:rsidR="00BD510E">
          <w:rPr>
            <w:noProof/>
            <w:webHidden/>
          </w:rPr>
          <w:t>79</w:t>
        </w:r>
        <w:r>
          <w:rPr>
            <w:noProof/>
            <w:webHidden/>
          </w:rPr>
          <w:fldChar w:fldCharType="end"/>
        </w:r>
      </w:hyperlink>
    </w:p>
    <w:p w:rsidR="00A71E43" w:rsidRPr="0070028E" w:rsidRDefault="00703E5E" w:rsidP="008B5D5F">
      <w:r w:rsidRPr="0070028E">
        <w:fldChar w:fldCharType="end"/>
      </w:r>
    </w:p>
    <w:p w:rsidR="00501396" w:rsidRPr="0070028E" w:rsidRDefault="00501396" w:rsidP="008B5D5F"/>
    <w:p w:rsidR="0017388E" w:rsidRPr="0070028E" w:rsidRDefault="0017388E" w:rsidP="008B5D5F"/>
    <w:p w:rsidR="002A6518" w:rsidRPr="0070028E" w:rsidRDefault="002A6518" w:rsidP="008B5D5F"/>
    <w:p w:rsidR="00B15432" w:rsidRPr="0070028E" w:rsidRDefault="00B15432" w:rsidP="008B5D5F"/>
    <w:p w:rsidR="00D80E8E" w:rsidRPr="0070028E" w:rsidRDefault="00D80E8E" w:rsidP="008B5D5F"/>
    <w:p w:rsidR="00055B56" w:rsidRPr="0070028E" w:rsidRDefault="00055B56" w:rsidP="008B5D5F"/>
    <w:p w:rsidR="004F0B13" w:rsidRPr="0070028E" w:rsidRDefault="004F0B13" w:rsidP="008B5D5F"/>
    <w:p w:rsidR="0017388E" w:rsidRPr="0070028E" w:rsidRDefault="00CA0343" w:rsidP="008B5D5F">
      <w:pPr>
        <w:pStyle w:val="Heading1"/>
        <w:rPr>
          <w:rFonts w:eastAsia="Calibri"/>
        </w:rPr>
      </w:pPr>
      <w:r w:rsidRPr="0070028E">
        <w:lastRenderedPageBreak/>
        <w:t xml:space="preserve">                           </w:t>
      </w:r>
      <w:bookmarkStart w:id="12" w:name="_Toc68025046"/>
      <w:bookmarkStart w:id="13" w:name="_Toc68761529"/>
      <w:r w:rsidR="00D45B0C" w:rsidRPr="0070028E">
        <w:t>LIST OF TABLES IN THE APPENDIX</w:t>
      </w:r>
      <w:bookmarkEnd w:id="12"/>
      <w:bookmarkEnd w:id="13"/>
    </w:p>
    <w:p w:rsidR="005E3F37" w:rsidRDefault="0017388E" w:rsidP="008B5D5F">
      <w:pPr>
        <w:pStyle w:val="TableofFigures"/>
        <w:tabs>
          <w:tab w:val="right" w:leader="dot" w:pos="8774"/>
        </w:tabs>
        <w:rPr>
          <w:rFonts w:asciiTheme="minorHAnsi" w:eastAsiaTheme="minorEastAsia" w:hAnsiTheme="minorHAnsi" w:cstheme="minorBidi"/>
          <w:noProof/>
          <w:sz w:val="22"/>
          <w:szCs w:val="22"/>
        </w:rPr>
      </w:pPr>
      <w:r w:rsidRPr="0070028E">
        <w:fldChar w:fldCharType="begin"/>
      </w:r>
      <w:r w:rsidRPr="0070028E">
        <w:instrText xml:space="preserve"> TOC \h \z \c "Appendix table" </w:instrText>
      </w:r>
      <w:r w:rsidRPr="0070028E">
        <w:fldChar w:fldCharType="separate"/>
      </w:r>
      <w:hyperlink w:anchor="_Toc68761650" w:history="1">
        <w:r w:rsidR="005E3F37" w:rsidRPr="00F666B2">
          <w:rPr>
            <w:rStyle w:val="Hyperlink"/>
            <w:noProof/>
          </w:rPr>
          <w:t>Appendix table 1: Saaty’s scale of intensity relative importance and descriptions</w:t>
        </w:r>
        <w:r w:rsidR="005E3F37">
          <w:rPr>
            <w:noProof/>
            <w:webHidden/>
          </w:rPr>
          <w:tab/>
        </w:r>
        <w:r w:rsidR="005E3F37">
          <w:rPr>
            <w:noProof/>
            <w:webHidden/>
          </w:rPr>
          <w:fldChar w:fldCharType="begin"/>
        </w:r>
        <w:r w:rsidR="005E3F37">
          <w:rPr>
            <w:noProof/>
            <w:webHidden/>
          </w:rPr>
          <w:instrText xml:space="preserve"> PAGEREF _Toc68761650 \h </w:instrText>
        </w:r>
        <w:r w:rsidR="005E3F37">
          <w:rPr>
            <w:noProof/>
            <w:webHidden/>
          </w:rPr>
        </w:r>
        <w:r w:rsidR="005E3F37">
          <w:rPr>
            <w:noProof/>
            <w:webHidden/>
          </w:rPr>
          <w:fldChar w:fldCharType="separate"/>
        </w:r>
        <w:r w:rsidR="00BD510E">
          <w:rPr>
            <w:noProof/>
            <w:webHidden/>
          </w:rPr>
          <w:t>103</w:t>
        </w:r>
        <w:r w:rsidR="005E3F37">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51" w:history="1">
        <w:r w:rsidRPr="00F666B2">
          <w:rPr>
            <w:rStyle w:val="Hyperlink"/>
            <w:noProof/>
          </w:rPr>
          <w:t>Appendix table 2: Software used for the study</w:t>
        </w:r>
        <w:r>
          <w:rPr>
            <w:noProof/>
            <w:webHidden/>
          </w:rPr>
          <w:tab/>
        </w:r>
        <w:r>
          <w:rPr>
            <w:noProof/>
            <w:webHidden/>
          </w:rPr>
          <w:fldChar w:fldCharType="begin"/>
        </w:r>
        <w:r>
          <w:rPr>
            <w:noProof/>
            <w:webHidden/>
          </w:rPr>
          <w:instrText xml:space="preserve"> PAGEREF _Toc68761651 \h </w:instrText>
        </w:r>
        <w:r>
          <w:rPr>
            <w:noProof/>
            <w:webHidden/>
          </w:rPr>
        </w:r>
        <w:r>
          <w:rPr>
            <w:noProof/>
            <w:webHidden/>
          </w:rPr>
          <w:fldChar w:fldCharType="separate"/>
        </w:r>
        <w:r w:rsidR="00BD510E">
          <w:rPr>
            <w:noProof/>
            <w:webHidden/>
          </w:rPr>
          <w:t>103</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52" w:history="1">
        <w:r w:rsidRPr="00F666B2">
          <w:rPr>
            <w:rStyle w:val="Hyperlink"/>
            <w:noProof/>
          </w:rPr>
          <w:t>Appendix table 3: Sources of data, scale and their respective resolution</w:t>
        </w:r>
        <w:r>
          <w:rPr>
            <w:noProof/>
            <w:webHidden/>
          </w:rPr>
          <w:tab/>
        </w:r>
        <w:r>
          <w:rPr>
            <w:noProof/>
            <w:webHidden/>
          </w:rPr>
          <w:fldChar w:fldCharType="begin"/>
        </w:r>
        <w:r>
          <w:rPr>
            <w:noProof/>
            <w:webHidden/>
          </w:rPr>
          <w:instrText xml:space="preserve"> PAGEREF _Toc68761652 \h </w:instrText>
        </w:r>
        <w:r>
          <w:rPr>
            <w:noProof/>
            <w:webHidden/>
          </w:rPr>
        </w:r>
        <w:r>
          <w:rPr>
            <w:noProof/>
            <w:webHidden/>
          </w:rPr>
          <w:fldChar w:fldCharType="separate"/>
        </w:r>
        <w:r w:rsidR="00BD510E">
          <w:rPr>
            <w:noProof/>
            <w:webHidden/>
          </w:rPr>
          <w:t>104</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53" w:history="1">
        <w:r w:rsidRPr="00F666B2">
          <w:rPr>
            <w:rStyle w:val="Hyperlink"/>
            <w:noProof/>
          </w:rPr>
          <w:t>Appendix table 4: The average annual rainfall of study area</w:t>
        </w:r>
        <w:r>
          <w:rPr>
            <w:noProof/>
            <w:webHidden/>
          </w:rPr>
          <w:tab/>
        </w:r>
        <w:r>
          <w:rPr>
            <w:noProof/>
            <w:webHidden/>
          </w:rPr>
          <w:fldChar w:fldCharType="begin"/>
        </w:r>
        <w:r>
          <w:rPr>
            <w:noProof/>
            <w:webHidden/>
          </w:rPr>
          <w:instrText xml:space="preserve"> PAGEREF _Toc68761653 \h </w:instrText>
        </w:r>
        <w:r>
          <w:rPr>
            <w:noProof/>
            <w:webHidden/>
          </w:rPr>
        </w:r>
        <w:r>
          <w:rPr>
            <w:noProof/>
            <w:webHidden/>
          </w:rPr>
          <w:fldChar w:fldCharType="separate"/>
        </w:r>
        <w:r w:rsidR="00BD510E">
          <w:rPr>
            <w:noProof/>
            <w:webHidden/>
          </w:rPr>
          <w:t>104</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54" w:history="1">
        <w:r w:rsidRPr="00F666B2">
          <w:rPr>
            <w:rStyle w:val="Hyperlink"/>
            <w:noProof/>
          </w:rPr>
          <w:t>Appendix table 5: Soil types, coverage area and their constituents in percentage</w:t>
        </w:r>
        <w:r>
          <w:rPr>
            <w:noProof/>
            <w:webHidden/>
          </w:rPr>
          <w:tab/>
        </w:r>
        <w:r>
          <w:rPr>
            <w:noProof/>
            <w:webHidden/>
          </w:rPr>
          <w:fldChar w:fldCharType="begin"/>
        </w:r>
        <w:r>
          <w:rPr>
            <w:noProof/>
            <w:webHidden/>
          </w:rPr>
          <w:instrText xml:space="preserve"> PAGEREF _Toc68761654 \h </w:instrText>
        </w:r>
        <w:r>
          <w:rPr>
            <w:noProof/>
            <w:webHidden/>
          </w:rPr>
        </w:r>
        <w:r>
          <w:rPr>
            <w:noProof/>
            <w:webHidden/>
          </w:rPr>
          <w:fldChar w:fldCharType="separate"/>
        </w:r>
        <w:r w:rsidR="00BD510E">
          <w:rPr>
            <w:noProof/>
            <w:webHidden/>
          </w:rPr>
          <w:t>105</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55" w:history="1">
        <w:r w:rsidRPr="00F666B2">
          <w:rPr>
            <w:rStyle w:val="Hyperlink"/>
            <w:noProof/>
          </w:rPr>
          <w:t>Appendix table 6: Symbols and the short descriptions of lithological units</w:t>
        </w:r>
        <w:r>
          <w:rPr>
            <w:noProof/>
            <w:webHidden/>
          </w:rPr>
          <w:tab/>
        </w:r>
        <w:r>
          <w:rPr>
            <w:noProof/>
            <w:webHidden/>
          </w:rPr>
          <w:fldChar w:fldCharType="begin"/>
        </w:r>
        <w:r>
          <w:rPr>
            <w:noProof/>
            <w:webHidden/>
          </w:rPr>
          <w:instrText xml:space="preserve"> PAGEREF _Toc68761655 \h </w:instrText>
        </w:r>
        <w:r>
          <w:rPr>
            <w:noProof/>
            <w:webHidden/>
          </w:rPr>
        </w:r>
        <w:r>
          <w:rPr>
            <w:noProof/>
            <w:webHidden/>
          </w:rPr>
          <w:fldChar w:fldCharType="separate"/>
        </w:r>
        <w:r w:rsidR="00BD510E">
          <w:rPr>
            <w:noProof/>
            <w:webHidden/>
          </w:rPr>
          <w:t>106</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56" w:history="1">
        <w:r w:rsidRPr="00F666B2">
          <w:rPr>
            <w:rStyle w:val="Hyperlink"/>
            <w:noProof/>
          </w:rPr>
          <w:t>Appendix table 7: Major soil groups and their short description</w:t>
        </w:r>
        <w:r>
          <w:rPr>
            <w:noProof/>
            <w:webHidden/>
          </w:rPr>
          <w:tab/>
        </w:r>
        <w:r>
          <w:rPr>
            <w:noProof/>
            <w:webHidden/>
          </w:rPr>
          <w:fldChar w:fldCharType="begin"/>
        </w:r>
        <w:r>
          <w:rPr>
            <w:noProof/>
            <w:webHidden/>
          </w:rPr>
          <w:instrText xml:space="preserve"> PAGEREF _Toc68761656 \h </w:instrText>
        </w:r>
        <w:r>
          <w:rPr>
            <w:noProof/>
            <w:webHidden/>
          </w:rPr>
        </w:r>
        <w:r>
          <w:rPr>
            <w:noProof/>
            <w:webHidden/>
          </w:rPr>
          <w:fldChar w:fldCharType="separate"/>
        </w:r>
        <w:r w:rsidR="00BD510E">
          <w:rPr>
            <w:noProof/>
            <w:webHidden/>
          </w:rPr>
          <w:t>107</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57" w:history="1">
        <w:r w:rsidRPr="00F666B2">
          <w:rPr>
            <w:rStyle w:val="Hyperlink"/>
            <w:noProof/>
          </w:rPr>
          <w:t>Appendix table 8: The water points inventory data</w:t>
        </w:r>
        <w:r>
          <w:rPr>
            <w:noProof/>
            <w:webHidden/>
          </w:rPr>
          <w:tab/>
        </w:r>
        <w:r>
          <w:rPr>
            <w:noProof/>
            <w:webHidden/>
          </w:rPr>
          <w:fldChar w:fldCharType="begin"/>
        </w:r>
        <w:r>
          <w:rPr>
            <w:noProof/>
            <w:webHidden/>
          </w:rPr>
          <w:instrText xml:space="preserve"> PAGEREF _Toc68761657 \h </w:instrText>
        </w:r>
        <w:r>
          <w:rPr>
            <w:noProof/>
            <w:webHidden/>
          </w:rPr>
        </w:r>
        <w:r>
          <w:rPr>
            <w:noProof/>
            <w:webHidden/>
          </w:rPr>
          <w:fldChar w:fldCharType="separate"/>
        </w:r>
        <w:r w:rsidR="00BD510E">
          <w:rPr>
            <w:noProof/>
            <w:webHidden/>
          </w:rPr>
          <w:t>109</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58" w:history="1">
        <w:r w:rsidRPr="00F666B2">
          <w:rPr>
            <w:rStyle w:val="Hyperlink"/>
            <w:iCs/>
            <w:noProof/>
          </w:rPr>
          <w:t>Appendix table 9: AHP matrix, relative weight, and CR of rainfall thematic map</w:t>
        </w:r>
        <w:r>
          <w:rPr>
            <w:noProof/>
            <w:webHidden/>
          </w:rPr>
          <w:tab/>
        </w:r>
        <w:r>
          <w:rPr>
            <w:noProof/>
            <w:webHidden/>
          </w:rPr>
          <w:fldChar w:fldCharType="begin"/>
        </w:r>
        <w:r>
          <w:rPr>
            <w:noProof/>
            <w:webHidden/>
          </w:rPr>
          <w:instrText xml:space="preserve"> PAGEREF _Toc68761658 \h </w:instrText>
        </w:r>
        <w:r>
          <w:rPr>
            <w:noProof/>
            <w:webHidden/>
          </w:rPr>
        </w:r>
        <w:r>
          <w:rPr>
            <w:noProof/>
            <w:webHidden/>
          </w:rPr>
          <w:fldChar w:fldCharType="separate"/>
        </w:r>
        <w:r w:rsidR="00BD510E">
          <w:rPr>
            <w:noProof/>
            <w:webHidden/>
          </w:rPr>
          <w:t>113</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59" w:history="1">
        <w:r w:rsidRPr="00F666B2">
          <w:rPr>
            <w:rStyle w:val="Hyperlink"/>
            <w:iCs/>
            <w:noProof/>
          </w:rPr>
          <w:t>Appendix table 10: AHP matrix, relative weight, and CR of LULC thematic map</w:t>
        </w:r>
        <w:r>
          <w:rPr>
            <w:noProof/>
            <w:webHidden/>
          </w:rPr>
          <w:tab/>
        </w:r>
        <w:r>
          <w:rPr>
            <w:noProof/>
            <w:webHidden/>
          </w:rPr>
          <w:fldChar w:fldCharType="begin"/>
        </w:r>
        <w:r>
          <w:rPr>
            <w:noProof/>
            <w:webHidden/>
          </w:rPr>
          <w:instrText xml:space="preserve"> PAGEREF _Toc68761659 \h </w:instrText>
        </w:r>
        <w:r>
          <w:rPr>
            <w:noProof/>
            <w:webHidden/>
          </w:rPr>
        </w:r>
        <w:r>
          <w:rPr>
            <w:noProof/>
            <w:webHidden/>
          </w:rPr>
          <w:fldChar w:fldCharType="separate"/>
        </w:r>
        <w:r w:rsidR="00BD510E">
          <w:rPr>
            <w:noProof/>
            <w:webHidden/>
          </w:rPr>
          <w:t>113</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60" w:history="1">
        <w:r w:rsidRPr="00F666B2">
          <w:rPr>
            <w:rStyle w:val="Hyperlink"/>
            <w:iCs/>
            <w:noProof/>
          </w:rPr>
          <w:t>Appendix table 11: AHP matrix, relative weight, and CR of landforms thematic map</w:t>
        </w:r>
        <w:r>
          <w:rPr>
            <w:noProof/>
            <w:webHidden/>
          </w:rPr>
          <w:tab/>
        </w:r>
        <w:r>
          <w:rPr>
            <w:noProof/>
            <w:webHidden/>
          </w:rPr>
          <w:fldChar w:fldCharType="begin"/>
        </w:r>
        <w:r>
          <w:rPr>
            <w:noProof/>
            <w:webHidden/>
          </w:rPr>
          <w:instrText xml:space="preserve"> PAGEREF _Toc68761660 \h </w:instrText>
        </w:r>
        <w:r>
          <w:rPr>
            <w:noProof/>
            <w:webHidden/>
          </w:rPr>
        </w:r>
        <w:r>
          <w:rPr>
            <w:noProof/>
            <w:webHidden/>
          </w:rPr>
          <w:fldChar w:fldCharType="separate"/>
        </w:r>
        <w:r w:rsidR="00BD510E">
          <w:rPr>
            <w:noProof/>
            <w:webHidden/>
          </w:rPr>
          <w:t>113</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61" w:history="1">
        <w:r w:rsidRPr="00F666B2">
          <w:rPr>
            <w:rStyle w:val="Hyperlink"/>
            <w:iCs/>
            <w:noProof/>
          </w:rPr>
          <w:t>Appendix table 12: AHP matrix, relative weight, and CR of slope thematic map</w:t>
        </w:r>
        <w:r>
          <w:rPr>
            <w:noProof/>
            <w:webHidden/>
          </w:rPr>
          <w:tab/>
        </w:r>
        <w:r>
          <w:rPr>
            <w:noProof/>
            <w:webHidden/>
          </w:rPr>
          <w:fldChar w:fldCharType="begin"/>
        </w:r>
        <w:r>
          <w:rPr>
            <w:noProof/>
            <w:webHidden/>
          </w:rPr>
          <w:instrText xml:space="preserve"> PAGEREF _Toc68761661 \h </w:instrText>
        </w:r>
        <w:r>
          <w:rPr>
            <w:noProof/>
            <w:webHidden/>
          </w:rPr>
        </w:r>
        <w:r>
          <w:rPr>
            <w:noProof/>
            <w:webHidden/>
          </w:rPr>
          <w:fldChar w:fldCharType="separate"/>
        </w:r>
        <w:r w:rsidR="00BD510E">
          <w:rPr>
            <w:noProof/>
            <w:webHidden/>
          </w:rPr>
          <w:t>114</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62" w:history="1">
        <w:r w:rsidRPr="00F666B2">
          <w:rPr>
            <w:rStyle w:val="Hyperlink"/>
            <w:iCs/>
            <w:noProof/>
          </w:rPr>
          <w:t>Appendix table 13: AHP matrix, relative weight, and CR of lineament density</w:t>
        </w:r>
        <w:r>
          <w:rPr>
            <w:noProof/>
            <w:webHidden/>
          </w:rPr>
          <w:tab/>
        </w:r>
        <w:r>
          <w:rPr>
            <w:noProof/>
            <w:webHidden/>
          </w:rPr>
          <w:fldChar w:fldCharType="begin"/>
        </w:r>
        <w:r>
          <w:rPr>
            <w:noProof/>
            <w:webHidden/>
          </w:rPr>
          <w:instrText xml:space="preserve"> PAGEREF _Toc68761662 \h </w:instrText>
        </w:r>
        <w:r>
          <w:rPr>
            <w:noProof/>
            <w:webHidden/>
          </w:rPr>
        </w:r>
        <w:r>
          <w:rPr>
            <w:noProof/>
            <w:webHidden/>
          </w:rPr>
          <w:fldChar w:fldCharType="separate"/>
        </w:r>
        <w:r w:rsidR="00BD510E">
          <w:rPr>
            <w:noProof/>
            <w:webHidden/>
          </w:rPr>
          <w:t>114</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63" w:history="1">
        <w:r w:rsidRPr="00F666B2">
          <w:rPr>
            <w:rStyle w:val="Hyperlink"/>
            <w:iCs/>
            <w:noProof/>
          </w:rPr>
          <w:t>Appendix table 14: AHP matrix, relative weight, and CR of drainage density</w:t>
        </w:r>
        <w:r>
          <w:rPr>
            <w:noProof/>
            <w:webHidden/>
          </w:rPr>
          <w:tab/>
        </w:r>
        <w:r>
          <w:rPr>
            <w:noProof/>
            <w:webHidden/>
          </w:rPr>
          <w:fldChar w:fldCharType="begin"/>
        </w:r>
        <w:r>
          <w:rPr>
            <w:noProof/>
            <w:webHidden/>
          </w:rPr>
          <w:instrText xml:space="preserve"> PAGEREF _Toc68761663 \h </w:instrText>
        </w:r>
        <w:r>
          <w:rPr>
            <w:noProof/>
            <w:webHidden/>
          </w:rPr>
        </w:r>
        <w:r>
          <w:rPr>
            <w:noProof/>
            <w:webHidden/>
          </w:rPr>
          <w:fldChar w:fldCharType="separate"/>
        </w:r>
        <w:r w:rsidR="00BD510E">
          <w:rPr>
            <w:noProof/>
            <w:webHidden/>
          </w:rPr>
          <w:t>114</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64" w:history="1">
        <w:r w:rsidRPr="00F666B2">
          <w:rPr>
            <w:rStyle w:val="Hyperlink"/>
            <w:iCs/>
            <w:noProof/>
          </w:rPr>
          <w:t>Appendix table 15: AHP matrix, relative weight, and CR of elevation thematic map</w:t>
        </w:r>
        <w:r>
          <w:rPr>
            <w:noProof/>
            <w:webHidden/>
          </w:rPr>
          <w:tab/>
        </w:r>
        <w:r>
          <w:rPr>
            <w:noProof/>
            <w:webHidden/>
          </w:rPr>
          <w:fldChar w:fldCharType="begin"/>
        </w:r>
        <w:r>
          <w:rPr>
            <w:noProof/>
            <w:webHidden/>
          </w:rPr>
          <w:instrText xml:space="preserve"> PAGEREF _Toc68761664 \h </w:instrText>
        </w:r>
        <w:r>
          <w:rPr>
            <w:noProof/>
            <w:webHidden/>
          </w:rPr>
        </w:r>
        <w:r>
          <w:rPr>
            <w:noProof/>
            <w:webHidden/>
          </w:rPr>
          <w:fldChar w:fldCharType="separate"/>
        </w:r>
        <w:r w:rsidR="00BD510E">
          <w:rPr>
            <w:noProof/>
            <w:webHidden/>
          </w:rPr>
          <w:t>114</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65" w:history="1">
        <w:r w:rsidRPr="00F666B2">
          <w:rPr>
            <w:rStyle w:val="Hyperlink"/>
            <w:iCs/>
            <w:noProof/>
          </w:rPr>
          <w:t>Appendix table 16: AHP matrix, relative weight, and CR of soil thematic map</w:t>
        </w:r>
        <w:r>
          <w:rPr>
            <w:noProof/>
            <w:webHidden/>
          </w:rPr>
          <w:tab/>
        </w:r>
        <w:r>
          <w:rPr>
            <w:noProof/>
            <w:webHidden/>
          </w:rPr>
          <w:fldChar w:fldCharType="begin"/>
        </w:r>
        <w:r>
          <w:rPr>
            <w:noProof/>
            <w:webHidden/>
          </w:rPr>
          <w:instrText xml:space="preserve"> PAGEREF _Toc68761665 \h </w:instrText>
        </w:r>
        <w:r>
          <w:rPr>
            <w:noProof/>
            <w:webHidden/>
          </w:rPr>
        </w:r>
        <w:r>
          <w:rPr>
            <w:noProof/>
            <w:webHidden/>
          </w:rPr>
          <w:fldChar w:fldCharType="separate"/>
        </w:r>
        <w:r w:rsidR="00BD510E">
          <w:rPr>
            <w:noProof/>
            <w:webHidden/>
          </w:rPr>
          <w:t>115</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66" w:history="1">
        <w:r w:rsidRPr="00F666B2">
          <w:rPr>
            <w:rStyle w:val="Hyperlink"/>
            <w:iCs/>
            <w:noProof/>
          </w:rPr>
          <w:t>Appendix table 17: AHP matrix, relative weight, and CR of geologic thematic map</w:t>
        </w:r>
        <w:r>
          <w:rPr>
            <w:noProof/>
            <w:webHidden/>
          </w:rPr>
          <w:tab/>
        </w:r>
        <w:r>
          <w:rPr>
            <w:noProof/>
            <w:webHidden/>
          </w:rPr>
          <w:fldChar w:fldCharType="begin"/>
        </w:r>
        <w:r>
          <w:rPr>
            <w:noProof/>
            <w:webHidden/>
          </w:rPr>
          <w:instrText xml:space="preserve"> PAGEREF _Toc68761666 \h </w:instrText>
        </w:r>
        <w:r>
          <w:rPr>
            <w:noProof/>
            <w:webHidden/>
          </w:rPr>
        </w:r>
        <w:r>
          <w:rPr>
            <w:noProof/>
            <w:webHidden/>
          </w:rPr>
          <w:fldChar w:fldCharType="separate"/>
        </w:r>
        <w:r w:rsidR="00BD510E">
          <w:rPr>
            <w:noProof/>
            <w:webHidden/>
          </w:rPr>
          <w:t>115</w:t>
        </w:r>
        <w:r>
          <w:rPr>
            <w:noProof/>
            <w:webHidden/>
          </w:rPr>
          <w:fldChar w:fldCharType="end"/>
        </w:r>
      </w:hyperlink>
    </w:p>
    <w:p w:rsidR="00AD6291" w:rsidRPr="0070028E" w:rsidRDefault="0017388E" w:rsidP="008B5D5F">
      <w:r w:rsidRPr="0070028E">
        <w:fldChar w:fldCharType="end"/>
      </w:r>
    </w:p>
    <w:p w:rsidR="00AD6291" w:rsidRPr="0070028E" w:rsidRDefault="00AD6291" w:rsidP="008B5D5F"/>
    <w:p w:rsidR="00AD6291" w:rsidRPr="0070028E" w:rsidRDefault="00AD6291" w:rsidP="008B5D5F"/>
    <w:p w:rsidR="00AD6291" w:rsidRDefault="00AD6291" w:rsidP="008B5D5F"/>
    <w:p w:rsidR="00CF6749" w:rsidRDefault="00CF6749" w:rsidP="008B5D5F"/>
    <w:p w:rsidR="00CF6749" w:rsidRPr="0070028E" w:rsidRDefault="00CF6749" w:rsidP="008B5D5F"/>
    <w:p w:rsidR="00996C65" w:rsidRPr="0070028E" w:rsidRDefault="005E3539" w:rsidP="008B5D5F">
      <w:pPr>
        <w:pStyle w:val="Heading1"/>
      </w:pPr>
      <w:r w:rsidRPr="0070028E">
        <w:lastRenderedPageBreak/>
        <w:t xml:space="preserve">                            </w:t>
      </w:r>
      <w:bookmarkStart w:id="14" w:name="_Toc68025047"/>
      <w:bookmarkStart w:id="15" w:name="_Toc68761530"/>
      <w:r w:rsidR="00996C65" w:rsidRPr="0070028E">
        <w:t>LIST OF FIGURES IN THE APPENDIX</w:t>
      </w:r>
      <w:bookmarkEnd w:id="14"/>
      <w:bookmarkEnd w:id="15"/>
    </w:p>
    <w:p w:rsidR="005E3F37" w:rsidRDefault="00996C65" w:rsidP="008B5D5F">
      <w:pPr>
        <w:pStyle w:val="TableofFigures"/>
        <w:tabs>
          <w:tab w:val="right" w:leader="dot" w:pos="8774"/>
        </w:tabs>
        <w:rPr>
          <w:rFonts w:asciiTheme="minorHAnsi" w:eastAsiaTheme="minorEastAsia" w:hAnsiTheme="minorHAnsi" w:cstheme="minorBidi"/>
          <w:noProof/>
          <w:sz w:val="22"/>
          <w:szCs w:val="22"/>
        </w:rPr>
      </w:pPr>
      <w:r w:rsidRPr="0070028E">
        <w:fldChar w:fldCharType="begin"/>
      </w:r>
      <w:r w:rsidRPr="0070028E">
        <w:instrText xml:space="preserve"> TOC \h \z \c "Appendix Figure " </w:instrText>
      </w:r>
      <w:r w:rsidRPr="0070028E">
        <w:fldChar w:fldCharType="separate"/>
      </w:r>
      <w:hyperlink w:anchor="_Toc68761667" w:history="1">
        <w:r w:rsidR="005E3F37" w:rsidRPr="00442C99">
          <w:rPr>
            <w:rStyle w:val="Hyperlink"/>
            <w:noProof/>
          </w:rPr>
          <w:t>Appendix figure 1: Average maximum and minimum monthly temperature of stations</w:t>
        </w:r>
        <w:r w:rsidR="005E3F37">
          <w:rPr>
            <w:noProof/>
            <w:webHidden/>
          </w:rPr>
          <w:tab/>
        </w:r>
        <w:r w:rsidR="005E3F37">
          <w:rPr>
            <w:noProof/>
            <w:webHidden/>
          </w:rPr>
          <w:fldChar w:fldCharType="begin"/>
        </w:r>
        <w:r w:rsidR="005E3F37">
          <w:rPr>
            <w:noProof/>
            <w:webHidden/>
          </w:rPr>
          <w:instrText xml:space="preserve"> PAGEREF _Toc68761667 \h </w:instrText>
        </w:r>
        <w:r w:rsidR="005E3F37">
          <w:rPr>
            <w:noProof/>
            <w:webHidden/>
          </w:rPr>
        </w:r>
        <w:r w:rsidR="005E3F37">
          <w:rPr>
            <w:noProof/>
            <w:webHidden/>
          </w:rPr>
          <w:fldChar w:fldCharType="separate"/>
        </w:r>
        <w:r w:rsidR="00BD510E">
          <w:rPr>
            <w:noProof/>
            <w:webHidden/>
          </w:rPr>
          <w:t>105</w:t>
        </w:r>
        <w:r w:rsidR="005E3F37">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68" w:history="1">
        <w:r w:rsidRPr="00442C99">
          <w:rPr>
            <w:rStyle w:val="Hyperlink"/>
            <w:noProof/>
          </w:rPr>
          <w:t>Appendix figure 2: The soil texture triangle</w:t>
        </w:r>
        <w:r>
          <w:rPr>
            <w:noProof/>
            <w:webHidden/>
          </w:rPr>
          <w:tab/>
        </w:r>
        <w:r>
          <w:rPr>
            <w:noProof/>
            <w:webHidden/>
          </w:rPr>
          <w:fldChar w:fldCharType="begin"/>
        </w:r>
        <w:r>
          <w:rPr>
            <w:noProof/>
            <w:webHidden/>
          </w:rPr>
          <w:instrText xml:space="preserve"> PAGEREF _Toc68761668 \h </w:instrText>
        </w:r>
        <w:r>
          <w:rPr>
            <w:noProof/>
            <w:webHidden/>
          </w:rPr>
        </w:r>
        <w:r>
          <w:rPr>
            <w:noProof/>
            <w:webHidden/>
          </w:rPr>
          <w:fldChar w:fldCharType="separate"/>
        </w:r>
        <w:r w:rsidR="00BD510E">
          <w:rPr>
            <w:noProof/>
            <w:webHidden/>
          </w:rPr>
          <w:t>106</w:t>
        </w:r>
        <w:r>
          <w:rPr>
            <w:noProof/>
            <w:webHidden/>
          </w:rPr>
          <w:fldChar w:fldCharType="end"/>
        </w:r>
      </w:hyperlink>
    </w:p>
    <w:p w:rsidR="005E3F37" w:rsidRDefault="005E3F37" w:rsidP="008B5D5F">
      <w:pPr>
        <w:pStyle w:val="TableofFigures"/>
        <w:tabs>
          <w:tab w:val="right" w:leader="dot" w:pos="8774"/>
        </w:tabs>
        <w:rPr>
          <w:rFonts w:asciiTheme="minorHAnsi" w:eastAsiaTheme="minorEastAsia" w:hAnsiTheme="minorHAnsi" w:cstheme="minorBidi"/>
          <w:noProof/>
          <w:sz w:val="22"/>
          <w:szCs w:val="22"/>
        </w:rPr>
      </w:pPr>
      <w:hyperlink w:anchor="_Toc68761669" w:history="1">
        <w:r w:rsidRPr="00442C99">
          <w:rPr>
            <w:rStyle w:val="Hyperlink"/>
            <w:noProof/>
          </w:rPr>
          <w:t xml:space="preserve">Appendix Figure 3: </w:t>
        </w:r>
        <w:r w:rsidRPr="00442C99">
          <w:rPr>
            <w:rStyle w:val="Hyperlink"/>
            <w:rFonts w:eastAsia="Times New Roman"/>
            <w:noProof/>
          </w:rPr>
          <w:t>The WEIGHT module of IDRISI Selva’s pair-wise comparison matrix eigenvector and CR value of evaluation criteria</w:t>
        </w:r>
        <w:r>
          <w:rPr>
            <w:noProof/>
            <w:webHidden/>
          </w:rPr>
          <w:tab/>
        </w:r>
        <w:r>
          <w:rPr>
            <w:noProof/>
            <w:webHidden/>
          </w:rPr>
          <w:fldChar w:fldCharType="begin"/>
        </w:r>
        <w:r>
          <w:rPr>
            <w:noProof/>
            <w:webHidden/>
          </w:rPr>
          <w:instrText xml:space="preserve"> PAGEREF _Toc68761669 \h </w:instrText>
        </w:r>
        <w:r>
          <w:rPr>
            <w:noProof/>
            <w:webHidden/>
          </w:rPr>
        </w:r>
        <w:r>
          <w:rPr>
            <w:noProof/>
            <w:webHidden/>
          </w:rPr>
          <w:fldChar w:fldCharType="separate"/>
        </w:r>
        <w:r w:rsidR="00BD510E">
          <w:rPr>
            <w:noProof/>
            <w:webHidden/>
          </w:rPr>
          <w:t>106</w:t>
        </w:r>
        <w:r>
          <w:rPr>
            <w:noProof/>
            <w:webHidden/>
          </w:rPr>
          <w:fldChar w:fldCharType="end"/>
        </w:r>
      </w:hyperlink>
    </w:p>
    <w:p w:rsidR="003D781F" w:rsidRPr="0070028E" w:rsidRDefault="00996C65" w:rsidP="008B5D5F">
      <w:r w:rsidRPr="0070028E">
        <w:fldChar w:fldCharType="end"/>
      </w:r>
    </w:p>
    <w:p w:rsidR="00501396" w:rsidRPr="0070028E" w:rsidRDefault="00501396" w:rsidP="008B5D5F"/>
    <w:p w:rsidR="00501396" w:rsidRPr="0070028E" w:rsidRDefault="00501396" w:rsidP="008B5D5F"/>
    <w:p w:rsidR="00501396" w:rsidRPr="0070028E" w:rsidRDefault="00501396" w:rsidP="008B5D5F"/>
    <w:p w:rsidR="00501396" w:rsidRPr="0070028E" w:rsidRDefault="00501396" w:rsidP="008B5D5F"/>
    <w:p w:rsidR="00501396" w:rsidRPr="0070028E" w:rsidRDefault="00501396" w:rsidP="008B5D5F"/>
    <w:p w:rsidR="00501396" w:rsidRPr="0070028E" w:rsidRDefault="00501396" w:rsidP="008B5D5F"/>
    <w:p w:rsidR="00501396" w:rsidRPr="0070028E" w:rsidRDefault="00501396" w:rsidP="008B5D5F"/>
    <w:p w:rsidR="00501396" w:rsidRPr="0070028E" w:rsidRDefault="00501396" w:rsidP="008B5D5F"/>
    <w:p w:rsidR="00501396" w:rsidRPr="0070028E" w:rsidRDefault="00501396" w:rsidP="008B5D5F"/>
    <w:p w:rsidR="00501396" w:rsidRPr="0070028E" w:rsidRDefault="00501396" w:rsidP="008B5D5F"/>
    <w:p w:rsidR="00501396" w:rsidRPr="0070028E" w:rsidRDefault="00501396" w:rsidP="008B5D5F"/>
    <w:p w:rsidR="00501396" w:rsidRPr="0070028E" w:rsidRDefault="00501396" w:rsidP="008B5D5F"/>
    <w:p w:rsidR="00501396" w:rsidRPr="0070028E" w:rsidRDefault="00501396" w:rsidP="008B5D5F"/>
    <w:p w:rsidR="00FA5FF3" w:rsidRPr="0070028E" w:rsidRDefault="00FA5FF3" w:rsidP="008B5D5F"/>
    <w:p w:rsidR="00FA5FF3" w:rsidRPr="0070028E" w:rsidRDefault="00FA5FF3" w:rsidP="008B5D5F"/>
    <w:p w:rsidR="00FA5FF3" w:rsidRPr="0070028E" w:rsidRDefault="00FA5FF3" w:rsidP="008B5D5F"/>
    <w:p w:rsidR="00FA5FF3" w:rsidRPr="0070028E" w:rsidRDefault="00FA5FF3" w:rsidP="008B5D5F"/>
    <w:p w:rsidR="005116FA" w:rsidRPr="0070028E" w:rsidRDefault="005116FA" w:rsidP="008B5D5F"/>
    <w:p w:rsidR="00AF372A" w:rsidRPr="0070028E" w:rsidRDefault="00AF372A" w:rsidP="008B5D5F"/>
    <w:p w:rsidR="003D781F" w:rsidRPr="0070028E" w:rsidRDefault="00CA0343" w:rsidP="008B5D5F">
      <w:pPr>
        <w:spacing w:before="240" w:after="240"/>
        <w:rPr>
          <w:rFonts w:eastAsiaTheme="minorHAnsi"/>
          <w:b/>
          <w:bCs/>
        </w:rPr>
      </w:pPr>
      <w:r w:rsidRPr="0070028E">
        <w:rPr>
          <w:rFonts w:eastAsiaTheme="minorHAnsi"/>
          <w:b/>
          <w:bCs/>
        </w:rPr>
        <w:lastRenderedPageBreak/>
        <w:t xml:space="preserve">                                               </w:t>
      </w:r>
      <w:r w:rsidR="003D781F" w:rsidRPr="0070028E">
        <w:rPr>
          <w:rFonts w:eastAsiaTheme="minorHAnsi"/>
          <w:b/>
          <w:bCs/>
        </w:rPr>
        <w:t>DECLARATION</w:t>
      </w:r>
    </w:p>
    <w:p w:rsidR="003D781F" w:rsidRPr="0070028E" w:rsidRDefault="003D781F" w:rsidP="008B5D5F">
      <w:pPr>
        <w:rPr>
          <w:rFonts w:eastAsiaTheme="minorHAnsi"/>
        </w:rPr>
      </w:pPr>
      <w:r w:rsidRPr="0070028E">
        <w:rPr>
          <w:rFonts w:eastAsiaTheme="minorHAnsi"/>
        </w:rPr>
        <w:t xml:space="preserve">I undersigned and declared that this M.Sc. thesis entitled “Groundwater Potential Mapping using GIS and Remote Sensing: A case study in Weyib Sub-basin, Genale-Dawa River basin, Southeast Ethiopia’’ is my original work </w:t>
      </w:r>
      <w:r w:rsidR="00886EEF" w:rsidRPr="0070028E">
        <w:rPr>
          <w:rFonts w:eastAsiaTheme="minorHAnsi"/>
        </w:rPr>
        <w:t xml:space="preserve">and has not been presented for a degree in any other university, and all sources of material used for this thesis have been duly acknowledged. </w:t>
      </w:r>
    </w:p>
    <w:p w:rsidR="00886EEF" w:rsidRPr="0070028E" w:rsidRDefault="003D781F" w:rsidP="008B5D5F">
      <w:pPr>
        <w:rPr>
          <w:rFonts w:eastAsiaTheme="minorHAnsi"/>
        </w:rPr>
      </w:pPr>
      <w:r w:rsidRPr="0070028E">
        <w:rPr>
          <w:rFonts w:eastAsiaTheme="minorHAnsi"/>
        </w:rPr>
        <w:t>Name</w:t>
      </w:r>
      <w:r w:rsidR="00886EEF" w:rsidRPr="0070028E">
        <w:rPr>
          <w:rFonts w:eastAsiaTheme="minorHAnsi"/>
        </w:rPr>
        <w:t xml:space="preserve">: </w:t>
      </w:r>
      <w:r w:rsidR="00B278CC" w:rsidRPr="0070028E">
        <w:rPr>
          <w:rFonts w:eastAsiaTheme="minorHAnsi"/>
        </w:rPr>
        <w:t>____________________________________</w:t>
      </w:r>
    </w:p>
    <w:p w:rsidR="003D781F" w:rsidRPr="0070028E" w:rsidRDefault="003D781F" w:rsidP="008B5D5F">
      <w:pPr>
        <w:rPr>
          <w:rFonts w:eastAsiaTheme="minorHAnsi"/>
        </w:rPr>
      </w:pPr>
      <w:r w:rsidRPr="0070028E">
        <w:rPr>
          <w:rFonts w:eastAsiaTheme="minorHAnsi"/>
        </w:rPr>
        <w:t>Signature</w:t>
      </w:r>
      <w:r w:rsidR="00886EEF" w:rsidRPr="0070028E">
        <w:rPr>
          <w:rFonts w:eastAsiaTheme="minorHAnsi"/>
        </w:rPr>
        <w:t xml:space="preserve">: </w:t>
      </w:r>
      <w:r w:rsidR="00B278CC" w:rsidRPr="0070028E">
        <w:rPr>
          <w:rFonts w:eastAsiaTheme="minorHAnsi"/>
        </w:rPr>
        <w:t>______________</w:t>
      </w:r>
    </w:p>
    <w:p w:rsidR="00886EEF" w:rsidRPr="0070028E" w:rsidRDefault="00886EEF" w:rsidP="008B5D5F">
      <w:pPr>
        <w:rPr>
          <w:rFonts w:eastAsiaTheme="minorHAnsi"/>
        </w:rPr>
      </w:pPr>
      <w:r w:rsidRPr="0070028E">
        <w:rPr>
          <w:rFonts w:eastAsiaTheme="minorHAnsi"/>
        </w:rPr>
        <w:t>This M</w:t>
      </w:r>
      <w:r w:rsidR="00CE3EA2" w:rsidRPr="0070028E">
        <w:rPr>
          <w:rFonts w:eastAsiaTheme="minorHAnsi"/>
        </w:rPr>
        <w:t>.</w:t>
      </w:r>
      <w:r w:rsidRPr="0070028E">
        <w:rPr>
          <w:rFonts w:eastAsiaTheme="minorHAnsi"/>
        </w:rPr>
        <w:t>Sc</w:t>
      </w:r>
      <w:r w:rsidR="00CE3EA2" w:rsidRPr="0070028E">
        <w:rPr>
          <w:rFonts w:eastAsiaTheme="minorHAnsi"/>
        </w:rPr>
        <w:t>.</w:t>
      </w:r>
      <w:r w:rsidRPr="0070028E">
        <w:rPr>
          <w:rFonts w:eastAsiaTheme="minorHAnsi"/>
        </w:rPr>
        <w:t xml:space="preserve"> </w:t>
      </w:r>
      <w:r w:rsidR="00CE3EA2" w:rsidRPr="0070028E">
        <w:rPr>
          <w:rFonts w:eastAsiaTheme="minorHAnsi"/>
        </w:rPr>
        <w:t xml:space="preserve">thesis </w:t>
      </w:r>
      <w:r w:rsidRPr="0070028E">
        <w:rPr>
          <w:rFonts w:eastAsiaTheme="minorHAnsi"/>
        </w:rPr>
        <w:t>has been submitted for examination with my approval as thesis advisor.</w:t>
      </w:r>
    </w:p>
    <w:p w:rsidR="00886EEF" w:rsidRPr="0070028E" w:rsidRDefault="00886EEF" w:rsidP="008B5D5F">
      <w:pPr>
        <w:rPr>
          <w:rFonts w:eastAsiaTheme="minorHAnsi"/>
        </w:rPr>
      </w:pPr>
      <w:r w:rsidRPr="0070028E">
        <w:rPr>
          <w:rFonts w:eastAsiaTheme="minorHAnsi"/>
        </w:rPr>
        <w:t>Name</w:t>
      </w:r>
      <w:r w:rsidR="00B278CC" w:rsidRPr="0070028E">
        <w:rPr>
          <w:rFonts w:eastAsiaTheme="minorHAnsi"/>
        </w:rPr>
        <w:t>: _</w:t>
      </w:r>
      <w:r w:rsidRPr="0070028E">
        <w:rPr>
          <w:rFonts w:eastAsiaTheme="minorHAnsi"/>
        </w:rPr>
        <w:t>___________________________________</w:t>
      </w:r>
    </w:p>
    <w:p w:rsidR="00886EEF" w:rsidRPr="0070028E" w:rsidRDefault="00886EEF" w:rsidP="008B5D5F">
      <w:pPr>
        <w:rPr>
          <w:rFonts w:eastAsiaTheme="minorHAnsi"/>
        </w:rPr>
      </w:pPr>
      <w:r w:rsidRPr="0070028E">
        <w:rPr>
          <w:rFonts w:eastAsiaTheme="minorHAnsi"/>
        </w:rPr>
        <w:t>Signature: __________________________________</w:t>
      </w:r>
    </w:p>
    <w:p w:rsidR="003D781F" w:rsidRPr="0070028E" w:rsidRDefault="00886EEF" w:rsidP="008B5D5F">
      <w:pPr>
        <w:rPr>
          <w:rFonts w:eastAsiaTheme="minorHAnsi"/>
        </w:rPr>
      </w:pPr>
      <w:r w:rsidRPr="0070028E">
        <w:rPr>
          <w:rFonts w:eastAsiaTheme="minorHAnsi"/>
        </w:rPr>
        <w:t>Place and Date of Submission: ______________</w:t>
      </w:r>
    </w:p>
    <w:p w:rsidR="003D781F" w:rsidRPr="0070028E" w:rsidRDefault="003D781F" w:rsidP="00F641EE">
      <w:pPr>
        <w:rPr>
          <w:rFonts w:eastAsiaTheme="minorHAnsi"/>
        </w:rPr>
      </w:pPr>
    </w:p>
    <w:p w:rsidR="003D781F" w:rsidRPr="0070028E" w:rsidRDefault="003D781F" w:rsidP="00EE74B8">
      <w:pPr>
        <w:autoSpaceDE w:val="0"/>
        <w:autoSpaceDN w:val="0"/>
        <w:adjustRightInd w:val="0"/>
      </w:pPr>
    </w:p>
    <w:p w:rsidR="003C19F0" w:rsidRPr="0070028E" w:rsidRDefault="003C19F0" w:rsidP="00EE74B8">
      <w:pPr>
        <w:autoSpaceDE w:val="0"/>
        <w:autoSpaceDN w:val="0"/>
        <w:adjustRightInd w:val="0"/>
      </w:pPr>
    </w:p>
    <w:p w:rsidR="003C19F0" w:rsidRPr="0070028E" w:rsidRDefault="003C19F0" w:rsidP="00EE74B8">
      <w:pPr>
        <w:autoSpaceDE w:val="0"/>
        <w:autoSpaceDN w:val="0"/>
        <w:adjustRightInd w:val="0"/>
      </w:pPr>
    </w:p>
    <w:p w:rsidR="003C19F0" w:rsidRPr="0070028E" w:rsidRDefault="003C19F0" w:rsidP="00EE74B8">
      <w:pPr>
        <w:autoSpaceDE w:val="0"/>
        <w:autoSpaceDN w:val="0"/>
        <w:adjustRightInd w:val="0"/>
      </w:pPr>
    </w:p>
    <w:p w:rsidR="00235AB3" w:rsidRPr="0070028E" w:rsidRDefault="00235AB3" w:rsidP="00EE74B8">
      <w:pPr>
        <w:autoSpaceDE w:val="0"/>
        <w:autoSpaceDN w:val="0"/>
        <w:adjustRightInd w:val="0"/>
      </w:pPr>
    </w:p>
    <w:p w:rsidR="00FA5FF3" w:rsidRPr="0070028E" w:rsidRDefault="00FA5FF3" w:rsidP="00EE74B8">
      <w:pPr>
        <w:autoSpaceDE w:val="0"/>
        <w:autoSpaceDN w:val="0"/>
        <w:adjustRightInd w:val="0"/>
      </w:pPr>
    </w:p>
    <w:p w:rsidR="00FA5FF3" w:rsidRPr="0070028E" w:rsidRDefault="00FA5FF3" w:rsidP="00EE74B8">
      <w:pPr>
        <w:autoSpaceDE w:val="0"/>
        <w:autoSpaceDN w:val="0"/>
        <w:adjustRightInd w:val="0"/>
      </w:pPr>
    </w:p>
    <w:p w:rsidR="00FA5FF3" w:rsidRPr="00601FD1" w:rsidRDefault="00FA5FF3" w:rsidP="00EE74B8">
      <w:pPr>
        <w:autoSpaceDE w:val="0"/>
        <w:autoSpaceDN w:val="0"/>
        <w:adjustRightInd w:val="0"/>
      </w:pPr>
    </w:p>
    <w:p w:rsidR="00FA5FF3" w:rsidRPr="00601FD1" w:rsidRDefault="00FA5FF3" w:rsidP="00EE74B8">
      <w:pPr>
        <w:autoSpaceDE w:val="0"/>
        <w:autoSpaceDN w:val="0"/>
        <w:adjustRightInd w:val="0"/>
      </w:pPr>
    </w:p>
    <w:p w:rsidR="00FA5FF3" w:rsidRPr="00601FD1" w:rsidRDefault="00FA5FF3" w:rsidP="00EE74B8">
      <w:pPr>
        <w:autoSpaceDE w:val="0"/>
        <w:autoSpaceDN w:val="0"/>
        <w:adjustRightInd w:val="0"/>
      </w:pPr>
    </w:p>
    <w:p w:rsidR="003C19F0" w:rsidRPr="00601FD1" w:rsidRDefault="003C19F0" w:rsidP="00EE74B8">
      <w:pPr>
        <w:autoSpaceDE w:val="0"/>
        <w:autoSpaceDN w:val="0"/>
        <w:adjustRightInd w:val="0"/>
      </w:pPr>
    </w:p>
    <w:p w:rsidR="003C19F0" w:rsidRPr="00601FD1" w:rsidRDefault="003C19F0" w:rsidP="00EE74B8">
      <w:pPr>
        <w:autoSpaceDE w:val="0"/>
        <w:autoSpaceDN w:val="0"/>
        <w:adjustRightInd w:val="0"/>
      </w:pPr>
    </w:p>
    <w:p w:rsidR="003724E1" w:rsidRPr="00601FD1" w:rsidRDefault="00CA0343" w:rsidP="00D12190">
      <w:pPr>
        <w:pStyle w:val="Heading1"/>
      </w:pPr>
      <w:bookmarkStart w:id="16" w:name="_Toc52964245"/>
      <w:bookmarkStart w:id="17" w:name="_Toc23171148"/>
      <w:bookmarkStart w:id="18" w:name="_Ref23253316"/>
      <w:bookmarkStart w:id="19" w:name="_Ref23253319"/>
      <w:bookmarkStart w:id="20" w:name="_Ref23253320"/>
      <w:bookmarkStart w:id="21" w:name="_Ref23253321"/>
      <w:bookmarkStart w:id="22" w:name="_Toc23256432"/>
      <w:r w:rsidRPr="00601FD1">
        <w:lastRenderedPageBreak/>
        <w:t xml:space="preserve">                                                    </w:t>
      </w:r>
      <w:bookmarkStart w:id="23" w:name="_Toc68025048"/>
      <w:bookmarkStart w:id="24" w:name="_Toc68761531"/>
      <w:r w:rsidR="003724E1" w:rsidRPr="00601FD1">
        <w:t>ABSTRACT</w:t>
      </w:r>
      <w:bookmarkEnd w:id="16"/>
      <w:bookmarkEnd w:id="23"/>
      <w:bookmarkEnd w:id="24"/>
    </w:p>
    <w:p w:rsidR="006C36E7" w:rsidRPr="00601FD1" w:rsidRDefault="00A85B2F" w:rsidP="000509F5">
      <w:pPr>
        <w:rPr>
          <w:i/>
        </w:rPr>
      </w:pPr>
      <w:r w:rsidRPr="00601FD1">
        <w:rPr>
          <w:i/>
        </w:rPr>
        <w:t>To fulfill the demand of a rapidly growing population in drought-prone area</w:t>
      </w:r>
      <w:r w:rsidR="00D76566" w:rsidRPr="00601FD1">
        <w:rPr>
          <w:i/>
        </w:rPr>
        <w:t>s</w:t>
      </w:r>
      <w:r w:rsidRPr="00601FD1">
        <w:rPr>
          <w:i/>
        </w:rPr>
        <w:t xml:space="preserve"> with high rate </w:t>
      </w:r>
      <w:r w:rsidR="00D77C57" w:rsidRPr="00601FD1">
        <w:rPr>
          <w:i/>
        </w:rPr>
        <w:t>of urbanization, identification</w:t>
      </w:r>
      <w:r w:rsidRPr="00601FD1">
        <w:rPr>
          <w:i/>
        </w:rPr>
        <w:t xml:space="preserve"> and management of groundwater resour</w:t>
      </w:r>
      <w:r w:rsidR="00D76566" w:rsidRPr="00601FD1">
        <w:rPr>
          <w:i/>
        </w:rPr>
        <w:t>ces are required. In the Weyib S</w:t>
      </w:r>
      <w:r w:rsidRPr="00601FD1">
        <w:rPr>
          <w:i/>
        </w:rPr>
        <w:t xml:space="preserve">ub-basin, a search for an alternative source of water has been always a major </w:t>
      </w:r>
      <w:r w:rsidR="00D76566" w:rsidRPr="00601FD1">
        <w:rPr>
          <w:i/>
        </w:rPr>
        <w:t>issue. The current practice of groundwater potential z</w:t>
      </w:r>
      <w:r w:rsidRPr="00601FD1">
        <w:rPr>
          <w:i/>
        </w:rPr>
        <w:t>one (GWPZ) identification is time-consuming and uneconomical. Therefore, it is required to apply effective technique</w:t>
      </w:r>
      <w:r w:rsidR="00196483" w:rsidRPr="00601FD1">
        <w:rPr>
          <w:i/>
        </w:rPr>
        <w:t>s</w:t>
      </w:r>
      <w:r w:rsidRPr="00601FD1">
        <w:rPr>
          <w:i/>
        </w:rPr>
        <w:t xml:space="preserve"> for proper evaluation of groundwater resources. This study applie</w:t>
      </w:r>
      <w:r w:rsidR="00D76566" w:rsidRPr="00601FD1">
        <w:rPr>
          <w:i/>
        </w:rPr>
        <w:t>d</w:t>
      </w:r>
      <w:r w:rsidRPr="00601FD1">
        <w:rPr>
          <w:i/>
        </w:rPr>
        <w:t xml:space="preserve"> integr</w:t>
      </w:r>
      <w:r w:rsidR="00D76566" w:rsidRPr="00601FD1">
        <w:rPr>
          <w:i/>
        </w:rPr>
        <w:t>ation of GIS-Remote S</w:t>
      </w:r>
      <w:r w:rsidR="00C04276" w:rsidRPr="00601FD1">
        <w:rPr>
          <w:i/>
        </w:rPr>
        <w:t xml:space="preserve">ensing </w:t>
      </w:r>
      <w:r w:rsidR="00C0456F" w:rsidRPr="00601FD1">
        <w:rPr>
          <w:i/>
        </w:rPr>
        <w:t xml:space="preserve">(RS) </w:t>
      </w:r>
      <w:r w:rsidRPr="00601FD1">
        <w:rPr>
          <w:i/>
        </w:rPr>
        <w:t xml:space="preserve">and Analytical Hierarchy Process (AHP) for mapping the GWPZ of Weyib </w:t>
      </w:r>
      <w:r w:rsidR="004A01B3" w:rsidRPr="00601FD1">
        <w:rPr>
          <w:i/>
        </w:rPr>
        <w:t>S</w:t>
      </w:r>
      <w:r w:rsidRPr="00601FD1">
        <w:rPr>
          <w:i/>
        </w:rPr>
        <w:t xml:space="preserve">ub-basin, Southeast Ethiopia. </w:t>
      </w:r>
      <w:r w:rsidR="00D76566" w:rsidRPr="00601FD1">
        <w:rPr>
          <w:i/>
        </w:rPr>
        <w:t>For this purpose t</w:t>
      </w:r>
      <w:r w:rsidR="00E14BDB" w:rsidRPr="00601FD1">
        <w:rPr>
          <w:i/>
        </w:rPr>
        <w:t>he physiographic, geology</w:t>
      </w:r>
      <w:r w:rsidRPr="00601FD1">
        <w:rPr>
          <w:i/>
        </w:rPr>
        <w:t xml:space="preserve"> and climatic factors influenc</w:t>
      </w:r>
      <w:r w:rsidR="00C14D6F" w:rsidRPr="00601FD1">
        <w:rPr>
          <w:i/>
        </w:rPr>
        <w:t>ing GWPZ of the study area we</w:t>
      </w:r>
      <w:r w:rsidRPr="00601FD1">
        <w:rPr>
          <w:i/>
        </w:rPr>
        <w:t>re characterized. The thematic maps of geomorphological landforms, lineament density, geology, rainfall distribution, drainage density, elevation, slope, LU</w:t>
      </w:r>
      <w:r w:rsidR="00ED4E6F" w:rsidRPr="00601FD1">
        <w:rPr>
          <w:i/>
        </w:rPr>
        <w:t>/</w:t>
      </w:r>
      <w:r w:rsidRPr="00601FD1">
        <w:rPr>
          <w:i/>
        </w:rPr>
        <w:t>LC</w:t>
      </w:r>
      <w:r w:rsidR="0041079F" w:rsidRPr="00601FD1">
        <w:rPr>
          <w:i/>
        </w:rPr>
        <w:t xml:space="preserve"> </w:t>
      </w:r>
      <w:r w:rsidRPr="00601FD1">
        <w:rPr>
          <w:i/>
        </w:rPr>
        <w:t xml:space="preserve">and soil texture were prepared. </w:t>
      </w:r>
      <w:r w:rsidR="00C14D6F" w:rsidRPr="00601FD1">
        <w:rPr>
          <w:i/>
        </w:rPr>
        <w:t>System for automated geoscientific analysis (</w:t>
      </w:r>
      <w:r w:rsidRPr="00601FD1">
        <w:rPr>
          <w:i/>
        </w:rPr>
        <w:t>SAGA</w:t>
      </w:r>
      <w:r w:rsidR="00C14D6F" w:rsidRPr="00601FD1">
        <w:rPr>
          <w:i/>
        </w:rPr>
        <w:t>)</w:t>
      </w:r>
      <w:r w:rsidRPr="00601FD1">
        <w:rPr>
          <w:i/>
        </w:rPr>
        <w:t xml:space="preserve"> GIS, PCI Geomatics, Rockworks 16, </w:t>
      </w:r>
      <w:r w:rsidR="00581453" w:rsidRPr="00601FD1">
        <w:rPr>
          <w:i/>
        </w:rPr>
        <w:t xml:space="preserve">IDRISI Selva and Surfer 17.1, </w:t>
      </w:r>
      <w:r w:rsidR="00CB01D7" w:rsidRPr="00601FD1">
        <w:rPr>
          <w:i/>
        </w:rPr>
        <w:t xml:space="preserve">were employed </w:t>
      </w:r>
      <w:r w:rsidRPr="00601FD1">
        <w:rPr>
          <w:i/>
        </w:rPr>
        <w:t>for landform classi</w:t>
      </w:r>
      <w:r w:rsidR="007E4DA9" w:rsidRPr="00601FD1">
        <w:rPr>
          <w:i/>
        </w:rPr>
        <w:t xml:space="preserve">fication, lineament extraction, </w:t>
      </w:r>
      <w:r w:rsidR="00950A01" w:rsidRPr="00601FD1">
        <w:rPr>
          <w:i/>
        </w:rPr>
        <w:t>rose diagram</w:t>
      </w:r>
      <w:r w:rsidR="00ED3D5F" w:rsidRPr="00601FD1">
        <w:rPr>
          <w:i/>
        </w:rPr>
        <w:t xml:space="preserve"> preparation</w:t>
      </w:r>
      <w:r w:rsidR="00950A01" w:rsidRPr="00601FD1">
        <w:rPr>
          <w:i/>
        </w:rPr>
        <w:t xml:space="preserve">, </w:t>
      </w:r>
      <w:r w:rsidR="00581453" w:rsidRPr="00601FD1">
        <w:rPr>
          <w:i/>
        </w:rPr>
        <w:t xml:space="preserve">pairwise comparison of the factors and </w:t>
      </w:r>
      <w:r w:rsidR="00ED3D5F" w:rsidRPr="00601FD1">
        <w:rPr>
          <w:i/>
        </w:rPr>
        <w:t xml:space="preserve">identification of </w:t>
      </w:r>
      <w:r w:rsidR="00581453" w:rsidRPr="00601FD1">
        <w:rPr>
          <w:i/>
        </w:rPr>
        <w:t xml:space="preserve">groundwater flow direction, </w:t>
      </w:r>
      <w:r w:rsidR="00B80FBF" w:rsidRPr="00601FD1">
        <w:rPr>
          <w:i/>
        </w:rPr>
        <w:t xml:space="preserve">respectively. </w:t>
      </w:r>
      <w:r w:rsidRPr="00601FD1">
        <w:rPr>
          <w:i/>
        </w:rPr>
        <w:t xml:space="preserve">The AHP technique of </w:t>
      </w:r>
      <w:r w:rsidR="00581453" w:rsidRPr="00601FD1">
        <w:rPr>
          <w:i/>
        </w:rPr>
        <w:t xml:space="preserve">Multi-criteria decision analysis </w:t>
      </w:r>
      <w:r w:rsidRPr="00601FD1">
        <w:rPr>
          <w:i/>
        </w:rPr>
        <w:t>(MCDA) was employed to determine the relative weight and influence</w:t>
      </w:r>
      <w:r w:rsidR="00ED3D5F" w:rsidRPr="00601FD1">
        <w:rPr>
          <w:i/>
        </w:rPr>
        <w:t>s</w:t>
      </w:r>
      <w:r w:rsidRPr="00601FD1">
        <w:rPr>
          <w:i/>
        </w:rPr>
        <w:t xml:space="preserve"> of </w:t>
      </w:r>
      <w:r w:rsidR="00562C95" w:rsidRPr="00601FD1">
        <w:rPr>
          <w:i/>
        </w:rPr>
        <w:t xml:space="preserve">the </w:t>
      </w:r>
      <w:r w:rsidRPr="00601FD1">
        <w:rPr>
          <w:i/>
        </w:rPr>
        <w:t xml:space="preserve">thematic layers. Geomorphologic landform, lineament density, geology, and rainfall distribution </w:t>
      </w:r>
      <w:r w:rsidR="00562C95" w:rsidRPr="00601FD1">
        <w:rPr>
          <w:i/>
        </w:rPr>
        <w:t>were found to be the</w:t>
      </w:r>
      <w:r w:rsidRPr="00601FD1">
        <w:rPr>
          <w:i/>
        </w:rPr>
        <w:t xml:space="preserve"> dominant factors sharing the highest weightage of 67%. A w</w:t>
      </w:r>
      <w:r w:rsidR="00562C95" w:rsidRPr="00601FD1">
        <w:rPr>
          <w:i/>
        </w:rPr>
        <w:t xml:space="preserve">eighting overlay approach of </w:t>
      </w:r>
      <w:r w:rsidRPr="00601FD1">
        <w:rPr>
          <w:i/>
        </w:rPr>
        <w:t>GIS was utilized to overlay the thematic maps. The resulting GWPZ of the study area indicates five zones representing very high, high,</w:t>
      </w:r>
      <w:r w:rsidR="00C72ECC" w:rsidRPr="00601FD1">
        <w:rPr>
          <w:i/>
        </w:rPr>
        <w:t xml:space="preserve"> moderate, poor</w:t>
      </w:r>
      <w:r w:rsidR="00655613" w:rsidRPr="00601FD1">
        <w:rPr>
          <w:i/>
        </w:rPr>
        <w:t xml:space="preserve"> </w:t>
      </w:r>
      <w:r w:rsidR="00C72ECC" w:rsidRPr="00601FD1">
        <w:rPr>
          <w:i/>
        </w:rPr>
        <w:t>and very poor GWPZ</w:t>
      </w:r>
      <w:r w:rsidRPr="00601FD1">
        <w:rPr>
          <w:i/>
        </w:rPr>
        <w:t>. The areal extent of very high and high GWPZ is 41 km</w:t>
      </w:r>
      <w:r w:rsidRPr="00601FD1">
        <w:rPr>
          <w:i/>
          <w:vertAlign w:val="superscript"/>
        </w:rPr>
        <w:t>2</w:t>
      </w:r>
      <w:r w:rsidRPr="00601FD1">
        <w:rPr>
          <w:i/>
        </w:rPr>
        <w:t xml:space="preserve"> and 2032 km</w:t>
      </w:r>
      <w:r w:rsidRPr="00601FD1">
        <w:rPr>
          <w:i/>
          <w:vertAlign w:val="superscript"/>
        </w:rPr>
        <w:t>2</w:t>
      </w:r>
      <w:r w:rsidR="00655112" w:rsidRPr="00601FD1">
        <w:rPr>
          <w:i/>
        </w:rPr>
        <w:t xml:space="preserve">, respectively. </w:t>
      </w:r>
      <w:r w:rsidRPr="00601FD1">
        <w:rPr>
          <w:i/>
        </w:rPr>
        <w:t>Moderate, poor and very poor GWPZ covers 2088 km</w:t>
      </w:r>
      <w:r w:rsidRPr="00601FD1">
        <w:rPr>
          <w:i/>
          <w:vertAlign w:val="superscript"/>
        </w:rPr>
        <w:t>2</w:t>
      </w:r>
      <w:r w:rsidRPr="00601FD1">
        <w:rPr>
          <w:i/>
        </w:rPr>
        <w:t>, 252 km</w:t>
      </w:r>
      <w:r w:rsidRPr="00601FD1">
        <w:rPr>
          <w:i/>
          <w:vertAlign w:val="superscript"/>
        </w:rPr>
        <w:t>2</w:t>
      </w:r>
      <w:r w:rsidRPr="00601FD1">
        <w:rPr>
          <w:i/>
        </w:rPr>
        <w:t xml:space="preserve"> and 0.142 km</w:t>
      </w:r>
      <w:r w:rsidRPr="00601FD1">
        <w:rPr>
          <w:i/>
          <w:vertAlign w:val="superscript"/>
        </w:rPr>
        <w:t>2</w:t>
      </w:r>
      <w:r w:rsidR="008A30E9" w:rsidRPr="00601FD1">
        <w:rPr>
          <w:i/>
        </w:rPr>
        <w:t xml:space="preserve"> areas</w:t>
      </w:r>
      <w:r w:rsidRPr="00601FD1">
        <w:rPr>
          <w:i/>
        </w:rPr>
        <w:t xml:space="preserve">. </w:t>
      </w:r>
      <w:r w:rsidR="00655112" w:rsidRPr="00601FD1">
        <w:rPr>
          <w:i/>
        </w:rPr>
        <w:t xml:space="preserve">The particular direction of groundwater flow is towards the NE and SE, coinciding with the direction of surface water flow. It was controlled by NW-SE striking geologic structures. </w:t>
      </w:r>
      <w:r w:rsidRPr="00601FD1">
        <w:rPr>
          <w:i/>
        </w:rPr>
        <w:t xml:space="preserve">The delineated </w:t>
      </w:r>
      <w:r w:rsidR="008A30E9" w:rsidRPr="00601FD1">
        <w:rPr>
          <w:i/>
        </w:rPr>
        <w:t>GWP</w:t>
      </w:r>
      <w:r w:rsidR="000220F7" w:rsidRPr="00601FD1">
        <w:rPr>
          <w:i/>
        </w:rPr>
        <w:t>Z</w:t>
      </w:r>
      <w:r w:rsidRPr="00601FD1">
        <w:rPr>
          <w:i/>
        </w:rPr>
        <w:t xml:space="preserve"> map </w:t>
      </w:r>
      <w:r w:rsidR="00950A01" w:rsidRPr="00601FD1">
        <w:rPr>
          <w:i/>
        </w:rPr>
        <w:t>is</w:t>
      </w:r>
      <w:r w:rsidRPr="00601FD1">
        <w:rPr>
          <w:i/>
        </w:rPr>
        <w:t xml:space="preserve"> verified by using the existing </w:t>
      </w:r>
      <w:r w:rsidR="00CA178F" w:rsidRPr="00601FD1">
        <w:rPr>
          <w:i/>
        </w:rPr>
        <w:t xml:space="preserve">water </w:t>
      </w:r>
      <w:r w:rsidR="003C5FFF" w:rsidRPr="00601FD1">
        <w:rPr>
          <w:i/>
        </w:rPr>
        <w:t>point’s</w:t>
      </w:r>
      <w:r w:rsidR="00CA178F" w:rsidRPr="00601FD1">
        <w:rPr>
          <w:i/>
        </w:rPr>
        <w:t xml:space="preserve"> inventory data</w:t>
      </w:r>
      <w:r w:rsidRPr="00601FD1">
        <w:rPr>
          <w:i/>
        </w:rPr>
        <w:t xml:space="preserve">. It indicates a good prediction accuracy of </w:t>
      </w:r>
      <w:r w:rsidR="00ED6B4E" w:rsidRPr="00601FD1">
        <w:rPr>
          <w:i/>
        </w:rPr>
        <w:t>84</w:t>
      </w:r>
      <w:r w:rsidRPr="00601FD1">
        <w:rPr>
          <w:i/>
        </w:rPr>
        <w:t xml:space="preserve">%. Thus, the identification of </w:t>
      </w:r>
      <w:r w:rsidR="008A30E9" w:rsidRPr="00601FD1">
        <w:rPr>
          <w:i/>
        </w:rPr>
        <w:t>GWPZ</w:t>
      </w:r>
      <w:r w:rsidRPr="00601FD1">
        <w:rPr>
          <w:i/>
        </w:rPr>
        <w:t xml:space="preserve"> by using GIS and </w:t>
      </w:r>
      <w:r w:rsidR="00C0456F" w:rsidRPr="00601FD1">
        <w:rPr>
          <w:i/>
        </w:rPr>
        <w:t>RS through</w:t>
      </w:r>
      <w:r w:rsidRPr="00601FD1">
        <w:rPr>
          <w:i/>
        </w:rPr>
        <w:t xml:space="preserve"> AHP is reliable for </w:t>
      </w:r>
      <w:r w:rsidR="00A74992" w:rsidRPr="00601FD1">
        <w:rPr>
          <w:i/>
        </w:rPr>
        <w:t xml:space="preserve">conducting </w:t>
      </w:r>
      <w:r w:rsidR="002A4A03" w:rsidRPr="00601FD1">
        <w:rPr>
          <w:i/>
        </w:rPr>
        <w:t>similar studies</w:t>
      </w:r>
      <w:r w:rsidRPr="00601FD1">
        <w:rPr>
          <w:i/>
        </w:rPr>
        <w:t>.</w:t>
      </w:r>
    </w:p>
    <w:p w:rsidR="00B96EB1" w:rsidRPr="00601FD1" w:rsidRDefault="00DE4900" w:rsidP="000509F5">
      <w:pPr>
        <w:rPr>
          <w:rFonts w:eastAsiaTheme="minorHAnsi"/>
          <w:i/>
          <w:iCs/>
        </w:rPr>
        <w:sectPr w:rsidR="00B96EB1" w:rsidRPr="00601FD1" w:rsidSect="00AA3FF0">
          <w:headerReference w:type="default" r:id="rId10"/>
          <w:footerReference w:type="default" r:id="rId11"/>
          <w:pgSz w:w="11909" w:h="16834" w:code="9"/>
          <w:pgMar w:top="1699" w:right="1138" w:bottom="1411" w:left="1987" w:header="720" w:footer="720" w:gutter="0"/>
          <w:pgNumType w:fmt="lowerRoman" w:start="1"/>
          <w:cols w:space="720"/>
          <w:docGrid w:linePitch="360"/>
        </w:sectPr>
      </w:pPr>
      <w:r w:rsidRPr="00601FD1">
        <w:rPr>
          <w:rFonts w:eastAsiaTheme="minorHAnsi"/>
          <w:b/>
          <w:bCs/>
          <w:i/>
        </w:rPr>
        <w:t>Key</w:t>
      </w:r>
      <w:r w:rsidR="003724E1" w:rsidRPr="00601FD1">
        <w:rPr>
          <w:rFonts w:eastAsiaTheme="minorHAnsi"/>
          <w:b/>
          <w:bCs/>
          <w:i/>
        </w:rPr>
        <w:t>words:</w:t>
      </w:r>
      <w:r w:rsidR="003724E1" w:rsidRPr="00601FD1">
        <w:rPr>
          <w:rFonts w:eastAsiaTheme="minorHAnsi"/>
          <w:i/>
        </w:rPr>
        <w:t xml:space="preserve"> </w:t>
      </w:r>
      <w:r w:rsidR="000220F7" w:rsidRPr="00601FD1">
        <w:rPr>
          <w:rFonts w:eastAsiaTheme="minorHAnsi"/>
          <w:i/>
          <w:iCs/>
        </w:rPr>
        <w:t xml:space="preserve">Groundwater potential; GIS and </w:t>
      </w:r>
      <w:r w:rsidR="00BA1A5C" w:rsidRPr="00601FD1">
        <w:rPr>
          <w:rFonts w:eastAsiaTheme="minorHAnsi"/>
          <w:i/>
          <w:iCs/>
        </w:rPr>
        <w:t>RS</w:t>
      </w:r>
      <w:r w:rsidR="003724E1" w:rsidRPr="00601FD1">
        <w:rPr>
          <w:rFonts w:eastAsiaTheme="minorHAnsi"/>
          <w:i/>
          <w:iCs/>
        </w:rPr>
        <w:t>; AHP; weighted ove</w:t>
      </w:r>
      <w:r w:rsidR="00915BA3" w:rsidRPr="00601FD1">
        <w:rPr>
          <w:rFonts w:eastAsiaTheme="minorHAnsi"/>
          <w:i/>
          <w:iCs/>
        </w:rPr>
        <w:t>rlay; Weyib Sub-</w:t>
      </w:r>
      <w:r w:rsidR="003B49B0" w:rsidRPr="00601FD1">
        <w:rPr>
          <w:rFonts w:eastAsiaTheme="minorHAnsi"/>
          <w:i/>
          <w:iCs/>
        </w:rPr>
        <w:t>b</w:t>
      </w:r>
      <w:r w:rsidR="00915BA3" w:rsidRPr="00601FD1">
        <w:rPr>
          <w:rFonts w:eastAsiaTheme="minorHAnsi"/>
          <w:i/>
          <w:iCs/>
        </w:rPr>
        <w:t>asi</w:t>
      </w:r>
      <w:r w:rsidR="000220F7" w:rsidRPr="00601FD1">
        <w:rPr>
          <w:rFonts w:eastAsiaTheme="minorHAnsi"/>
          <w:i/>
          <w:iCs/>
        </w:rPr>
        <w:t>n</w:t>
      </w:r>
    </w:p>
    <w:p w:rsidR="0083422D" w:rsidRPr="00601FD1" w:rsidRDefault="001E3A3E" w:rsidP="00D12190">
      <w:pPr>
        <w:pStyle w:val="Heading1"/>
        <w:numPr>
          <w:ilvl w:val="0"/>
          <w:numId w:val="1"/>
        </w:numPr>
      </w:pPr>
      <w:bookmarkStart w:id="25" w:name="_Toc68025049"/>
      <w:bookmarkStart w:id="26" w:name="_Toc68761532"/>
      <w:r w:rsidRPr="00601FD1">
        <w:lastRenderedPageBreak/>
        <w:t>INTRODUC</w:t>
      </w:r>
      <w:r w:rsidR="006C4D6A" w:rsidRPr="00601FD1">
        <w:t>TION</w:t>
      </w:r>
      <w:bookmarkEnd w:id="0"/>
      <w:bookmarkEnd w:id="17"/>
      <w:bookmarkEnd w:id="18"/>
      <w:bookmarkEnd w:id="19"/>
      <w:bookmarkEnd w:id="20"/>
      <w:bookmarkEnd w:id="21"/>
      <w:bookmarkEnd w:id="22"/>
      <w:bookmarkEnd w:id="25"/>
      <w:bookmarkEnd w:id="26"/>
    </w:p>
    <w:p w:rsidR="00491A0D" w:rsidRPr="00601FD1" w:rsidRDefault="00491A0D" w:rsidP="00485BFC">
      <w:pPr>
        <w:pStyle w:val="Heading2"/>
        <w:numPr>
          <w:ilvl w:val="1"/>
          <w:numId w:val="1"/>
        </w:numPr>
        <w:rPr>
          <w:szCs w:val="24"/>
        </w:rPr>
      </w:pPr>
      <w:bookmarkStart w:id="27" w:name="_Toc22400917"/>
      <w:bookmarkStart w:id="28" w:name="_Toc23171149"/>
      <w:bookmarkStart w:id="29" w:name="_Toc23256433"/>
      <w:bookmarkStart w:id="30" w:name="_Toc68025050"/>
      <w:bookmarkStart w:id="31" w:name="_Toc68761533"/>
      <w:r w:rsidRPr="00601FD1">
        <w:rPr>
          <w:szCs w:val="24"/>
        </w:rPr>
        <w:t>Background</w:t>
      </w:r>
      <w:bookmarkEnd w:id="27"/>
      <w:bookmarkEnd w:id="28"/>
      <w:bookmarkEnd w:id="29"/>
      <w:bookmarkEnd w:id="30"/>
      <w:bookmarkEnd w:id="31"/>
    </w:p>
    <w:p w:rsidR="009A6EAB" w:rsidRPr="00601FD1" w:rsidRDefault="006B2C6C" w:rsidP="00485BFC">
      <w:r w:rsidRPr="00601FD1">
        <w:t xml:space="preserve">Groundwater is a precious resource of </w:t>
      </w:r>
      <w:r w:rsidR="0097119B" w:rsidRPr="00601FD1">
        <w:t xml:space="preserve">a </w:t>
      </w:r>
      <w:r w:rsidR="00DE4900" w:rsidRPr="00601FD1">
        <w:t>limited extent. T</w:t>
      </w:r>
      <w:r w:rsidRPr="00601FD1">
        <w:t>o ensure its judicious use, proper evaluation is required</w:t>
      </w:r>
      <w:r w:rsidR="001626FB" w:rsidRPr="00601FD1">
        <w:t xml:space="preserve"> </w:t>
      </w:r>
      <w:r w:rsidR="001626FB" w:rsidRPr="00601FD1">
        <w:fldChar w:fldCharType="begin" w:fldLock="1"/>
      </w:r>
      <w:r w:rsidR="00A309A8">
        <w:instrText>ADDIN CSL_CITATION {"citationItems":[{"id":"ITEM-1","itemData":{"author":[{"dropping-particle":"","family":"Rwanga","given":"Sophia S.","non-dropping-particle":"","parse-names":false,"suffix":""}],"container-title":"International Conference on Civil and Environmental Engineering","id":"ITEM-1","issued":{"date-parts":[["2013"]]},"page":"156-160","title":"A Review on Groundwater Recharge Estimation Using Wetspass Model","type":"article-journal"},"uris":["http://www.mendeley.com/documents/?uuid=d66062d3-2ff7-4aa9-86fb-7f5b7d533161"]}],"mendeley":{"formattedCitation":"(Sophia S. Rwanga, 2013)","manualFormatting":"(Rwanga, 2013)","plainTextFormattedCitation":"(Sophia S. Rwanga, 2013)","previouslyFormattedCitation":"(Sophia S. Rwanga, 2013)"},"properties":{"noteIndex":0},"schema":"https://github.com/citation-style-language/schema/raw/master/csl-citation.json"}</w:instrText>
      </w:r>
      <w:r w:rsidR="001626FB" w:rsidRPr="00601FD1">
        <w:fldChar w:fldCharType="separate"/>
      </w:r>
      <w:r w:rsidR="00E230CE" w:rsidRPr="00601FD1">
        <w:rPr>
          <w:noProof/>
        </w:rPr>
        <w:t>(</w:t>
      </w:r>
      <w:r w:rsidR="00FF015B" w:rsidRPr="00601FD1">
        <w:rPr>
          <w:noProof/>
        </w:rPr>
        <w:t>Rwanga, 2013)</w:t>
      </w:r>
      <w:r w:rsidR="001626FB" w:rsidRPr="00601FD1">
        <w:fldChar w:fldCharType="end"/>
      </w:r>
      <w:r w:rsidR="001626FB" w:rsidRPr="00601FD1">
        <w:t xml:space="preserve">. </w:t>
      </w:r>
      <w:r w:rsidRPr="00601FD1">
        <w:t xml:space="preserve">Groundwater has emerged to be one of the major sources of potable water </w:t>
      </w:r>
      <w:r w:rsidR="000707C8" w:rsidRPr="00601FD1">
        <w:t xml:space="preserve">contributing significantly </w:t>
      </w:r>
      <w:r w:rsidR="00475C2E" w:rsidRPr="00601FD1">
        <w:t xml:space="preserve">to </w:t>
      </w:r>
      <w:r w:rsidR="0097119B" w:rsidRPr="00601FD1">
        <w:t>the</w:t>
      </w:r>
      <w:r w:rsidR="00DE4900" w:rsidRPr="00601FD1">
        <w:t xml:space="preserve"> total annual water supply </w:t>
      </w:r>
      <w:r w:rsidR="0010708F" w:rsidRPr="00601FD1">
        <w:t xml:space="preserve">for various purposes </w:t>
      </w:r>
      <w:r w:rsidR="00650A04" w:rsidRPr="00601FD1">
        <w:rPr>
          <w:rStyle w:val="FootnoteReference"/>
        </w:rPr>
        <w:fldChar w:fldCharType="begin" w:fldLock="1"/>
      </w:r>
      <w:r w:rsidR="00A309A8">
        <w:instrText>ADDIN CSL_CITATION {"citationItems":[{"id":"ITEM-1","itemData":{"author":[{"dropping-particle":"","family":"Waikar","given":"M L","non-dropping-particle":"","parse-names":false,"suffix":""},{"dropping-particle":"","family":"Nilawar","given":"Aditya P","non-dropping-particle":"","parse-names":false,"suffix":""}],"id":"ITEM-1","issue":"5","issued":{"date-parts":[["2014"]]},"page":"12163-12174","title":"Identification of Groundwater Potential Zone using Remote Sensing and GIS Technique","type":"article-journal","volume":"3"},"uris":["http://www.mendeley.com/documents/?uuid=51c5ad64-5f50-46bb-a9dd-8718cab47c42"]}],"mendeley":{"formattedCitation":"(Waikar &amp; Nilawar, 2014)","manualFormatting":"(Waikar and Nilawar, 2014)","plainTextFormattedCitation":"(Waikar &amp; Nilawar, 2014)","previouslyFormattedCitation":"(Waikar &amp; Nilawar, 2014)"},"properties":{"noteIndex":0},"schema":"https://github.com/citation-style-language/schema/raw/master/csl-citation.json"}</w:instrText>
      </w:r>
      <w:r w:rsidR="00650A04" w:rsidRPr="00601FD1">
        <w:rPr>
          <w:rStyle w:val="FootnoteReference"/>
        </w:rPr>
        <w:fldChar w:fldCharType="separate"/>
      </w:r>
      <w:r w:rsidR="00E230CE" w:rsidRPr="00601FD1">
        <w:rPr>
          <w:bCs/>
          <w:noProof/>
        </w:rPr>
        <w:t>(Waikar and</w:t>
      </w:r>
      <w:r w:rsidR="00A108C4" w:rsidRPr="00601FD1">
        <w:rPr>
          <w:bCs/>
          <w:noProof/>
        </w:rPr>
        <w:t xml:space="preserve"> Nilawar, 2014)</w:t>
      </w:r>
      <w:r w:rsidR="00650A04" w:rsidRPr="00601FD1">
        <w:rPr>
          <w:rStyle w:val="FootnoteReference"/>
        </w:rPr>
        <w:fldChar w:fldCharType="end"/>
      </w:r>
      <w:r w:rsidRPr="00601FD1">
        <w:t>.</w:t>
      </w:r>
      <w:r w:rsidR="00387B71" w:rsidRPr="00601FD1">
        <w:t xml:space="preserve"> </w:t>
      </w:r>
      <w:r w:rsidR="006A3EA4" w:rsidRPr="00601FD1">
        <w:t xml:space="preserve">From an </w:t>
      </w:r>
      <w:r w:rsidR="007B6074" w:rsidRPr="00601FD1">
        <w:t>estimated total</w:t>
      </w:r>
      <w:r w:rsidR="006A3EA4" w:rsidRPr="00601FD1">
        <w:t xml:space="preserve"> world water resource of 1.36 </w:t>
      </w:r>
      <w:r w:rsidR="001A155E" w:rsidRPr="00601FD1">
        <w:t>BCK</w:t>
      </w:r>
      <w:r w:rsidR="00D26D22" w:rsidRPr="00601FD1">
        <w:t>, 2.8% is fresh</w:t>
      </w:r>
      <w:r w:rsidR="00DE4900" w:rsidRPr="00601FD1">
        <w:t xml:space="preserve"> </w:t>
      </w:r>
      <w:r w:rsidR="006A3EA4" w:rsidRPr="00601FD1">
        <w:t>water, about 2.2% is available as surface</w:t>
      </w:r>
      <w:r w:rsidR="00812E44" w:rsidRPr="00601FD1">
        <w:t xml:space="preserve"> water</w:t>
      </w:r>
      <w:r w:rsidR="0097119B" w:rsidRPr="00601FD1">
        <w:t>,</w:t>
      </w:r>
      <w:r w:rsidR="0081076D" w:rsidRPr="00601FD1">
        <w:t xml:space="preserve"> </w:t>
      </w:r>
      <w:r w:rsidR="00D9774C" w:rsidRPr="00601FD1">
        <w:t>while</w:t>
      </w:r>
      <w:r w:rsidR="0081076D" w:rsidRPr="00601FD1">
        <w:t xml:space="preserve"> 0.6% i</w:t>
      </w:r>
      <w:r w:rsidR="00812E44" w:rsidRPr="00601FD1">
        <w:t xml:space="preserve">s groundwater </w:t>
      </w:r>
      <w:r w:rsidR="00812E44" w:rsidRPr="00601FD1">
        <w:fldChar w:fldCharType="begin" w:fldLock="1"/>
      </w:r>
      <w:r w:rsidR="00A309A8">
        <w:instrText>ADDIN CSL_CITATION {"citationItems":[{"id":"ITEM-1","itemData":{"author":[{"dropping-particle":"","family":"Raghunath","given":"H.M.","non-dropping-particle":"","parse-names":false,"suffix":""}],"edition":"second","id":"ITEM-1","issued":{"date-parts":[["2006"]]},"publisher":"New Age International","publisher-place":"New Delhi, India","title":"Hydrology: Principles, Analysis and Design","type":"book"},"uris":["http://www.mendeley.com/documents/?uuid=f4009f57-6ab3-4b2a-bc2a-142993c5eabf","http://www.mendeley.com/documents/?uuid=b3f4637d-2e1d-4bd8-a83b-2857da3c4407"]}],"mendeley":{"formattedCitation":"(Raghunath, 2006)","plainTextFormattedCitation":"(Raghunath, 2006)","previouslyFormattedCitation":"(Raghunath, 2006)"},"properties":{"noteIndex":0},"schema":"https://github.com/citation-style-language/schema/raw/master/csl-citation.json"}</w:instrText>
      </w:r>
      <w:r w:rsidR="00812E44" w:rsidRPr="00601FD1">
        <w:fldChar w:fldCharType="separate"/>
      </w:r>
      <w:r w:rsidR="00D363A7" w:rsidRPr="00601FD1">
        <w:rPr>
          <w:noProof/>
        </w:rPr>
        <w:t>(Raghunath, 2006)</w:t>
      </w:r>
      <w:r w:rsidR="00812E44" w:rsidRPr="00601FD1">
        <w:fldChar w:fldCharType="end"/>
      </w:r>
      <w:r w:rsidR="00812E44" w:rsidRPr="00601FD1">
        <w:t>.</w:t>
      </w:r>
      <w:r w:rsidR="0036371F" w:rsidRPr="00601FD1">
        <w:t xml:space="preserve"> </w:t>
      </w:r>
      <w:r w:rsidR="006764B2" w:rsidRPr="00601FD1">
        <w:t>Surface waters are seasonal in their availability and respond immediately to climate change</w:t>
      </w:r>
      <w:r w:rsidR="00354020" w:rsidRPr="00601FD1">
        <w:t xml:space="preserve"> </w:t>
      </w:r>
      <w:r w:rsidR="009A2F3B" w:rsidRPr="009A2F3B">
        <w:t>(Fiedler, 1992; Louks and Beek, 2005; Whitehead et al., 2009).</w:t>
      </w:r>
      <w:r w:rsidR="00DF7ED4">
        <w:t xml:space="preserve"> </w:t>
      </w:r>
      <w:r w:rsidR="004B520C" w:rsidRPr="00601FD1">
        <w:t xml:space="preserve">A tremendous increase in the demand for groundwater due to </w:t>
      </w:r>
      <w:r w:rsidR="0097119B" w:rsidRPr="00601FD1">
        <w:t xml:space="preserve">an </w:t>
      </w:r>
      <w:r w:rsidR="004B520C" w:rsidRPr="00601FD1">
        <w:t>increase in population</w:t>
      </w:r>
      <w:r w:rsidR="00D50825" w:rsidRPr="00601FD1">
        <w:t>, advanced irrigation practices</w:t>
      </w:r>
      <w:r w:rsidR="004B520C" w:rsidRPr="00601FD1">
        <w:t xml:space="preserve"> and industrial usages need a reliable source of water supply</w:t>
      </w:r>
      <w:r w:rsidR="00DC0813" w:rsidRPr="00601FD1">
        <w:t xml:space="preserve"> </w:t>
      </w:r>
      <w:r w:rsidR="00DC0813" w:rsidRPr="00601FD1">
        <w:fldChar w:fldCharType="begin" w:fldLock="1"/>
      </w:r>
      <w:r w:rsidR="00A309A8">
        <w:instrText>ADDIN CSL_CITATION {"citationItems":[{"id":"ITEM-1","itemData":{"author":[{"dropping-particle":"","family":"Jha","given":"M.","non-dropping-particle":"","parse-names":false,"suffix":""},{"dropping-particle":"","family":"Chowdary","given":"V.","non-dropping-particle":"","parse-names":false,"suffix":""},{"dropping-particle":"","family":"Chowdhury","given":"A.","non-dropping-particle":"","parse-names":false,"suffix":""}],"container-title":"Journal of hydrology: Regional studies","id":"ITEM-1","issue":"7","issued":{"date-parts":[["2010"]]},"page":"1713–1728.","title":"Groundwater assessment in Salboni Block, West Bengal (India) using remote sensing, geographical information","type":"article-journal","volume":"18"},"uris":["http://www.mendeley.com/documents/?uuid=43ce2b8d-d4f1-46b5-9744-4db2f64f8155","http://www.mendeley.com/documents/?uuid=e8ac5839-b1f6-47bd-8de4-84a97780aa21"]}],"mendeley":{"formattedCitation":"(Jha et al., 2010)","plainTextFormattedCitation":"(Jha et al., 2010)","previouslyFormattedCitation":"(Jha et al., 2010)"},"properties":{"noteIndex":0},"schema":"https://github.com/citation-style-language/schema/raw/master/csl-citation.json"}</w:instrText>
      </w:r>
      <w:r w:rsidR="00DC0813" w:rsidRPr="00601FD1">
        <w:fldChar w:fldCharType="separate"/>
      </w:r>
      <w:r w:rsidR="00A108C4" w:rsidRPr="00601FD1">
        <w:rPr>
          <w:noProof/>
        </w:rPr>
        <w:t>(Jha et al., 2010)</w:t>
      </w:r>
      <w:r w:rsidR="00DC0813" w:rsidRPr="00601FD1">
        <w:fldChar w:fldCharType="end"/>
      </w:r>
      <w:r w:rsidR="004B520C" w:rsidRPr="00601FD1">
        <w:t>.</w:t>
      </w:r>
      <w:r w:rsidR="00DB747F" w:rsidRPr="00601FD1">
        <w:t xml:space="preserve"> </w:t>
      </w:r>
      <w:r w:rsidR="00CF3764" w:rsidRPr="00601FD1">
        <w:t xml:space="preserve">Hence the largest </w:t>
      </w:r>
      <w:r w:rsidR="000C3088" w:rsidRPr="00601FD1">
        <w:t xml:space="preserve">and reliable </w:t>
      </w:r>
      <w:r w:rsidR="00CF3764" w:rsidRPr="00601FD1">
        <w:t>source of freshwater lies under the earth’s surface, there is</w:t>
      </w:r>
      <w:r w:rsidR="00D26D22" w:rsidRPr="00601FD1">
        <w:t xml:space="preserve"> a</w:t>
      </w:r>
      <w:r w:rsidR="00CF3764" w:rsidRPr="00601FD1">
        <w:t xml:space="preserve"> tendency to think of groundwater as being the primary </w:t>
      </w:r>
      <w:r w:rsidR="00D9774C" w:rsidRPr="00601FD1">
        <w:t xml:space="preserve">source of </w:t>
      </w:r>
      <w:r w:rsidR="00CF3764" w:rsidRPr="00601FD1">
        <w:t xml:space="preserve">water </w:t>
      </w:r>
      <w:r w:rsidR="004E3CE1" w:rsidRPr="00601FD1">
        <w:fldChar w:fldCharType="begin" w:fldLock="1"/>
      </w:r>
      <w:r w:rsidR="00A309A8">
        <w:instrText>ADDIN CSL_CITATION {"citationItems":[{"id":"ITEM-1","itemData":{"author":[{"dropping-particle":"","family":"Todd","given":"David Keith","non-dropping-particle":"","parse-names":false,"suffix":""}],"edition":"3rd","editor":[{"dropping-particle":"","family":"Zobrist","given":"Bill; Jennifer Welter; Valerie A. Vargas","non-dropping-particle":"","parse-names":false,"suffix":""}],"id":"ITEM-1","issued":{"date-parts":[["2005"]]},"publisher":"John Wiley &amp; Sons, Inc.","publisher-place":"Hoboken, USA.","title":"Groundwater hydrology","type":"book"},"uris":["http://www.mendeley.com/documents/?uuid=b590453a-bdcf-421b-b258-e737367f8b15","http://www.mendeley.com/documents/?uuid=a965c144-d2fc-43aa-94ec-ac607504fb15"]}],"mendeley":{"formattedCitation":"(Todd, 2005)","plainTextFormattedCitation":"(Todd, 2005)","previouslyFormattedCitation":"(Todd, 2005)"},"properties":{"noteIndex":0},"schema":"https://github.com/citation-style-language/schema/raw/master/csl-citation.json"}</w:instrText>
      </w:r>
      <w:r w:rsidR="004E3CE1" w:rsidRPr="00601FD1">
        <w:fldChar w:fldCharType="separate"/>
      </w:r>
      <w:r w:rsidR="004E3CE1" w:rsidRPr="00601FD1">
        <w:rPr>
          <w:noProof/>
        </w:rPr>
        <w:t>(Todd, 2005)</w:t>
      </w:r>
      <w:r w:rsidR="004E3CE1" w:rsidRPr="00601FD1">
        <w:fldChar w:fldCharType="end"/>
      </w:r>
      <w:r w:rsidR="004E3CE1" w:rsidRPr="00601FD1">
        <w:t xml:space="preserve">. </w:t>
      </w:r>
      <w:r w:rsidR="002B1236" w:rsidRPr="00601FD1">
        <w:t>Assessment of groundwater resource</w:t>
      </w:r>
      <w:r w:rsidR="00D26D22" w:rsidRPr="00601FD1">
        <w:t>s</w:t>
      </w:r>
      <w:r w:rsidR="002B1236" w:rsidRPr="00601FD1">
        <w:t xml:space="preserve"> is critically needed to help for mitigation of the effects of drought and reduce the risks of overexploitation </w:t>
      </w:r>
      <w:r w:rsidR="00650A04" w:rsidRPr="00601FD1">
        <w:rPr>
          <w:rStyle w:val="FootnoteReference"/>
        </w:rPr>
        <w:fldChar w:fldCharType="begin" w:fldLock="1"/>
      </w:r>
      <w:r w:rsidR="00A309A8">
        <w:instrText>ADDIN CSL_CITATION {"citationItems":[{"id":"ITEM-1","itemData":{"author":[{"dropping-particle":"","family":"MoWR","given":"","non-dropping-particle":"","parse-names":false,"suffix":""}],"container-title":"Report","id":"ITEM-1","issued":{"date-parts":[["2002"]]},"page":"1-170","title":"Federal Democratic Republic of Ethiopia, Ministry of Water Resource Water Sector Development Program Main Report Volume II","type":"article-journal","volume":"II"},"uris":["http://www.mendeley.com/documents/?uuid=1f31093c-7be4-4fc3-b917-26d4f44cdec9","http://www.mendeley.com/documents/?uuid=b12279d0-915d-44c1-b8a6-14b422d597d7"]}],"mendeley":{"formattedCitation":"(MoWR, 2002)","plainTextFormattedCitation":"(MoWR, 2002)","previouslyFormattedCitation":"(MoWR, 2002)"},"properties":{"noteIndex":0},"schema":"https://github.com/citation-style-language/schema/raw/master/csl-citation.json"}</w:instrText>
      </w:r>
      <w:r w:rsidR="00650A04" w:rsidRPr="00601FD1">
        <w:rPr>
          <w:rStyle w:val="FootnoteReference"/>
        </w:rPr>
        <w:fldChar w:fldCharType="separate"/>
      </w:r>
      <w:r w:rsidR="00E539F2" w:rsidRPr="00601FD1">
        <w:rPr>
          <w:bCs/>
          <w:noProof/>
        </w:rPr>
        <w:t>(MoWR, 2002)</w:t>
      </w:r>
      <w:r w:rsidR="00650A04" w:rsidRPr="00601FD1">
        <w:rPr>
          <w:rStyle w:val="FootnoteReference"/>
        </w:rPr>
        <w:fldChar w:fldCharType="end"/>
      </w:r>
      <w:r w:rsidR="002B1236" w:rsidRPr="00601FD1">
        <w:t>.</w:t>
      </w:r>
      <w:r w:rsidR="00486911" w:rsidRPr="00601FD1">
        <w:t xml:space="preserve"> </w:t>
      </w:r>
    </w:p>
    <w:p w:rsidR="00922AA5" w:rsidRPr="00601FD1" w:rsidRDefault="00097CF4" w:rsidP="00485BFC">
      <w:r w:rsidRPr="00A53646">
        <w:t>In Ethiopia</w:t>
      </w:r>
      <w:r w:rsidR="00D26D22" w:rsidRPr="00A53646">
        <w:t>,</w:t>
      </w:r>
      <w:r w:rsidRPr="00A53646">
        <w:t xml:space="preserve"> the occurrence </w:t>
      </w:r>
      <w:r w:rsidR="00F55759" w:rsidRPr="00A53646">
        <w:t xml:space="preserve">and movement </w:t>
      </w:r>
      <w:r w:rsidRPr="00A53646">
        <w:t xml:space="preserve">of groundwater is mainly influenced by geophysical and climatic conditions of the area. </w:t>
      </w:r>
      <w:r w:rsidR="00F125D7" w:rsidRPr="00A53646">
        <w:t>The geology of the country provides good transmission of rainfall to recharge aquifers, which prod</w:t>
      </w:r>
      <w:r w:rsidR="00F627C7" w:rsidRPr="00A53646">
        <w:t>uce springs and feed perennial R</w:t>
      </w:r>
      <w:r w:rsidR="00F125D7" w:rsidRPr="00A53646">
        <w:t>ivers</w:t>
      </w:r>
      <w:r w:rsidR="00A53646" w:rsidRPr="00A53646">
        <w:t xml:space="preserve"> (Alemayehu, 2006</w:t>
      </w:r>
      <w:r w:rsidR="00866E20">
        <w:t xml:space="preserve">; </w:t>
      </w:r>
      <w:r w:rsidR="00866E20" w:rsidRPr="00866E20">
        <w:t>Gintamo, 2015)</w:t>
      </w:r>
      <w:r w:rsidR="00866E20">
        <w:t xml:space="preserve">. </w:t>
      </w:r>
      <w:r w:rsidRPr="00A53646">
        <w:t>The difficulty in obt</w:t>
      </w:r>
      <w:r w:rsidR="001D0E3C" w:rsidRPr="00A53646">
        <w:t xml:space="preserve">aining productive aquifers is </w:t>
      </w:r>
      <w:r w:rsidRPr="00A53646">
        <w:t>the wide heter</w:t>
      </w:r>
      <w:r w:rsidR="00FD0DDA" w:rsidRPr="00A53646">
        <w:t>ogeneity of geology, topography</w:t>
      </w:r>
      <w:r w:rsidRPr="00A53646">
        <w:t xml:space="preserve"> and environmental conditions</w:t>
      </w:r>
      <w:r w:rsidR="002366D4" w:rsidRPr="00A53646">
        <w:t xml:space="preserve">. </w:t>
      </w:r>
      <w:r w:rsidRPr="00A53646">
        <w:t>In many parts of the country, groundwater is an important source of dome</w:t>
      </w:r>
      <w:r w:rsidR="004D6AA2" w:rsidRPr="00A53646">
        <w:t>stic and industrial water use especially</w:t>
      </w:r>
      <w:r w:rsidRPr="00A53646">
        <w:t xml:space="preserve"> in rural areas and towns</w:t>
      </w:r>
      <w:r w:rsidR="002C49F6" w:rsidRPr="00A53646">
        <w:t xml:space="preserve"> </w:t>
      </w:r>
      <w:r w:rsidR="00650A04" w:rsidRPr="00A53646">
        <w:rPr>
          <w:rStyle w:val="FootnoteReference"/>
        </w:rPr>
        <w:fldChar w:fldCharType="begin" w:fldLock="1"/>
      </w:r>
      <w:r w:rsidR="00A309A8" w:rsidRPr="00A53646">
        <w:instrText>ADDIN CSL_CITATION {"citationItems":[{"id":"ITEM-1","itemData":{"author":[{"dropping-particle":"","family":"Seifu K","given":"","non-dropping-particle":"","parse-names":false,"suffix":""}],"id":"ITEM-1","issued":{"date-parts":[["2006"]]},"number-of-pages":"1-91","publisher":"Addis Abeba University Press","publisher-place":"Addis Abeba","title":"Groundwater occurrence in Ethiopia","type":"book"},"uris":["http://www.mendeley.com/documents/?uuid=badc7660-6e71-41d2-8cc1-df9619ab825c","http://www.mendeley.com/documents/?uuid=a4cb3eb4-1017-44f4-a387-c63b570d9da7"]}],"mendeley":{"formattedCitation":"(Seifu K, 2006)","manualFormatting":"(Alemayehu, 2006)","plainTextFormattedCitation":"(Seifu K, 2006)","previouslyFormattedCitation":"(Seifu K, 2006)"},"properties":{"noteIndex":0},"schema":"https://github.com/citation-style-language/schema/raw/master/csl-citation.json"}</w:instrText>
      </w:r>
      <w:r w:rsidR="00650A04" w:rsidRPr="00A53646">
        <w:rPr>
          <w:rStyle w:val="FootnoteReference"/>
        </w:rPr>
        <w:fldChar w:fldCharType="separate"/>
      </w:r>
      <w:r w:rsidR="00454698" w:rsidRPr="00A53646">
        <w:rPr>
          <w:noProof/>
        </w:rPr>
        <w:t>(</w:t>
      </w:r>
      <w:r w:rsidR="00ED33BC" w:rsidRPr="00A53646">
        <w:rPr>
          <w:noProof/>
        </w:rPr>
        <w:t>Alemayehu, 2006)</w:t>
      </w:r>
      <w:r w:rsidR="00650A04" w:rsidRPr="00A53646">
        <w:rPr>
          <w:rStyle w:val="FootnoteReference"/>
        </w:rPr>
        <w:fldChar w:fldCharType="end"/>
      </w:r>
      <w:r w:rsidRPr="00A53646">
        <w:t xml:space="preserve">. </w:t>
      </w:r>
      <w:r w:rsidR="00857210" w:rsidRPr="00A53646">
        <w:t>Hence</w:t>
      </w:r>
      <w:r w:rsidR="00ED3DA2" w:rsidRPr="00A53646">
        <w:t>,</w:t>
      </w:r>
      <w:r w:rsidR="00857210" w:rsidRPr="00A53646">
        <w:t xml:space="preserve"> </w:t>
      </w:r>
      <w:r w:rsidR="00ED3DA2" w:rsidRPr="00A53646">
        <w:t xml:space="preserve">the </w:t>
      </w:r>
      <w:r w:rsidR="00857210" w:rsidRPr="00A53646">
        <w:t xml:space="preserve">groundwater </w:t>
      </w:r>
      <w:r w:rsidR="004D6AA2" w:rsidRPr="00A53646">
        <w:t xml:space="preserve">provides over 90% of </w:t>
      </w:r>
      <w:r w:rsidR="00D26D22" w:rsidRPr="00A53646">
        <w:t xml:space="preserve">the </w:t>
      </w:r>
      <w:r w:rsidR="004D6AA2" w:rsidRPr="00A53646">
        <w:t>improved rural water supply</w:t>
      </w:r>
      <w:r w:rsidR="001E4A4C" w:rsidRPr="00A53646">
        <w:t xml:space="preserve">. </w:t>
      </w:r>
      <w:r w:rsidR="004D6AA2" w:rsidRPr="00A53646">
        <w:t>About 8.4% of the urban and 56.8</w:t>
      </w:r>
      <w:r w:rsidR="00D26D22" w:rsidRPr="00A53646">
        <w:t>% of the rural population of</w:t>
      </w:r>
      <w:r w:rsidR="004D6AA2" w:rsidRPr="00A53646">
        <w:t xml:space="preserve"> Ethiopia utilize groundwater sources for potable water consumption</w:t>
      </w:r>
      <w:r w:rsidR="00761983" w:rsidRPr="00A53646">
        <w:t xml:space="preserve"> </w:t>
      </w:r>
      <w:r w:rsidR="00650A04" w:rsidRPr="00A53646">
        <w:rPr>
          <w:rStyle w:val="FootnoteReference"/>
        </w:rPr>
        <w:fldChar w:fldCharType="begin" w:fldLock="1"/>
      </w:r>
      <w:r w:rsidR="00A309A8" w:rsidRPr="00A53646">
        <w:instrText>ADDIN CSL_CITATION {"citationItems":[{"id":"ITEM-1","itemData":{"author":[{"dropping-particle":"","family":"Yasin","given":"Ahmed","non-dropping-particle":"","parse-names":false,"suffix":""}],"id":"ITEM-1","issued":{"date-parts":[["2017"]]},"number-of-pages":"9-15","publisher":"University of South Africa","title":"Investigation of drinking water quality, sanitation-hygiene practices and the potential of indigenous plant seed for water purification in Southeast Ethiopia","type":"thesis","volume":"4"},"uris":["http://www.mendeley.com/documents/?uuid=8a5307a8-f39c-4c3f-bf4a-71e6b00c8e0d","http://www.mendeley.com/documents/?uuid=b48e9919-e26f-4144-8793-dddcbae51259"]}],"mendeley":{"formattedCitation":"(Yasin, 2017)","plainTextFormattedCitation":"(Yasin, 2017)","previouslyFormattedCitation":"(Yasin, 2017)"},"properties":{"noteIndex":0},"schema":"https://github.com/citation-style-language/schema/raw/master/csl-citation.json"}</w:instrText>
      </w:r>
      <w:r w:rsidR="00650A04" w:rsidRPr="00A53646">
        <w:rPr>
          <w:rStyle w:val="FootnoteReference"/>
        </w:rPr>
        <w:fldChar w:fldCharType="separate"/>
      </w:r>
      <w:r w:rsidR="00E539F2" w:rsidRPr="00A53646">
        <w:rPr>
          <w:noProof/>
        </w:rPr>
        <w:t>(Yasin, 2017)</w:t>
      </w:r>
      <w:r w:rsidR="00650A04" w:rsidRPr="00A53646">
        <w:rPr>
          <w:rStyle w:val="FootnoteReference"/>
        </w:rPr>
        <w:fldChar w:fldCharType="end"/>
      </w:r>
      <w:r w:rsidR="00761983" w:rsidRPr="00A53646">
        <w:t>.</w:t>
      </w:r>
    </w:p>
    <w:p w:rsidR="00866E20" w:rsidRDefault="00D4764B" w:rsidP="00485BFC">
      <w:pPr>
        <w:rPr>
          <w:bCs/>
        </w:rPr>
      </w:pPr>
      <w:r w:rsidRPr="00601FD1">
        <w:rPr>
          <w:bCs/>
        </w:rPr>
        <w:t>In developing countries like Ethiopia, most of the hydrogeological investigations have been done by using conventional techniques</w:t>
      </w:r>
      <w:r w:rsidR="004C3E29" w:rsidRPr="00601FD1">
        <w:rPr>
          <w:bCs/>
        </w:rPr>
        <w:t xml:space="preserve"> like </w:t>
      </w:r>
      <w:r w:rsidR="002D5E33" w:rsidRPr="00601FD1">
        <w:rPr>
          <w:bCs/>
        </w:rPr>
        <w:t>ground-based</w:t>
      </w:r>
      <w:r w:rsidR="004C3E29" w:rsidRPr="00601FD1">
        <w:rPr>
          <w:bCs/>
        </w:rPr>
        <w:t xml:space="preserve"> surveys and exploratory drilling.</w:t>
      </w:r>
      <w:r w:rsidR="00865BB4" w:rsidRPr="00601FD1">
        <w:rPr>
          <w:bCs/>
        </w:rPr>
        <w:t xml:space="preserve"> </w:t>
      </w:r>
      <w:r w:rsidRPr="00601FD1">
        <w:rPr>
          <w:bCs/>
        </w:rPr>
        <w:t xml:space="preserve">The conventional approaches for groundwater investigation </w:t>
      </w:r>
      <w:r w:rsidR="004C3E29" w:rsidRPr="00601FD1">
        <w:rPr>
          <w:bCs/>
        </w:rPr>
        <w:t xml:space="preserve">are understood to </w:t>
      </w:r>
      <w:r w:rsidR="00CC0304" w:rsidRPr="00601FD1">
        <w:rPr>
          <w:bCs/>
        </w:rPr>
        <w:t>be time-</w:t>
      </w:r>
      <w:r w:rsidRPr="00601FD1">
        <w:rPr>
          <w:bCs/>
        </w:rPr>
        <w:t>consuming and uneconomical</w:t>
      </w:r>
      <w:r w:rsidR="002D1640" w:rsidRPr="00601FD1">
        <w:rPr>
          <w:bCs/>
        </w:rPr>
        <w:t xml:space="preserve"> </w:t>
      </w:r>
      <w:r w:rsidR="00650A04" w:rsidRPr="00601FD1">
        <w:rPr>
          <w:rStyle w:val="FootnoteReference"/>
          <w:bCs/>
        </w:rPr>
        <w:fldChar w:fldCharType="begin" w:fldLock="1"/>
      </w:r>
      <w:r w:rsidR="00A309A8">
        <w:rPr>
          <w:bCs/>
        </w:rPr>
        <w:instrText>ADDIN CSL_CITATION {"citationItems":[{"id":"ITEM-1","itemData":{"author":[{"dropping-particle":"","family":"Mamo","given":"Abiy Getachow","non-dropping-particle":"","parse-names":false,"suffix":""}],"id":"ITEM-1","issued":{"date-parts":[["2007"]]},"publisher":"Addis Abeba University","title":"Integration of Remote Sensing and GIS for groundwater resources assessment in Moyale-Teltele sub-basin, South Ethiopia","type":"thesis"},"uris":["http://www.mendeley.com/documents/?uuid=b21e7646-ce00-4c8e-98e5-626eb5fe2344","http://www.mendeley.com/documents/?uuid=a4612bda-b9ad-4651-b243-8cc550d350e5"]}],"mendeley":{"formattedCitation":"(Mamo, 2007)","plainTextFormattedCitation":"(Mamo, 2007)","previouslyFormattedCitation":"(Mamo, 2007)"},"properties":{"noteIndex":0},"schema":"https://github.com/citation-style-language/schema/raw/master/csl-citation.json"}</w:instrText>
      </w:r>
      <w:r w:rsidR="00650A04" w:rsidRPr="00601FD1">
        <w:rPr>
          <w:rStyle w:val="FootnoteReference"/>
          <w:bCs/>
        </w:rPr>
        <w:fldChar w:fldCharType="separate"/>
      </w:r>
      <w:r w:rsidR="00E539F2" w:rsidRPr="00601FD1">
        <w:rPr>
          <w:bCs/>
          <w:noProof/>
        </w:rPr>
        <w:t>(Mamo, 2007)</w:t>
      </w:r>
      <w:r w:rsidR="00650A04" w:rsidRPr="00601FD1">
        <w:rPr>
          <w:rStyle w:val="FootnoteReference"/>
          <w:bCs/>
        </w:rPr>
        <w:fldChar w:fldCharType="end"/>
      </w:r>
      <w:r w:rsidR="002D1640" w:rsidRPr="00601FD1">
        <w:rPr>
          <w:bCs/>
        </w:rPr>
        <w:t>.</w:t>
      </w:r>
      <w:r w:rsidR="002301F2" w:rsidRPr="00601FD1">
        <w:rPr>
          <w:bCs/>
        </w:rPr>
        <w:t xml:space="preserve"> </w:t>
      </w:r>
    </w:p>
    <w:p w:rsidR="008B0D5A" w:rsidRPr="00601FD1" w:rsidRDefault="00284D02" w:rsidP="00485BFC">
      <w:pPr>
        <w:rPr>
          <w:bCs/>
        </w:rPr>
      </w:pPr>
      <w:r w:rsidRPr="00601FD1">
        <w:rPr>
          <w:bCs/>
        </w:rPr>
        <w:lastRenderedPageBreak/>
        <w:t>Besides, these methods do not cover inaccessible area</w:t>
      </w:r>
      <w:r w:rsidR="00CC0304" w:rsidRPr="00601FD1">
        <w:rPr>
          <w:bCs/>
        </w:rPr>
        <w:t>s</w:t>
      </w:r>
      <w:r w:rsidRPr="00601FD1">
        <w:rPr>
          <w:bCs/>
        </w:rPr>
        <w:t xml:space="preserve"> and may not be highly reliable due to </w:t>
      </w:r>
      <w:r w:rsidR="00CC0304" w:rsidRPr="00601FD1">
        <w:rPr>
          <w:bCs/>
        </w:rPr>
        <w:t xml:space="preserve">the </w:t>
      </w:r>
      <w:r w:rsidRPr="00601FD1">
        <w:rPr>
          <w:bCs/>
        </w:rPr>
        <w:t xml:space="preserve">assessment of diverse factors affecting groundwater potential </w:t>
      </w:r>
      <w:r w:rsidR="00650A04" w:rsidRPr="00601FD1">
        <w:rPr>
          <w:rStyle w:val="FootnoteReference"/>
          <w:bCs/>
        </w:rPr>
        <w:fldChar w:fldCharType="begin" w:fldLock="1"/>
      </w:r>
      <w:r w:rsidR="00A309A8">
        <w:rPr>
          <w:bCs/>
        </w:rPr>
        <w:instrText>ADDIN CSL_CITATION {"citationItems":[{"id":"ITEM-1","itemData":{"author":[{"dropping-particle":"","family":"Doyo","given":"Diriba Worku","non-dropping-particle":"","parse-names":false,"suffix":""}],"id":"ITEM-1","issued":{"date-parts":[["2020"]]},"number-of-pages":"1-84","publisher":"Hawassa University","title":"Groundwater potential mapping using remote sensing and GIS techniques: the case of Meki watershed, Central Rift valley, Ethiopia","type":"thesis"},"uris":["http://www.mendeley.com/documents/?uuid=de24f4fb-afa8-4ca2-b379-e72af14d232b","http://www.mendeley.com/documents/?uuid=2751595d-7581-4867-a4a6-8a89444e1e59"]}],"mendeley":{"formattedCitation":"(Doyo, 2020)","plainTextFormattedCitation":"(Doyo, 2020)","previouslyFormattedCitation":"(Doyo, 2020)"},"properties":{"noteIndex":0},"schema":"https://github.com/citation-style-language/schema/raw/master/csl-citation.json"}</w:instrText>
      </w:r>
      <w:r w:rsidR="00650A04" w:rsidRPr="00601FD1">
        <w:rPr>
          <w:rStyle w:val="FootnoteReference"/>
          <w:bCs/>
        </w:rPr>
        <w:fldChar w:fldCharType="separate"/>
      </w:r>
      <w:r w:rsidR="00E539F2" w:rsidRPr="00601FD1">
        <w:rPr>
          <w:bCs/>
          <w:noProof/>
        </w:rPr>
        <w:t>(Doyo, 2020)</w:t>
      </w:r>
      <w:r w:rsidR="00650A04" w:rsidRPr="00601FD1">
        <w:rPr>
          <w:rStyle w:val="FootnoteReference"/>
          <w:bCs/>
        </w:rPr>
        <w:fldChar w:fldCharType="end"/>
      </w:r>
      <w:r w:rsidRPr="00601FD1">
        <w:rPr>
          <w:bCs/>
        </w:rPr>
        <w:t>.</w:t>
      </w:r>
      <w:r w:rsidR="00911778" w:rsidRPr="00601FD1">
        <w:rPr>
          <w:bCs/>
        </w:rPr>
        <w:t xml:space="preserve"> </w:t>
      </w:r>
    </w:p>
    <w:p w:rsidR="003F1655" w:rsidRDefault="00E23F21" w:rsidP="00485BFC">
      <w:pPr>
        <w:rPr>
          <w:bCs/>
        </w:rPr>
      </w:pPr>
      <w:r w:rsidRPr="00601FD1">
        <w:rPr>
          <w:bCs/>
        </w:rPr>
        <w:t>Recently, with the help of GIS and RS technologies</w:t>
      </w:r>
      <w:r w:rsidR="00CC0304" w:rsidRPr="00601FD1">
        <w:rPr>
          <w:bCs/>
        </w:rPr>
        <w:t>, potential detection of ground</w:t>
      </w:r>
      <w:r w:rsidRPr="00601FD1">
        <w:rPr>
          <w:bCs/>
        </w:rPr>
        <w:t>water resources can be done easier, more accurate</w:t>
      </w:r>
      <w:r w:rsidR="00CC0304" w:rsidRPr="00601FD1">
        <w:rPr>
          <w:bCs/>
        </w:rPr>
        <w:t>ly,</w:t>
      </w:r>
      <w:r w:rsidRPr="00601FD1">
        <w:rPr>
          <w:bCs/>
        </w:rPr>
        <w:t xml:space="preserve"> and in </w:t>
      </w:r>
      <w:r w:rsidR="00CC0304" w:rsidRPr="00601FD1">
        <w:rPr>
          <w:bCs/>
        </w:rPr>
        <w:t xml:space="preserve">a </w:t>
      </w:r>
      <w:r w:rsidR="00DE4900" w:rsidRPr="00601FD1">
        <w:rPr>
          <w:bCs/>
        </w:rPr>
        <w:t xml:space="preserve">short </w:t>
      </w:r>
      <w:r w:rsidRPr="00601FD1">
        <w:rPr>
          <w:bCs/>
        </w:rPr>
        <w:t>time.</w:t>
      </w:r>
      <w:r w:rsidR="00E5094D" w:rsidRPr="00601FD1">
        <w:t xml:space="preserve"> The use of </w:t>
      </w:r>
      <w:r w:rsidR="002A0E71" w:rsidRPr="00601FD1">
        <w:rPr>
          <w:bCs/>
        </w:rPr>
        <w:t>Remote S</w:t>
      </w:r>
      <w:r w:rsidR="00E5094D" w:rsidRPr="00601FD1">
        <w:rPr>
          <w:bCs/>
        </w:rPr>
        <w:t>ensing to obtain data for inaccessible areas</w:t>
      </w:r>
      <w:r w:rsidR="00110138" w:rsidRPr="00601FD1">
        <w:rPr>
          <w:bCs/>
        </w:rPr>
        <w:t xml:space="preserve"> </w:t>
      </w:r>
      <w:r w:rsidR="00E5094D" w:rsidRPr="00601FD1">
        <w:rPr>
          <w:bCs/>
        </w:rPr>
        <w:t>and</w:t>
      </w:r>
      <w:r w:rsidR="009B79F1" w:rsidRPr="00601FD1">
        <w:rPr>
          <w:bCs/>
        </w:rPr>
        <w:t xml:space="preserve"> </w:t>
      </w:r>
      <w:r w:rsidR="00D70CE2" w:rsidRPr="00601FD1">
        <w:rPr>
          <w:bCs/>
        </w:rPr>
        <w:t xml:space="preserve">the </w:t>
      </w:r>
      <w:r w:rsidR="009B79F1" w:rsidRPr="00601FD1">
        <w:rPr>
          <w:bCs/>
        </w:rPr>
        <w:t>powerful tool</w:t>
      </w:r>
      <w:r w:rsidR="009A585C" w:rsidRPr="00601FD1">
        <w:rPr>
          <w:bCs/>
        </w:rPr>
        <w:t>, Geographi</w:t>
      </w:r>
      <w:r w:rsidR="00C42D6E" w:rsidRPr="00601FD1">
        <w:rPr>
          <w:bCs/>
        </w:rPr>
        <w:t xml:space="preserve">c Information System </w:t>
      </w:r>
      <w:r w:rsidR="009A585C" w:rsidRPr="00601FD1">
        <w:rPr>
          <w:bCs/>
        </w:rPr>
        <w:t>(GIS)</w:t>
      </w:r>
      <w:r w:rsidR="00E5094D" w:rsidRPr="00601FD1">
        <w:rPr>
          <w:bCs/>
        </w:rPr>
        <w:t>,</w:t>
      </w:r>
      <w:r w:rsidR="009B79F1" w:rsidRPr="00601FD1">
        <w:rPr>
          <w:bCs/>
        </w:rPr>
        <w:t xml:space="preserve"> to address a large number of spatial data </w:t>
      </w:r>
      <w:r w:rsidR="00D70CE2" w:rsidRPr="00601FD1">
        <w:rPr>
          <w:bCs/>
        </w:rPr>
        <w:t xml:space="preserve">for quicker and cheaper processing are becoming more useful and mandatory </w:t>
      </w:r>
      <w:r w:rsidR="004C3CFC" w:rsidRPr="00601FD1">
        <w:rPr>
          <w:bCs/>
        </w:rPr>
        <w:t>for</w:t>
      </w:r>
      <w:r w:rsidR="00E62E6F" w:rsidRPr="00601FD1">
        <w:rPr>
          <w:bCs/>
        </w:rPr>
        <w:t xml:space="preserve"> detection of potential ground</w:t>
      </w:r>
      <w:r w:rsidR="009B79F1" w:rsidRPr="00601FD1">
        <w:rPr>
          <w:bCs/>
        </w:rPr>
        <w:t xml:space="preserve">water </w:t>
      </w:r>
      <w:r w:rsidR="0069505D" w:rsidRPr="00601FD1">
        <w:rPr>
          <w:bCs/>
        </w:rPr>
        <w:t xml:space="preserve">areas </w:t>
      </w:r>
      <w:r w:rsidR="00650A04" w:rsidRPr="00601FD1">
        <w:rPr>
          <w:rStyle w:val="FootnoteReference"/>
          <w:bCs/>
        </w:rPr>
        <w:fldChar w:fldCharType="begin" w:fldLock="1"/>
      </w:r>
      <w:r w:rsidR="00A309A8">
        <w:rPr>
          <w:bCs/>
        </w:rPr>
        <w:instrText>ADDIN CSL_CITATION {"citationItems":[{"id":"ITEM-1","itemData":{"ISBN":"7631133131","ISSN":"16821750","abstract":"The purpose of the present study is to use Geographical Information Systems (GISs) for determining the best areas having ground water potential in Baft city. To achieve this objective, parameters such as precipitation, slope, fault, vegetation, land cover and lithology were used. Regarding different weight of these parameters effect, Analytic Hierarchy Process (AHP) was used. After developing informational layers in GIS and weighing each of them, a model was developed. The final map of ground waters potential was calculated through the above-mentioned model. Through applying our developed model four areas having high, average, low potential and without required potential distinguished. Results of this research indicated that 0.74, 41.23 and 45.63 percent of the area had high, average and low potential, respectively. Moreover, 12.38% of this area had no potential. Obtained results can be useful in management plans of ground water resources and preventing excessive exploitation.","author":[{"dropping-particle":"","family":"Zeinolabedini","given":"M.","non-dropping-particle":"","parse-names":false,"suffix":""},{"dropping-particle":"","family":"Esmaeily","given":"A.","non-dropping-particle":"","parse-names":false,"suffix":""}],"container-title":"International archives of the photogrammetry, Remote Sensing and spatial information sciences","id":"ITEM-1","issued":{"date-parts":[["2015"]]},"page":"769-774","title":"Groundwater potential assessment using geographic information systems and AHP method (case study: Baft city, Kerman, Iran)","type":"article-journal","volume":"40"},"uris":["http://www.mendeley.com/documents/?uuid=6037343d-aaff-4e6b-b78e-a50c6c9573a7","http://www.mendeley.com/documents/?uuid=37d1eaad-23e0-4a55-8c13-935868006380"]},{"id":"ITEM-2","itemData":{"author":[{"dropping-particle":"","family":"Nagarajan","given":"Moni","non-dropping-particle":"","parse-names":false,"suffix":""},{"dropping-particle":"","family":"Singh","given":"Sujit","non-dropping-particle":"","parse-names":false,"suffix":""}],"container-title":"Journal of Indian Society of Remote Sensing","id":"ITEM-2","issued":{"date-parts":[["2009"]]},"page":"69-77","title":"Assessment of Groundwater potential zone using GIS Technique","type":"article-journal","volume":"37"},"uris":["http://www.mendeley.com/documents/?uuid=9dabb6ae-841b-4d6f-b6ac-1fbee3cfb9e2","http://www.mendeley.com/documents/?uuid=10a5bc4e-275a-47fa-84bd-60945cef81b4"]}],"mendeley":{"formattedCitation":"(Nagarajan &amp; Singh, 2009; Zeinolabedini &amp; Esmaeily, 2015)","manualFormatting":"(Nagarajan and Singh, 2009; Zeinolabedini and Esmaeily, 2015)","plainTextFormattedCitation":"(Nagarajan &amp; Singh, 2009; Zeinolabedini &amp; Esmaeily, 2015)","previouslyFormattedCitation":"(Nagarajan &amp; Singh, 2009; Zeinolabedini &amp; Esmaeily, 2015)"},"properties":{"noteIndex":0},"schema":"https://github.com/citation-style-language/schema/raw/master/csl-citation.json"}</w:instrText>
      </w:r>
      <w:r w:rsidR="00650A04" w:rsidRPr="00601FD1">
        <w:rPr>
          <w:rStyle w:val="FootnoteReference"/>
          <w:bCs/>
        </w:rPr>
        <w:fldChar w:fldCharType="separate"/>
      </w:r>
      <w:r w:rsidR="00E230CE" w:rsidRPr="00601FD1">
        <w:rPr>
          <w:noProof/>
        </w:rPr>
        <w:t>(Nagarajan and</w:t>
      </w:r>
      <w:r w:rsidR="00F63890" w:rsidRPr="00601FD1">
        <w:rPr>
          <w:noProof/>
        </w:rPr>
        <w:t xml:space="preserve"> Singh, 2009; Zeinolabedini and</w:t>
      </w:r>
      <w:r w:rsidR="00A108C4" w:rsidRPr="00601FD1">
        <w:rPr>
          <w:noProof/>
        </w:rPr>
        <w:t xml:space="preserve"> Esmaeily, 2015)</w:t>
      </w:r>
      <w:r w:rsidR="00650A04" w:rsidRPr="00601FD1">
        <w:rPr>
          <w:rStyle w:val="FootnoteReference"/>
          <w:bCs/>
        </w:rPr>
        <w:fldChar w:fldCharType="end"/>
      </w:r>
      <w:r w:rsidR="009B79F1" w:rsidRPr="00601FD1">
        <w:rPr>
          <w:bCs/>
        </w:rPr>
        <w:t>.</w:t>
      </w:r>
      <w:r w:rsidR="00280535" w:rsidRPr="00601FD1">
        <w:rPr>
          <w:bCs/>
        </w:rPr>
        <w:t xml:space="preserve"> </w:t>
      </w:r>
    </w:p>
    <w:p w:rsidR="000D7D57" w:rsidRPr="00601FD1" w:rsidRDefault="00C640DB" w:rsidP="00485BFC">
      <w:pPr>
        <w:rPr>
          <w:bCs/>
        </w:rPr>
      </w:pPr>
      <w:r w:rsidRPr="00601FD1">
        <w:rPr>
          <w:bCs/>
        </w:rPr>
        <w:t xml:space="preserve">Groundwater usually flows from points of higher hydraulic heads to </w:t>
      </w:r>
      <w:r w:rsidR="00593678" w:rsidRPr="00601FD1">
        <w:rPr>
          <w:bCs/>
        </w:rPr>
        <w:t xml:space="preserve">the </w:t>
      </w:r>
      <w:r w:rsidRPr="00601FD1">
        <w:rPr>
          <w:bCs/>
        </w:rPr>
        <w:t>points of lower hydraulic heads</w:t>
      </w:r>
      <w:r w:rsidRPr="00601FD1">
        <w:t xml:space="preserve"> </w:t>
      </w:r>
      <w:r w:rsidRPr="00601FD1">
        <w:rPr>
          <w:bCs/>
        </w:rPr>
        <w:t xml:space="preserve">in the direction of maximum change in elevation </w:t>
      </w:r>
      <w:r w:rsidRPr="00601FD1">
        <w:rPr>
          <w:bCs/>
        </w:rPr>
        <w:fldChar w:fldCharType="begin" w:fldLock="1"/>
      </w:r>
      <w:r w:rsidR="00A309A8">
        <w:rPr>
          <w:bCs/>
        </w:rPr>
        <w:instrText>ADDIN CSL_CITATION {"citationItems":[{"id":"ITEM-1","itemData":{"author":[{"dropping-particle":"","family":"Doyo","given":"Diriba Worku","non-dropping-particle":"","parse-names":false,"suffix":""}],"id":"ITEM-1","issued":{"date-parts":[["2020"]]},"number-of-pages":"1-84","publisher":"Hawassa University","title":"Groundwater potential mapping using remote sensing and GIS techniques: the case of Meki watershed, Central Rift valley, Ethiopia","type":"thesis"},"uris":["http://www.mendeley.com/documents/?uuid=2751595d-7581-4867-a4a6-8a89444e1e59","http://www.mendeley.com/documents/?uuid=de24f4fb-afa8-4ca2-b379-e72af14d232b"]}],"mendeley":{"formattedCitation":"(Doyo, 2020)","plainTextFormattedCitation":"(Doyo, 2020)","previouslyFormattedCitation":"(Doyo, 2020)"},"properties":{"noteIndex":0},"schema":"https://github.com/citation-style-language/schema/raw/master/csl-citation.json"}</w:instrText>
      </w:r>
      <w:r w:rsidRPr="00601FD1">
        <w:rPr>
          <w:bCs/>
        </w:rPr>
        <w:fldChar w:fldCharType="separate"/>
      </w:r>
      <w:r w:rsidRPr="00601FD1">
        <w:rPr>
          <w:bCs/>
          <w:noProof/>
        </w:rPr>
        <w:t>(Doyo, 2020)</w:t>
      </w:r>
      <w:r w:rsidRPr="00601FD1">
        <w:rPr>
          <w:bCs/>
        </w:rPr>
        <w:fldChar w:fldCharType="end"/>
      </w:r>
      <w:r w:rsidRPr="00601FD1">
        <w:rPr>
          <w:bCs/>
        </w:rPr>
        <w:t>. Even though</w:t>
      </w:r>
      <w:r w:rsidR="00214192" w:rsidRPr="00601FD1">
        <w:rPr>
          <w:bCs/>
        </w:rPr>
        <w:t xml:space="preserve"> the flow of groundwater in </w:t>
      </w:r>
      <w:r w:rsidR="00252A18" w:rsidRPr="00601FD1">
        <w:rPr>
          <w:bCs/>
        </w:rPr>
        <w:t xml:space="preserve">the </w:t>
      </w:r>
      <w:r w:rsidR="00214192" w:rsidRPr="00601FD1">
        <w:rPr>
          <w:bCs/>
        </w:rPr>
        <w:t>aquifer may not always reflect the surface water flows</w:t>
      </w:r>
      <w:r w:rsidR="00A214E0" w:rsidRPr="00601FD1">
        <w:rPr>
          <w:bCs/>
        </w:rPr>
        <w:t>,</w:t>
      </w:r>
      <w:r w:rsidRPr="00601FD1">
        <w:rPr>
          <w:bCs/>
        </w:rPr>
        <w:t xml:space="preserve"> it flow</w:t>
      </w:r>
      <w:r w:rsidR="00FC36FC" w:rsidRPr="00601FD1">
        <w:rPr>
          <w:bCs/>
        </w:rPr>
        <w:t>s</w:t>
      </w:r>
      <w:r w:rsidRPr="00601FD1">
        <w:rPr>
          <w:bCs/>
        </w:rPr>
        <w:t xml:space="preserve"> either towards or away from strea</w:t>
      </w:r>
      <w:r w:rsidR="00593678" w:rsidRPr="00601FD1">
        <w:rPr>
          <w:bCs/>
        </w:rPr>
        <w:t>ms, rivers, lakes</w:t>
      </w:r>
      <w:r w:rsidRPr="00601FD1">
        <w:rPr>
          <w:bCs/>
        </w:rPr>
        <w:t>, ponds and boreholes</w:t>
      </w:r>
      <w:r w:rsidR="00A214E0" w:rsidRPr="00601FD1">
        <w:rPr>
          <w:bCs/>
        </w:rPr>
        <w:t xml:space="preserve"> </w:t>
      </w:r>
      <w:r w:rsidR="00180CC9" w:rsidRPr="00601FD1">
        <w:rPr>
          <w:bCs/>
        </w:rPr>
        <w:fldChar w:fldCharType="begin" w:fldLock="1"/>
      </w:r>
      <w:r w:rsidR="00A309A8">
        <w:rPr>
          <w:bCs/>
        </w:rPr>
        <w:instrText>ADDIN CSL_CITATION {"citationItems":[{"id":"ITEM-1","itemData":{"author":[{"dropping-particle":"","family":"Amah","given":"E A","non-dropping-particle":"","parse-names":false,"suffix":""},{"dropping-particle":"","family":"Agbebia","given":"M A","non-dropping-particle":"","parse-names":false,"suffix":""}],"id":"ITEM-1","issue":"December","issued":{"date-parts":[["2015"]]},"page":"1-5","title":"Determination Of Groundwater Flow Direction In Ekintae Limestone Quarry Near Mfamosing ,","type":"article-journal"},"uris":["http://www.mendeley.com/documents/?uuid=c538973e-4cf1-4f37-9bf9-20682450279b"]}],"mendeley":{"formattedCitation":"(Amah &amp; Agbebia, 2015)","manualFormatting":"(Amah and Agbebia, 2015)","plainTextFormattedCitation":"(Amah &amp; Agbebia, 2015)","previouslyFormattedCitation":"(Amah &amp; Agbebia, 2015)"},"properties":{"noteIndex":0},"schema":"https://github.com/citation-style-language/schema/raw/master/csl-citation.json"}</w:instrText>
      </w:r>
      <w:r w:rsidR="00180CC9" w:rsidRPr="00601FD1">
        <w:rPr>
          <w:bCs/>
        </w:rPr>
        <w:fldChar w:fldCharType="separate"/>
      </w:r>
      <w:r w:rsidR="00E230CE" w:rsidRPr="00601FD1">
        <w:rPr>
          <w:bCs/>
          <w:noProof/>
        </w:rPr>
        <w:t>(Amah and</w:t>
      </w:r>
      <w:r w:rsidR="00180CC9" w:rsidRPr="00601FD1">
        <w:rPr>
          <w:bCs/>
          <w:noProof/>
        </w:rPr>
        <w:t xml:space="preserve"> Agbebia, 2015)</w:t>
      </w:r>
      <w:r w:rsidR="00180CC9" w:rsidRPr="00601FD1">
        <w:rPr>
          <w:bCs/>
        </w:rPr>
        <w:fldChar w:fldCharType="end"/>
      </w:r>
      <w:r w:rsidR="00663BA0" w:rsidRPr="00601FD1">
        <w:rPr>
          <w:bCs/>
        </w:rPr>
        <w:t xml:space="preserve">. </w:t>
      </w:r>
      <w:r w:rsidR="00180CC9" w:rsidRPr="00601FD1">
        <w:rPr>
          <w:bCs/>
        </w:rPr>
        <w:t>T</w:t>
      </w:r>
      <w:r w:rsidR="00663BA0" w:rsidRPr="00601FD1">
        <w:rPr>
          <w:bCs/>
        </w:rPr>
        <w:t>herefore</w:t>
      </w:r>
      <w:r w:rsidR="00FC36FC" w:rsidRPr="00601FD1">
        <w:rPr>
          <w:bCs/>
        </w:rPr>
        <w:t xml:space="preserve">, to enable </w:t>
      </w:r>
      <w:r w:rsidR="00FE10C3" w:rsidRPr="00601FD1">
        <w:rPr>
          <w:bCs/>
        </w:rPr>
        <w:t xml:space="preserve">sustainable use of resources </w:t>
      </w:r>
      <w:r w:rsidR="00180CC9" w:rsidRPr="00601FD1">
        <w:rPr>
          <w:bCs/>
        </w:rPr>
        <w:t>it is</w:t>
      </w:r>
      <w:r w:rsidR="00663BA0" w:rsidRPr="00601FD1">
        <w:rPr>
          <w:bCs/>
        </w:rPr>
        <w:t xml:space="preserve"> </w:t>
      </w:r>
      <w:r w:rsidR="00180CC9" w:rsidRPr="00601FD1">
        <w:rPr>
          <w:bCs/>
        </w:rPr>
        <w:t>necessary</w:t>
      </w:r>
      <w:r w:rsidR="00663BA0" w:rsidRPr="00601FD1">
        <w:rPr>
          <w:bCs/>
        </w:rPr>
        <w:t xml:space="preserve"> to know the direction of groundwater flow and take </w:t>
      </w:r>
      <w:r w:rsidR="00593678" w:rsidRPr="00601FD1">
        <w:rPr>
          <w:bCs/>
        </w:rPr>
        <w:t>a measure</w:t>
      </w:r>
      <w:r w:rsidR="00663BA0" w:rsidRPr="00601FD1">
        <w:rPr>
          <w:bCs/>
        </w:rPr>
        <w:t xml:space="preserve"> to ensure </w:t>
      </w:r>
      <w:r w:rsidR="00593678" w:rsidRPr="00601FD1">
        <w:rPr>
          <w:bCs/>
        </w:rPr>
        <w:t xml:space="preserve">the human activity </w:t>
      </w:r>
      <w:r w:rsidR="00663BA0" w:rsidRPr="00601FD1">
        <w:rPr>
          <w:bCs/>
        </w:rPr>
        <w:t xml:space="preserve">in the recharge area will not pose threat to the quality of </w:t>
      </w:r>
      <w:r w:rsidR="00180CC9" w:rsidRPr="00601FD1">
        <w:rPr>
          <w:bCs/>
        </w:rPr>
        <w:t>groundwater</w:t>
      </w:r>
      <w:r w:rsidR="00FE10C3" w:rsidRPr="00601FD1">
        <w:rPr>
          <w:bCs/>
        </w:rPr>
        <w:t>.</w:t>
      </w:r>
      <w:r w:rsidR="004F1E60" w:rsidRPr="00601FD1">
        <w:rPr>
          <w:bCs/>
        </w:rPr>
        <w:t xml:space="preserve"> </w:t>
      </w:r>
    </w:p>
    <w:p w:rsidR="006602C3" w:rsidRPr="00601FD1" w:rsidRDefault="00036AA3" w:rsidP="00485BFC">
      <w:pPr>
        <w:rPr>
          <w:bCs/>
        </w:rPr>
      </w:pPr>
      <w:r w:rsidRPr="00601FD1">
        <w:rPr>
          <w:bCs/>
        </w:rPr>
        <w:t xml:space="preserve">Several researchers have been successfully utilized GIS and RS technologies </w:t>
      </w:r>
      <w:r w:rsidR="00E87B56" w:rsidRPr="00601FD1">
        <w:rPr>
          <w:bCs/>
        </w:rPr>
        <w:t>for</w:t>
      </w:r>
      <w:r w:rsidRPr="00601FD1">
        <w:rPr>
          <w:bCs/>
        </w:rPr>
        <w:t xml:space="preserve"> </w:t>
      </w:r>
      <w:r w:rsidR="00DE4900" w:rsidRPr="00601FD1">
        <w:rPr>
          <w:bCs/>
        </w:rPr>
        <w:t xml:space="preserve">the </w:t>
      </w:r>
      <w:r w:rsidRPr="00601FD1">
        <w:rPr>
          <w:bCs/>
        </w:rPr>
        <w:t xml:space="preserve">identification of </w:t>
      </w:r>
      <w:r w:rsidR="00CC0304" w:rsidRPr="00601FD1">
        <w:rPr>
          <w:bCs/>
        </w:rPr>
        <w:t>GWPZ</w:t>
      </w:r>
      <w:r w:rsidRPr="00601FD1">
        <w:rPr>
          <w:bCs/>
        </w:rPr>
        <w:t xml:space="preserve"> around the world and in Ethiopia </w:t>
      </w:r>
      <w:r w:rsidR="00650A04" w:rsidRPr="00601FD1">
        <w:rPr>
          <w:rStyle w:val="FootnoteReference"/>
        </w:rPr>
        <w:fldChar w:fldCharType="begin" w:fldLock="1"/>
      </w:r>
      <w:r w:rsidR="00A309A8">
        <w:instrText>ADDIN CSL_CITATION {"citationItems":[{"id":"ITEM-1","itemData":{"ISSN":"22145818","abstract":"Study region: Guna Tana Landscape, Upper Blue Nile Basin, Ethiopia. Study focus: This paper aimed to delineate the groundwater potential zones using GIS and remote sensing. Multi-Criteria Decision Analysis (MCDA) technique is used to develop the groundwater potential prospect zones by integrating different groundwater contributing thematic layers. The thematic layers of land cover, drainage density, lineament density, soil, geology, slope, and geomorphology were prepared and used for groundwater potential map development by assigning weights to each thematic layer and features. The weights of each thematic layer were assigned and normalized based on their characteristic and relationship with groundwater recharge. Finally, the thematic maps were integrated by a weighted sum overlay analysis tool to develop groundwater prospect zones. New hydrological insights for the region: It was found that the downstream parts of the Landscape showed excellent groundwater potential covering about 833.49 km2 area with a flat and lacustrine sediment characteristic. About 469.12 km2 of the landscape showed very good groundwater potential zone. Northern, northeastern and southeastern parts of the area presented very poor groundwater prospect covering about 553.68 km2 area. The groundwater potential map was validated using the existing pumping wells and it indicated a good prediction accuracy of 70.5%. Thus, the potential zones identified in the study area by the MCDA technique are reliable.","author":[{"dropping-particle":"","family":"Andualem","given":"Tesfa Gebrie","non-dropping-particle":"","parse-names":false,"suffix":""},{"dropping-particle":"","family":"Demeke","given":"Girum Getachew","non-dropping-particle":"","parse-names":false,"suffix":""}],"container-title":"Journal of Hydrology: Regional Studies","id":"ITEM-1","issue":"5","issued":{"date-parts":[["2019"]]},"page":"100610","publisher":"Elsevier","title":"Groundwater potential assessment using GIS and remote sensing: A case study of Guna tana landscape, upper blue Nile Basin, Ethiopia","type":"article-journal","volume":"24"},"uris":["http://www.mendeley.com/documents/?uuid=c3391aab-dc3c-44d1-bb8e-df52d4cbb589","http://www.mendeley.com/documents/?uuid=b572f48d-0752-4d04-b82e-d8016090b501"]},{"id":"ITEM-2","itemData":{"author":[{"dropping-particle":"","family":"Gebru","given":"Hindeya","non-dropping-particle":"","parse-names":false,"suffix":""},{"dropping-particle":"","family":"Gebreyohannes","given":"Tesfamichael","non-dropping-particle":"","parse-names":false,"suffix":""},{"dropping-particle":"","family":"Hagos","given":"Ermias","non-dropping-particle":"","parse-names":false,"suffix":""}],"container-title":"International journal of advanced Remote Sensing and GIS","id":"ITEM-2","issue":"1","issued":{"date-parts":[["2020"]]},"page":"3289-3311","title":"Identification of groundwater potential zones using Analytical Hierarchy Process (AHP) and GIS-Remote Sensing integration, the case of Golina River Basin, Northern Ethiopia","type":"article-journal","volume":"9"},"uris":["http://www.mendeley.com/documents/?uuid=63c7fd8b-fe9b-4d39-8769-bb3519cffdbe","http://www.mendeley.com/documents/?uuid=3e225bc8-36b1-425b-83b4-94cfacfd37f8"]},{"id":"ITEM-3","itemData":{"ISBN":"7631133131","ISSN":"16821750","abstract":"The purpose of the present study is to use Geographical Information Systems (GISs) for determining the best areas having ground water potential in Baft city. To achieve this objective, parameters such as precipitation, slope, fault, vegetation, land cover and lithology were used. Regarding different weight of these parameters effect, Analytic Hierarchy Process (AHP) was used. After developing informational layers in GIS and weighing each of them, a model was developed. The final map of ground waters potential was calculated through the above-mentioned model. Through applying our developed model four areas having high, average, low potential and without required potential distinguished. Results of this research indicated that 0.74, 41.23 and 45.63 percent of the area had high, average and low potential, respectively. Moreover, 12.38% of this area had no potential. Obtained results can be useful in management plans of ground water resources and preventing excessive exploitation.","author":[{"dropping-particle":"","family":"Zeinolabedini","given":"M.","non-dropping-particle":"","parse-names":false,"suffix":""},{"dropping-particle":"","family":"Esmaeily","given":"A.","non-dropping-particle":"","parse-names":false,"suffix":""}],"container-title":"International archives of the photogrammetry, Remote Sensing and spatial information sciences","id":"ITEM-3","issued":{"date-parts":[["2015"]]},"page":"769-774","title":"Groundwater potential assessment using geographic information systems and AHP method (case study: Baft city, Kerman, Iran)","type":"article-journal","volume":"40"},"uris":["http://www.mendeley.com/documents/?uuid=37d1eaad-23e0-4a55-8c13-935868006380","http://www.mendeley.com/documents/?uuid=6037343d-aaff-4e6b-b78e-a50c6c9573a7"]}],"mendeley":{"formattedCitation":"(Andualem &amp; Demeke, 2019; Gebru et al., 2020; Zeinolabedini &amp; Esmaeily, 2015)","manualFormatting":"(Andualem and Demeke, 2019; Gebru et al., 2020; Zeinolabedini and Esmaeily, 2015)","plainTextFormattedCitation":"(Andualem &amp; Demeke, 2019; Gebru et al., 2020; Zeinolabedini &amp; Esmaeily, 2015)","previouslyFormattedCitation":"(Andualem &amp; Demeke, 2019; Gebru et al., 2020; Zeinolabedini &amp; Esmaeily, 2015)"},"properties":{"noteIndex":0},"schema":"https://github.com/citation-style-language/schema/raw/master/csl-citation.json"}</w:instrText>
      </w:r>
      <w:r w:rsidR="00650A04" w:rsidRPr="00601FD1">
        <w:rPr>
          <w:rStyle w:val="FootnoteReference"/>
        </w:rPr>
        <w:fldChar w:fldCharType="separate"/>
      </w:r>
      <w:r w:rsidR="00E230CE" w:rsidRPr="00601FD1">
        <w:rPr>
          <w:bCs/>
          <w:noProof/>
        </w:rPr>
        <w:t>(Andualem and</w:t>
      </w:r>
      <w:r w:rsidR="00A108C4" w:rsidRPr="00601FD1">
        <w:rPr>
          <w:bCs/>
          <w:noProof/>
        </w:rPr>
        <w:t xml:space="preserve"> Demeke, 2019; Geb</w:t>
      </w:r>
      <w:r w:rsidR="00E230CE" w:rsidRPr="00601FD1">
        <w:rPr>
          <w:bCs/>
          <w:noProof/>
        </w:rPr>
        <w:t>ru et al., 2020; Zeinolabedini and</w:t>
      </w:r>
      <w:r w:rsidR="00A108C4" w:rsidRPr="00601FD1">
        <w:rPr>
          <w:bCs/>
          <w:noProof/>
        </w:rPr>
        <w:t xml:space="preserve"> Esmaeily, 2015)</w:t>
      </w:r>
      <w:r w:rsidR="00650A04" w:rsidRPr="00601FD1">
        <w:rPr>
          <w:rStyle w:val="FootnoteReference"/>
        </w:rPr>
        <w:fldChar w:fldCharType="end"/>
      </w:r>
      <w:r w:rsidRPr="00601FD1">
        <w:t xml:space="preserve">. The approach of GIS and RS techniques for groundwater potential identification indicates an acceptable result. </w:t>
      </w:r>
      <w:r w:rsidR="009B79F1" w:rsidRPr="00601FD1">
        <w:rPr>
          <w:bCs/>
        </w:rPr>
        <w:t>In the present</w:t>
      </w:r>
      <w:r w:rsidR="00852474" w:rsidRPr="00601FD1">
        <w:rPr>
          <w:bCs/>
        </w:rPr>
        <w:t xml:space="preserve"> </w:t>
      </w:r>
      <w:r w:rsidR="009B79F1" w:rsidRPr="00601FD1">
        <w:rPr>
          <w:bCs/>
        </w:rPr>
        <w:t xml:space="preserve">study, </w:t>
      </w:r>
      <w:r w:rsidR="00E62E6F" w:rsidRPr="00601FD1">
        <w:rPr>
          <w:bCs/>
        </w:rPr>
        <w:t xml:space="preserve">GIS and RS </w:t>
      </w:r>
      <w:r w:rsidR="009B79F1" w:rsidRPr="00601FD1">
        <w:rPr>
          <w:bCs/>
        </w:rPr>
        <w:t xml:space="preserve">technique </w:t>
      </w:r>
      <w:r w:rsidR="00852474" w:rsidRPr="00601FD1">
        <w:rPr>
          <w:bCs/>
        </w:rPr>
        <w:t xml:space="preserve">through </w:t>
      </w:r>
      <w:r w:rsidR="00CC0304" w:rsidRPr="00601FD1">
        <w:rPr>
          <w:bCs/>
        </w:rPr>
        <w:t xml:space="preserve">the </w:t>
      </w:r>
      <w:r w:rsidR="00852474" w:rsidRPr="00601FD1">
        <w:rPr>
          <w:bCs/>
        </w:rPr>
        <w:t xml:space="preserve">analytic hierarchy process (AHP) </w:t>
      </w:r>
      <w:r w:rsidR="007F63A6" w:rsidRPr="00601FD1">
        <w:rPr>
          <w:bCs/>
        </w:rPr>
        <w:t xml:space="preserve">is </w:t>
      </w:r>
      <w:r w:rsidR="009B79F1" w:rsidRPr="00601FD1">
        <w:rPr>
          <w:bCs/>
        </w:rPr>
        <w:t xml:space="preserve">used </w:t>
      </w:r>
      <w:r w:rsidR="00027EDF" w:rsidRPr="00601FD1">
        <w:rPr>
          <w:bCs/>
        </w:rPr>
        <w:t>for mapping</w:t>
      </w:r>
      <w:r w:rsidR="009B79F1" w:rsidRPr="00601FD1">
        <w:rPr>
          <w:bCs/>
        </w:rPr>
        <w:t xml:space="preserve"> the </w:t>
      </w:r>
      <w:r w:rsidR="009B70BE" w:rsidRPr="00601FD1">
        <w:rPr>
          <w:bCs/>
        </w:rPr>
        <w:t>GWPZ</w:t>
      </w:r>
      <w:r w:rsidR="00027EDF" w:rsidRPr="00601FD1">
        <w:rPr>
          <w:bCs/>
        </w:rPr>
        <w:t xml:space="preserve"> </w:t>
      </w:r>
      <w:r w:rsidR="004A01B3" w:rsidRPr="00601FD1">
        <w:rPr>
          <w:bCs/>
        </w:rPr>
        <w:t>of Weyib S</w:t>
      </w:r>
      <w:r w:rsidR="007F63A6" w:rsidRPr="00601FD1">
        <w:rPr>
          <w:bCs/>
        </w:rPr>
        <w:t>ub</w:t>
      </w:r>
      <w:r w:rsidR="00CC0304" w:rsidRPr="00601FD1">
        <w:rPr>
          <w:bCs/>
        </w:rPr>
        <w:t>-</w:t>
      </w:r>
      <w:r w:rsidR="007F63A6" w:rsidRPr="00601FD1">
        <w:rPr>
          <w:bCs/>
        </w:rPr>
        <w:t xml:space="preserve">basin. </w:t>
      </w:r>
    </w:p>
    <w:p w:rsidR="00100D86" w:rsidRPr="00601FD1" w:rsidRDefault="00100D86" w:rsidP="00485BFC">
      <w:pPr>
        <w:pStyle w:val="Heading2"/>
        <w:numPr>
          <w:ilvl w:val="1"/>
          <w:numId w:val="1"/>
        </w:numPr>
        <w:rPr>
          <w:rStyle w:val="Heading2Char"/>
          <w:b/>
          <w:szCs w:val="24"/>
        </w:rPr>
      </w:pPr>
      <w:bookmarkStart w:id="32" w:name="_Toc22400920"/>
      <w:bookmarkStart w:id="33" w:name="_Toc23171150"/>
      <w:bookmarkStart w:id="34" w:name="_Toc23256434"/>
      <w:bookmarkStart w:id="35" w:name="_Toc25584886"/>
      <w:bookmarkStart w:id="36" w:name="_Toc68025051"/>
      <w:bookmarkStart w:id="37" w:name="_Toc68761534"/>
      <w:r w:rsidRPr="00601FD1">
        <w:rPr>
          <w:rStyle w:val="Heading2Char"/>
          <w:b/>
          <w:szCs w:val="24"/>
        </w:rPr>
        <w:t xml:space="preserve">Statement of the </w:t>
      </w:r>
      <w:r w:rsidR="00F77D30" w:rsidRPr="00601FD1">
        <w:rPr>
          <w:rStyle w:val="Heading2Char"/>
          <w:b/>
          <w:szCs w:val="24"/>
        </w:rPr>
        <w:t>Proble</w:t>
      </w:r>
      <w:bookmarkEnd w:id="32"/>
      <w:bookmarkEnd w:id="33"/>
      <w:bookmarkEnd w:id="34"/>
      <w:bookmarkEnd w:id="35"/>
      <w:r w:rsidR="00F77D30" w:rsidRPr="00601FD1">
        <w:rPr>
          <w:rStyle w:val="Heading2Char"/>
          <w:b/>
          <w:szCs w:val="24"/>
        </w:rPr>
        <w:t>m</w:t>
      </w:r>
      <w:bookmarkEnd w:id="36"/>
      <w:bookmarkEnd w:id="37"/>
    </w:p>
    <w:p w:rsidR="001F5595" w:rsidRPr="00601FD1" w:rsidRDefault="00452199" w:rsidP="00485BFC">
      <w:r w:rsidRPr="00601FD1">
        <w:t>Genale-Dawa River B</w:t>
      </w:r>
      <w:r w:rsidR="00681B06" w:rsidRPr="00601FD1">
        <w:t>asin is one of the largest and most drought-prone regions in Ethiopia</w:t>
      </w:r>
      <w:r w:rsidR="002838E2" w:rsidRPr="00601FD1">
        <w:t xml:space="preserve"> </w:t>
      </w:r>
      <w:r w:rsidR="002838E2" w:rsidRPr="00601FD1">
        <w:fldChar w:fldCharType="begin" w:fldLock="1"/>
      </w:r>
      <w:r w:rsidR="00A309A8">
        <w:instrText>ADDIN CSL_CITATION {"citationItems":[{"id":"ITEM-1","itemData":{"DOI":"10.4236/ojmh.2018.84010","ISSN":"2163-0461","abstract":"Genale-Dawa River Basin is one of the largest and most drought prone regions in Ethiopia. As a result a search for alternative source of water has always been a major issue in the region. This study therefore, aims at characterizing and evaluating the ground water potential resource of the river basin. The delineation and numerical discretization of the river basin were primarily done for the proper development of the problem domain. And the groundwater governing equation was solved at individual nodal points of the discretized region using a 3-D numerical ground water model called TAGSAC. This resulted in monthly average groundwater table fluctuation and replenishable ground water potential estimation. Hydrogeological classification was also done based on hydraulic conductivity values obtained from model calibration.","author":[{"dropping-particle":"","family":"Kassahun","given":"Nebiyou","non-dropping-particle":"","parse-names":false,"suffix":""},{"dropping-particle":"","family":"Mohamed","given":"Mebruk","non-dropping-particle":"","parse-names":false,"suffix":""}],"container-title":"Open Journal of Modern Hydrology","id":"ITEM-1","issue":"04","issued":{"date-parts":[["2018"]]},"page":"126-144","title":"Groundwater Potential Assessment and Characterization of Genale-Dawa River Basin","type":"article-journal","volume":"08"},"uris":["http://www.mendeley.com/documents/?uuid=2ccb189f-c8a9-4612-a5f4-cb7171d0e45d"]}],"mendeley":{"formattedCitation":"(Kassahun &amp; Mohamed, 2018)","manualFormatting":"(Kassahun and Mohamed, 2018)","plainTextFormattedCitation":"(Kassahun &amp; Mohamed, 2018)","previouslyFormattedCitation":"(Kassahun &amp; Mohamed, 2018)"},"properties":{"noteIndex":0},"schema":"https://github.com/citation-style-language/schema/raw/master/csl-citation.json"}</w:instrText>
      </w:r>
      <w:r w:rsidR="002838E2" w:rsidRPr="00601FD1">
        <w:fldChar w:fldCharType="separate"/>
      </w:r>
      <w:r w:rsidR="00E230CE" w:rsidRPr="00601FD1">
        <w:rPr>
          <w:noProof/>
        </w:rPr>
        <w:t>(Kassahun and</w:t>
      </w:r>
      <w:r w:rsidR="00A108C4" w:rsidRPr="00601FD1">
        <w:rPr>
          <w:noProof/>
        </w:rPr>
        <w:t xml:space="preserve"> Mohamed, 2018)</w:t>
      </w:r>
      <w:r w:rsidR="002838E2" w:rsidRPr="00601FD1">
        <w:fldChar w:fldCharType="end"/>
      </w:r>
      <w:r w:rsidR="002838E2" w:rsidRPr="00601FD1">
        <w:t xml:space="preserve">. </w:t>
      </w:r>
      <w:r w:rsidR="00681B06" w:rsidRPr="00601FD1">
        <w:t>As a result, a search for an alternative source of water has been always a major iss</w:t>
      </w:r>
      <w:r w:rsidRPr="00601FD1">
        <w:t>ue in the region. In the Weyib S</w:t>
      </w:r>
      <w:r w:rsidR="00681B06" w:rsidRPr="00601FD1">
        <w:t>ub-basin</w:t>
      </w:r>
      <w:r w:rsidR="00621366" w:rsidRPr="00601FD1">
        <w:t xml:space="preserve"> </w:t>
      </w:r>
      <w:r w:rsidR="00681B06" w:rsidRPr="00601FD1">
        <w:t xml:space="preserve">the growing importance of groundwater based on an increasing need has led to unscientific exploitation of groundwater creating a water stress condition. To fulfill the demand of a rapidly growing population with the high rate of urbanization, </w:t>
      </w:r>
      <w:r w:rsidR="005F6E55" w:rsidRPr="00601FD1">
        <w:t>identification</w:t>
      </w:r>
      <w:r w:rsidR="00355A4A" w:rsidRPr="00601FD1">
        <w:t xml:space="preserve"> </w:t>
      </w:r>
      <w:r w:rsidR="00681B06" w:rsidRPr="00601FD1">
        <w:t>and management of groundwater resources are required. To address the problems, it is important to apply an effective technique for the proper evaluation of groundwater resour</w:t>
      </w:r>
      <w:r w:rsidR="004E4B64" w:rsidRPr="00601FD1">
        <w:t xml:space="preserve">ces. </w:t>
      </w:r>
    </w:p>
    <w:p w:rsidR="001F5595" w:rsidRPr="00601FD1" w:rsidRDefault="003E350E" w:rsidP="00485BFC">
      <w:r w:rsidRPr="00601FD1">
        <w:lastRenderedPageBreak/>
        <w:t>The g</w:t>
      </w:r>
      <w:r w:rsidR="004E4B64" w:rsidRPr="00601FD1">
        <w:t>roundwater potential zone</w:t>
      </w:r>
      <w:r w:rsidR="00681B06" w:rsidRPr="00601FD1">
        <w:t xml:space="preserve"> of </w:t>
      </w:r>
      <w:r w:rsidRPr="00601FD1">
        <w:t xml:space="preserve">the </w:t>
      </w:r>
      <w:r w:rsidR="00681B06" w:rsidRPr="00601FD1">
        <w:t xml:space="preserve">study area </w:t>
      </w:r>
      <w:r w:rsidR="004E4B64" w:rsidRPr="00601FD1">
        <w:t>was</w:t>
      </w:r>
      <w:r w:rsidR="00681B06" w:rsidRPr="00601FD1">
        <w:t xml:space="preserve"> not delineated by using GIS and RS techniques. Besides this, most of the studies focused on local-scale problems, but also others have been accomplished at a large scale</w:t>
      </w:r>
      <w:r w:rsidR="002838E2" w:rsidRPr="00601FD1">
        <w:t xml:space="preserve"> </w:t>
      </w:r>
      <w:r w:rsidR="002838E2" w:rsidRPr="00601FD1">
        <w:fldChar w:fldCharType="begin" w:fldLock="1"/>
      </w:r>
      <w:r w:rsidR="00A309A8">
        <w:instrText>ADDIN CSL_CITATION {"citationItems":[{"id":"ITEM-1","itemData":{"abstract":"Dodola map sheet (NB37-7) is covering parts of south eastern Ethiopian plateau and associated low lands. It is located at 430 km from Addis Ababa within Oromia and SNNP Regional states and bounded in between 6o 00’ to 7 o 00’ N Latitude and 39o00’ to 40o30’ E Longitude. The main and principal objective of the project is to produce hydrogeological and hydrochemical map of Dodola map sheet in 1:250,000 scale with accompanying report. Different materials like geological map, topographic map, GPS, PH meter, EC meter etc and appropriate software were used to achieve the objective. Geologically Dodolla map sheet is covered by Precambrian crystalline basement rocks, Mesozoic Sedimentary units at the middle, Cenozoic volcanic rocks at the top with a very few recent sediment deposit. Based on hydrodynamic properties of rocks and their hydraulic characteristics all Mesozoic sedimentary units are classified under high productive aquifer except upper sand stone which is local and low productive aquifer. Within the Cenozoic volcanic rocks, Ankaramite and syanite are massive, slightly weathered and can be characterized as low productive, where as the rest of volcanic rocks in the area possess moderate to high productive characteristics. The highly sheared, foliated and weathered high grade basement rocks of the area classified as low to moderate productive. Low grade basement rocks, mainly intrusives and metasedimentary units are massive and fresh without water points and classified as medium of very low water holding and transmitting capacity/Aquifuge. From topographic set up and ground water table map , the general ground water flow direction in the area is towards south and mainly south east (sedimentary covering low land) and the minimum mean recharge of the area from precipitation is estimated as 1127.2 mm/year. From the collected 97 water samples about 78 water samples are within the permissible level of water quality standard of WHO and good for drinking purpose. The Sodium Adsorption Ratio (SAR) value of the water in the area is &lt;5, which is within excellent range for irrigation, but TDS irrigation suitability criteria shows 87 water samples are excellent, 7 are suitable and the rest are unsuitable. Most of analyzed water samples show the ground water quality of the area is also suitable for Dairy, Sugar, Food processing and Tanning industries. Shallow well of Dello Mena town (dshw_4) and dDw_11 of Dodola area shows harmful (high) concentration of NO3 and sho…","author":[{"dropping-particle":"","family":"Kifle","given":"Astatike","non-dropping-particle":"","parse-names":false,"suffix":""},{"dropping-particle":"","family":"Hailemriam","given":"Mulugeta","non-dropping-particle":"","parse-names":false,"suffix":""}],"id":"ITEM-1","issued":{"date-parts":[["2010"]]},"number-of-pages":"1-104","publisher-place":"Addis Abeba, Ethiopia","title":"Integrated hydrogeological mapping of Dodola map sheet (NB 37-7) South Eastern Ethiopia high lands with associated low lands","type":"report"},"uris":["http://www.mendeley.com/documents/?uuid=0265e2e7-316d-4ea6-8541-27380974830d","http://www.mendeley.com/documents/?uuid=a08bf45a-48bd-4814-bf25-2789c5c1d393"]},{"id":"ITEM-2","itemData":{"author":[{"dropping-particle":"","family":"Kiflu","given":"Astatke","non-dropping-particle":"","parse-names":false,"suffix":""},{"dropping-particle":"","family":"Tafa","given":"Yosef","non-dropping-particle":"","parse-names":false,"suffix":""},{"dropping-particle":"","family":"Mulugeta","given":"Yonas","non-dropping-particle":"","parse-names":false,"suffix":""}],"id":"ITEM-2","issued":{"date-parts":[["2009"]]},"number-of-pages":"1-74","publisher-place":"Addis Abeba, Ethiopia","title":"Hydrogeological mapping of part of Asela map sheet (NB 37-3) South eastern high land of Ethiopia","type":"report"},"uris":["http://www.mendeley.com/documents/?uuid=b3043dd7-ee9c-4f47-9f3e-21b95483fb89","http://www.mendeley.com/documents/?uuid=00ac486c-3b45-4648-a467-648ee30a24fa"]},{"id":"ITEM-3","itemData":{"abstract":"Hydrogeological mapping of Ginner map sheet is carried out on the upper Wabi Shebele and some part of upper Genale Dawa river shades which is situated about 530 km east of Addis Ababa at the eastern part of Ethiopia. Considerable elevation difference (500-2685 m.a.s.l) and physiographic diversities such as highlands, lowlands and rugged areas, river valleys, deep gorges and plateaus characterize the area. Though the duration, amount and spatial distribution of the rain fall varies in the plateaus and low lands, bi- modal type of rain fall regime is generally observed. The annual mean rainfall in the low lands and high lands vary between 300 – 1200 mm and Potential evapotranspiration (PET) is estimated empirically 3.9 mm/day for the area. Rock units of the area are Tertiary and Quaternary Volcanics such as; Ginner Basalt, Arsi-Bale basalts and lower flood basalt and Mesozoic sedimentary formations such as: Amba Aradam, Korahe, Gabredare, Urandab and Hamanle formations successively under lain from young to old. In addition, superficial deposits and weathering remnants such as alluvium and elluvium cover the area. Nearly NE–SW and NW– SE trending faults and lineaments affect the area. The aquifer systems are defined based on hydrogeological characteristics /aquifer productivity and permeability/ of the lithological units. Seven hydrogeological units /aquifers systems/ are identified in the map sheet and then hydrogeological map at a scale 1:250,000 is produced. The chemical analysis result of water samples in the study area shows that bicarbonate and transitional and basic water type is predominant. The general trend of EC and TDS increases from relatively highland plateau to lowland where rain fall is low and evapotranspiration is high. Groundwater of the study area is generally suitable for Drinking water supply and irrigation. Generally, the area has ground water resources thus intensive sustainable water resources development is recommended by drilling deeper wells more than 150m depth on the lowlands and Springs development on the high land plateaus. Productive wells can also be drilled at the high land plateaus along faults and lineaments. In addition to water supply, large scale irrigation can be possible at the plateaus by using ground water resource.","author":[{"dropping-particle":"","family":"Mulugeta","given":"Yonas","non-dropping-particle":"","parse-names":false,"suffix":""},{"dropping-particle":"","family":"Tafa","given":"Yosef","non-dropping-particle":"","parse-names":false,"suffix":""}],"id":"ITEM-3","issued":{"date-parts":[["2010"]]},"number-of-pages":"1-84","publisher-place":"Addis Abeba, Ethiopia","title":"Integrated hydrogeological mapping of Ginnir map sheet (NB-37-4) South Eastern low land and adjacent high land of Ethiopia","type":"report"},"uris":["http://www.mendeley.com/documents/?uuid=1b87b89f-6151-4701-b983-9da2e8363ad4","http://www.mendeley.com/documents/?uuid=e9c5b3e5-3d16-4cb5-a46e-712fee7da124"]},{"id":"ITEM-4","itemData":{"author":[{"dropping-particle":"","family":"Kebede","given":"Mintesnot","non-dropping-particle":"","parse-names":false,"suffix":""},{"dropping-particle":"","family":"Mulugeta","given":"Yonas","non-dropping-particle":"","parse-names":false,"suffix":""}],"id":"ITEM-4","issued":{"date-parts":[["2011"]]},"publisher-place":"Addis Abeba, Ethiopia","title":"Hydrogeological map of Megallo map sheet (NB 37-8)","type":"report"},"uris":["http://www.mendeley.com/documents/?uuid=840f342e-829f-4f6d-87d4-a6e206ab7aa8","http://www.mendeley.com/documents/?uuid=1e17384d-a269-4745-b57a-3cfb8caa3508"]},{"id":"ITEM-5","itemData":{"DOI":"10.4236/ojmh.2018.84010","ISSN":"2163-0461","abstract":"Genale-Dawa River Basin is one of the largest and most drought prone regions in Ethiopia. As a result a search for alternative source of water has always been a major issue in the region. This study therefore, aims at characterizing and evaluating the ground water potential resource of the river basin. The delineation and numerical discretization of the river basin were primarily done for the proper development of the problem domain. And the groundwater governing equation was solved at individual nodal points of the discretized region using a 3-D numerical ground water model called TAGSAC. This resulted in monthly average groundwater table fluctuation and replenishable ground water potential estimation. Hydrogeological classification was also done based on hydraulic conductivity values obtained from model calibration.","author":[{"dropping-particle":"","family":"Kassahun","given":"Nebiyou","non-dropping-particle":"","parse-names":false,"suffix":""},{"dropping-particle":"","family":"Mohamed","given":"Mebruk","non-dropping-particle":"","parse-names":false,"suffix":""}],"container-title":"Open Journal of Modern Hydrology","id":"ITEM-5","issue":"04","issued":{"date-parts":[["2018"]]},"page":"126-144","title":"Groundwater Potential Assessment and Characterization of Genale-Dawa River Basin","type":"article-journal","volume":"08"},"uris":["http://www.mendeley.com/documents/?uuid=2ccb189f-c8a9-4612-a5f4-cb7171d0e45d"]}],"mendeley":{"formattedCitation":"(Kassahun &amp; Mohamed, 2018; M. Kebede &amp; Mulugeta, 2011; Kifle &amp; Hailemriam, 2010; Kiflu et al., 2009; Mulugeta &amp; Tafa, 2010)","manualFormatting":"(Kassahun and Mohamed, 2018; Kebede and Mulugeta, 2011; Kifle and Hailemriam, 2010; Kiflu et al., 2009; Mulugeta and Tafa, 2010)","plainTextFormattedCitation":"(Kassahun &amp; Mohamed, 2018; M. Kebede &amp; Mulugeta, 2011; Kifle &amp; Hailemriam, 2010; Kiflu et al., 2009; Mulugeta &amp; Tafa, 2010)","previouslyFormattedCitation":"(Kassahun &amp; Mohamed, 2018; M. Kebede &amp; Mulugeta, 2011; Kifle &amp; Hailemriam, 2010; Kiflu et al., 2009; Mulugeta &amp; Tafa, 2010)"},"properties":{"noteIndex":0},"schema":"https://github.com/citation-style-language/schema/raw/master/csl-citation.json"}</w:instrText>
      </w:r>
      <w:r w:rsidR="002838E2" w:rsidRPr="00601FD1">
        <w:fldChar w:fldCharType="separate"/>
      </w:r>
      <w:r w:rsidR="001A5CDA" w:rsidRPr="00601FD1">
        <w:rPr>
          <w:noProof/>
        </w:rPr>
        <w:t>(Kassahun</w:t>
      </w:r>
      <w:r w:rsidR="00E230CE" w:rsidRPr="00601FD1">
        <w:rPr>
          <w:noProof/>
        </w:rPr>
        <w:t xml:space="preserve"> and</w:t>
      </w:r>
      <w:r w:rsidR="00446D6D" w:rsidRPr="00601FD1">
        <w:rPr>
          <w:noProof/>
        </w:rPr>
        <w:t xml:space="preserve"> Mohamed, 2018; </w:t>
      </w:r>
      <w:r w:rsidR="00E230CE" w:rsidRPr="00601FD1">
        <w:rPr>
          <w:noProof/>
        </w:rPr>
        <w:t>Kebede and Mulugeta, 2011; Kifle and</w:t>
      </w:r>
      <w:r w:rsidR="001A5CDA" w:rsidRPr="00601FD1">
        <w:rPr>
          <w:noProof/>
        </w:rPr>
        <w:t xml:space="preserve"> Hailemriam, 2010</w:t>
      </w:r>
      <w:r w:rsidR="00E230CE" w:rsidRPr="00601FD1">
        <w:rPr>
          <w:noProof/>
        </w:rPr>
        <w:t>; Kiflu et al., 2009; Mulugeta and</w:t>
      </w:r>
      <w:r w:rsidR="001A5CDA" w:rsidRPr="00601FD1">
        <w:rPr>
          <w:noProof/>
        </w:rPr>
        <w:t xml:space="preserve"> Tafa, 2010)</w:t>
      </w:r>
      <w:r w:rsidR="002838E2" w:rsidRPr="00601FD1">
        <w:fldChar w:fldCharType="end"/>
      </w:r>
      <w:r w:rsidR="00071ED7" w:rsidRPr="00601FD1">
        <w:t>.</w:t>
      </w:r>
      <w:r w:rsidR="001F5595" w:rsidRPr="00601FD1">
        <w:t xml:space="preserve"> </w:t>
      </w:r>
      <w:r w:rsidR="00071ED7" w:rsidRPr="00601FD1">
        <w:t>Studies</w:t>
      </w:r>
      <w:r w:rsidR="00681B06" w:rsidRPr="00601FD1">
        <w:t xml:space="preserve"> conducted at a large scale classifie</w:t>
      </w:r>
      <w:r w:rsidR="00452199" w:rsidRPr="00601FD1">
        <w:t>d the entire area of the Weyib S</w:t>
      </w:r>
      <w:r w:rsidR="00681B06" w:rsidRPr="00601FD1">
        <w:t xml:space="preserve">ub-basin in a single </w:t>
      </w:r>
      <w:r w:rsidR="009B70BE" w:rsidRPr="00601FD1">
        <w:rPr>
          <w:bCs/>
        </w:rPr>
        <w:t>GWPZ</w:t>
      </w:r>
      <w:r w:rsidR="00681B06" w:rsidRPr="00601FD1">
        <w:t>. But the spatial variation of groundwater potential even</w:t>
      </w:r>
      <w:r w:rsidR="00452199" w:rsidRPr="00601FD1">
        <w:t xml:space="preserve"> in an area smaller than </w:t>
      </w:r>
      <w:r w:rsidR="00071ED7" w:rsidRPr="00601FD1">
        <w:t xml:space="preserve">the </w:t>
      </w:r>
      <w:r w:rsidR="00452199" w:rsidRPr="00601FD1">
        <w:t>Weyib S</w:t>
      </w:r>
      <w:r w:rsidR="00681B06" w:rsidRPr="00601FD1">
        <w:t>ub-basin is obvious.</w:t>
      </w:r>
      <w:r w:rsidR="00A04929">
        <w:t xml:space="preserve"> Hence</w:t>
      </w:r>
      <w:r w:rsidR="004615BC" w:rsidRPr="00601FD1">
        <w:t>,</w:t>
      </w:r>
      <w:r w:rsidR="00681B06" w:rsidRPr="00601FD1">
        <w:t xml:space="preserve"> it i</w:t>
      </w:r>
      <w:r w:rsidR="00A04929">
        <w:t xml:space="preserve">s required to conduct </w:t>
      </w:r>
      <w:r w:rsidR="005A2B83">
        <w:t xml:space="preserve">a </w:t>
      </w:r>
      <w:r w:rsidR="00A04929">
        <w:t>detail</w:t>
      </w:r>
      <w:r w:rsidR="005A2B83">
        <w:t>ed</w:t>
      </w:r>
      <w:r w:rsidR="00681B06" w:rsidRPr="00601FD1">
        <w:t xml:space="preserve"> study</w:t>
      </w:r>
      <w:r w:rsidR="00A04929">
        <w:t xml:space="preserve"> </w:t>
      </w:r>
      <w:r w:rsidR="00681B06" w:rsidRPr="00601FD1">
        <w:t xml:space="preserve">at </w:t>
      </w:r>
      <w:r w:rsidR="0051411C" w:rsidRPr="00601FD1">
        <w:t xml:space="preserve">the </w:t>
      </w:r>
      <w:r w:rsidR="00681B06" w:rsidRPr="00601FD1">
        <w:t xml:space="preserve">sub-basin level. The </w:t>
      </w:r>
      <w:r w:rsidR="00AB522E" w:rsidRPr="00601FD1">
        <w:t xml:space="preserve">report of </w:t>
      </w:r>
      <w:r w:rsidR="00681B06" w:rsidRPr="00601FD1">
        <w:t xml:space="preserve">hydrogeological study conducted by </w:t>
      </w:r>
      <w:r w:rsidR="00D62F00" w:rsidRPr="00601FD1">
        <w:t xml:space="preserve">the </w:t>
      </w:r>
      <w:r w:rsidR="00E85046" w:rsidRPr="00601FD1">
        <w:t xml:space="preserve">Geological Survey of Ethiopia </w:t>
      </w:r>
      <w:r w:rsidR="00681B06" w:rsidRPr="00601FD1">
        <w:t xml:space="preserve">identifies the aquifer systems of separate map sheets based on the hydrogeological characteristics (aquifer productivity and permeability) of the lithological units. But the groundwater potential of an area depends on various sensitive factors. So that, those factors are needed to be identified, characterized, and evaluated separately. </w:t>
      </w:r>
    </w:p>
    <w:p w:rsidR="00681B06" w:rsidRPr="00601FD1" w:rsidRDefault="00681B06" w:rsidP="00485BFC">
      <w:r w:rsidRPr="00601FD1">
        <w:t>A multi-disciplinary study involving hydrogeology and geophysics has been undertaken by Or</w:t>
      </w:r>
      <w:r w:rsidR="005F6F43" w:rsidRPr="00601FD1">
        <w:t xml:space="preserve">omia and </w:t>
      </w:r>
      <w:r w:rsidR="00422A37" w:rsidRPr="00422A37">
        <w:t>Bale zone water resources development and energy</w:t>
      </w:r>
      <w:r w:rsidR="00960C00" w:rsidRPr="00601FD1">
        <w:t>.</w:t>
      </w:r>
      <w:r w:rsidRPr="00601FD1">
        <w:t xml:space="preserve"> The study was aimed to propose the site</w:t>
      </w:r>
      <w:r w:rsidR="00960C00" w:rsidRPr="00601FD1">
        <w:t>s</w:t>
      </w:r>
      <w:r w:rsidRPr="00601FD1">
        <w:t xml:space="preserve"> for drilling discrete water well</w:t>
      </w:r>
      <w:r w:rsidR="00960C00" w:rsidRPr="00601FD1">
        <w:t>s</w:t>
      </w:r>
      <w:r w:rsidRPr="00601FD1">
        <w:t xml:space="preserve">. To identify the feasible site for groundwater development, visualization of general topography and geological setup of the area center for the resistivity survey is selected. Based on the hydrogeological study findings detail geophysical electrical resistivity surveys of the selected site </w:t>
      </w:r>
      <w:r w:rsidR="00475102" w:rsidRPr="00601FD1">
        <w:t>were</w:t>
      </w:r>
      <w:r w:rsidR="00960C00" w:rsidRPr="00601FD1">
        <w:t xml:space="preserve"> conducted </w:t>
      </w:r>
      <w:r w:rsidRPr="00601FD1">
        <w:t xml:space="preserve">for tracing, delineating/defining and estimating </w:t>
      </w:r>
      <w:r w:rsidR="00475102" w:rsidRPr="00601FD1">
        <w:t xml:space="preserve">the </w:t>
      </w:r>
      <w:r w:rsidRPr="00601FD1">
        <w:t>depth extent of the sub</w:t>
      </w:r>
      <w:r w:rsidR="004A01B3" w:rsidRPr="00601FD1">
        <w:t>-</w:t>
      </w:r>
      <w:r w:rsidRPr="00601FD1">
        <w:t>surface and aquifer materials</w:t>
      </w:r>
      <w:r w:rsidR="00960C00" w:rsidRPr="00601FD1">
        <w:t xml:space="preserve">. </w:t>
      </w:r>
      <w:r w:rsidR="002838E2" w:rsidRPr="00601FD1">
        <w:t>A</w:t>
      </w:r>
      <w:r w:rsidRPr="00601FD1">
        <w:t xml:space="preserve"> considerable number of wells identified by this method are drilled and yields low productivity, while others are dry. Hence the method consumes time and costs integration of a variety of disciplines at a single platform is required.</w:t>
      </w:r>
      <w:r w:rsidR="004C1A7E" w:rsidRPr="00601FD1">
        <w:t xml:space="preserve"> </w:t>
      </w:r>
      <w:r w:rsidR="00D36BC5" w:rsidRPr="00601FD1">
        <w:t xml:space="preserve">Protection of </w:t>
      </w:r>
      <w:r w:rsidR="00832CC1" w:rsidRPr="00601FD1">
        <w:t xml:space="preserve">the </w:t>
      </w:r>
      <w:r w:rsidR="00D36BC5" w:rsidRPr="00601FD1">
        <w:t xml:space="preserve">groundwater recharge site is the other strategy for sustainable groundwater development. Therefore, it is required to identify the groundwater flow </w:t>
      </w:r>
      <w:r w:rsidR="004C1A7E" w:rsidRPr="00601FD1">
        <w:t xml:space="preserve">direction </w:t>
      </w:r>
      <w:r w:rsidR="00ED2856" w:rsidRPr="00601FD1">
        <w:t>for</w:t>
      </w:r>
      <w:r w:rsidR="00D36BC5" w:rsidRPr="00601FD1">
        <w:t xml:space="preserve"> plan</w:t>
      </w:r>
      <w:r w:rsidR="00ED2856" w:rsidRPr="00601FD1">
        <w:t>ning</w:t>
      </w:r>
      <w:r w:rsidR="00D36BC5" w:rsidRPr="00601FD1">
        <w:t xml:space="preserve"> the Sub-basin and </w:t>
      </w:r>
      <w:r w:rsidR="004C1A7E" w:rsidRPr="00601FD1">
        <w:t xml:space="preserve">predict </w:t>
      </w:r>
      <w:r w:rsidR="00D36BC5" w:rsidRPr="00601FD1">
        <w:t xml:space="preserve">the </w:t>
      </w:r>
      <w:r w:rsidR="004C1A7E" w:rsidRPr="00601FD1">
        <w:t xml:space="preserve">status of groundwater potential </w:t>
      </w:r>
      <w:r w:rsidR="00D36BC5" w:rsidRPr="00601FD1">
        <w:t>for proposing</w:t>
      </w:r>
      <w:r w:rsidR="004C1A7E" w:rsidRPr="00601FD1">
        <w:t xml:space="preserve"> </w:t>
      </w:r>
      <w:r w:rsidR="00D36BC5" w:rsidRPr="00601FD1">
        <w:t>the recommended sanitary site.</w:t>
      </w:r>
    </w:p>
    <w:p w:rsidR="00100D86" w:rsidRPr="00601FD1" w:rsidRDefault="00100D86" w:rsidP="00485BFC">
      <w:pPr>
        <w:pStyle w:val="Heading2"/>
        <w:numPr>
          <w:ilvl w:val="1"/>
          <w:numId w:val="1"/>
        </w:numPr>
        <w:rPr>
          <w:b w:val="0"/>
          <w:szCs w:val="24"/>
        </w:rPr>
      </w:pPr>
      <w:bookmarkStart w:id="38" w:name="_Toc22400922"/>
      <w:bookmarkStart w:id="39" w:name="_Toc23171151"/>
      <w:bookmarkStart w:id="40" w:name="_Toc23256435"/>
      <w:bookmarkStart w:id="41" w:name="_Toc25584887"/>
      <w:bookmarkStart w:id="42" w:name="_Toc68025052"/>
      <w:bookmarkStart w:id="43" w:name="_Toc68761535"/>
      <w:r w:rsidRPr="00601FD1">
        <w:rPr>
          <w:szCs w:val="24"/>
        </w:rPr>
        <w:t>Objectives</w:t>
      </w:r>
      <w:bookmarkEnd w:id="38"/>
      <w:bookmarkEnd w:id="39"/>
      <w:bookmarkEnd w:id="40"/>
      <w:bookmarkEnd w:id="41"/>
      <w:r w:rsidR="002C2741" w:rsidRPr="00601FD1">
        <w:rPr>
          <w:szCs w:val="24"/>
        </w:rPr>
        <w:t xml:space="preserve"> of the </w:t>
      </w:r>
      <w:r w:rsidR="00F77D30" w:rsidRPr="00601FD1">
        <w:rPr>
          <w:szCs w:val="24"/>
        </w:rPr>
        <w:t>Study</w:t>
      </w:r>
      <w:bookmarkEnd w:id="42"/>
      <w:bookmarkEnd w:id="43"/>
    </w:p>
    <w:p w:rsidR="00100D86" w:rsidRPr="00601FD1" w:rsidRDefault="00100D86" w:rsidP="00485BFC">
      <w:pPr>
        <w:pStyle w:val="Heading3"/>
        <w:numPr>
          <w:ilvl w:val="2"/>
          <w:numId w:val="1"/>
        </w:numPr>
      </w:pPr>
      <w:bookmarkStart w:id="44" w:name="_Toc22400923"/>
      <w:bookmarkStart w:id="45" w:name="_Toc23171152"/>
      <w:bookmarkStart w:id="46" w:name="_Toc23256436"/>
      <w:bookmarkStart w:id="47" w:name="_Toc25584888"/>
      <w:bookmarkStart w:id="48" w:name="_Toc68025053"/>
      <w:bookmarkStart w:id="49" w:name="_Toc68761536"/>
      <w:r w:rsidRPr="00601FD1">
        <w:t xml:space="preserve">General </w:t>
      </w:r>
      <w:r w:rsidR="00F77D30" w:rsidRPr="00601FD1">
        <w:t>Objective</w:t>
      </w:r>
      <w:bookmarkEnd w:id="44"/>
      <w:bookmarkEnd w:id="45"/>
      <w:bookmarkEnd w:id="46"/>
      <w:bookmarkEnd w:id="47"/>
      <w:bookmarkEnd w:id="48"/>
      <w:bookmarkEnd w:id="49"/>
    </w:p>
    <w:p w:rsidR="00616D62" w:rsidRPr="00601FD1" w:rsidRDefault="00100D86" w:rsidP="00485BFC">
      <w:r w:rsidRPr="00601FD1">
        <w:t xml:space="preserve">The general objective of this </w:t>
      </w:r>
      <w:r w:rsidR="00616D62" w:rsidRPr="00601FD1">
        <w:t>study</w:t>
      </w:r>
      <w:r w:rsidRPr="00601FD1">
        <w:t xml:space="preserve"> </w:t>
      </w:r>
      <w:r w:rsidR="00CF15BA" w:rsidRPr="00601FD1">
        <w:t>was</w:t>
      </w:r>
      <w:r w:rsidRPr="00601FD1">
        <w:t xml:space="preserve"> to </w:t>
      </w:r>
      <w:r w:rsidR="00FB2595" w:rsidRPr="00601FD1">
        <w:t>delineate</w:t>
      </w:r>
      <w:r w:rsidRPr="00601FD1">
        <w:t xml:space="preserve"> </w:t>
      </w:r>
      <w:r w:rsidR="00C21E0E" w:rsidRPr="00601FD1">
        <w:t xml:space="preserve">the </w:t>
      </w:r>
      <w:r w:rsidR="00672E45" w:rsidRPr="00601FD1">
        <w:t>g</w:t>
      </w:r>
      <w:r w:rsidR="00155FE4" w:rsidRPr="00601FD1">
        <w:t xml:space="preserve">roundwater potential </w:t>
      </w:r>
      <w:r w:rsidR="00616D62" w:rsidRPr="00601FD1">
        <w:t xml:space="preserve">zone </w:t>
      </w:r>
      <w:r w:rsidR="00155FE4" w:rsidRPr="00601FD1">
        <w:t xml:space="preserve">of </w:t>
      </w:r>
      <w:r w:rsidR="00116D79" w:rsidRPr="00601FD1">
        <w:t xml:space="preserve">Weyib </w:t>
      </w:r>
      <w:r w:rsidR="00452199" w:rsidRPr="00601FD1">
        <w:t>S</w:t>
      </w:r>
      <w:r w:rsidR="00EF4F3C" w:rsidRPr="00601FD1">
        <w:t>ub-</w:t>
      </w:r>
      <w:r w:rsidR="00616D62" w:rsidRPr="00601FD1">
        <w:t xml:space="preserve">basin </w:t>
      </w:r>
      <w:r w:rsidR="007A3795" w:rsidRPr="00601FD1">
        <w:t>by</w:t>
      </w:r>
      <w:r w:rsidR="00D97F8D" w:rsidRPr="00601FD1">
        <w:t xml:space="preserve"> </w:t>
      </w:r>
      <w:r w:rsidR="00CF15BA" w:rsidRPr="00601FD1">
        <w:t>using GIS and Remote S</w:t>
      </w:r>
      <w:r w:rsidRPr="00601FD1">
        <w:t>ensing</w:t>
      </w:r>
      <w:r w:rsidR="00D97F8D" w:rsidRPr="00601FD1">
        <w:t xml:space="preserve"> technique</w:t>
      </w:r>
      <w:r w:rsidR="00E43261" w:rsidRPr="00601FD1">
        <w:t>s</w:t>
      </w:r>
      <w:r w:rsidRPr="00601FD1">
        <w:t>.</w:t>
      </w:r>
    </w:p>
    <w:p w:rsidR="00100D86" w:rsidRPr="00601FD1" w:rsidRDefault="00100D86" w:rsidP="00485BFC">
      <w:pPr>
        <w:pStyle w:val="Heading3"/>
        <w:numPr>
          <w:ilvl w:val="2"/>
          <w:numId w:val="1"/>
        </w:numPr>
      </w:pPr>
      <w:bookmarkStart w:id="50" w:name="_Toc22400924"/>
      <w:bookmarkStart w:id="51" w:name="_Toc23171153"/>
      <w:bookmarkStart w:id="52" w:name="_Toc23256437"/>
      <w:bookmarkStart w:id="53" w:name="_Toc25584889"/>
      <w:bookmarkStart w:id="54" w:name="_Toc68025054"/>
      <w:bookmarkStart w:id="55" w:name="_Toc68761537"/>
      <w:r w:rsidRPr="00601FD1">
        <w:lastRenderedPageBreak/>
        <w:t xml:space="preserve">Specific </w:t>
      </w:r>
      <w:r w:rsidR="00F77D30" w:rsidRPr="00601FD1">
        <w:t>Objective</w:t>
      </w:r>
      <w:bookmarkEnd w:id="50"/>
      <w:r w:rsidR="00F77D30" w:rsidRPr="00601FD1">
        <w:t>s</w:t>
      </w:r>
      <w:bookmarkEnd w:id="51"/>
      <w:bookmarkEnd w:id="52"/>
      <w:bookmarkEnd w:id="53"/>
      <w:bookmarkEnd w:id="54"/>
      <w:bookmarkEnd w:id="55"/>
    </w:p>
    <w:p w:rsidR="00A10AE3" w:rsidRPr="00601FD1" w:rsidRDefault="00FB2595" w:rsidP="00485BFC">
      <w:r w:rsidRPr="00601FD1">
        <w:t xml:space="preserve">The specific objectives of this study </w:t>
      </w:r>
      <w:r w:rsidR="00202E64" w:rsidRPr="00601FD1">
        <w:t>were</w:t>
      </w:r>
      <w:r w:rsidRPr="00601FD1">
        <w:t>:</w:t>
      </w:r>
    </w:p>
    <w:p w:rsidR="00A10AE3" w:rsidRPr="00601FD1" w:rsidRDefault="00D40067" w:rsidP="00F815B7">
      <w:pPr>
        <w:pStyle w:val="ListParagraph"/>
        <w:numPr>
          <w:ilvl w:val="0"/>
          <w:numId w:val="4"/>
        </w:numPr>
      </w:pPr>
      <w:r w:rsidRPr="00601FD1">
        <w:t xml:space="preserve">To identify </w:t>
      </w:r>
      <w:r w:rsidR="00A97383" w:rsidRPr="00601FD1">
        <w:t xml:space="preserve">and characterize the climate, physiographic and geologic factors </w:t>
      </w:r>
      <w:r w:rsidRPr="00601FD1">
        <w:t>essential for the delineation of groundwater potential zones</w:t>
      </w:r>
      <w:r w:rsidR="00A97383" w:rsidRPr="00601FD1">
        <w:t>.</w:t>
      </w:r>
    </w:p>
    <w:p w:rsidR="00A10AE3" w:rsidRPr="00601FD1" w:rsidRDefault="00100D86" w:rsidP="00485BFC">
      <w:pPr>
        <w:pStyle w:val="ListParagraph"/>
        <w:numPr>
          <w:ilvl w:val="0"/>
          <w:numId w:val="4"/>
        </w:numPr>
      </w:pPr>
      <w:r w:rsidRPr="00601FD1">
        <w:t xml:space="preserve">To delineate </w:t>
      </w:r>
      <w:r w:rsidR="00AE13AA" w:rsidRPr="00601FD1">
        <w:t xml:space="preserve">suitable </w:t>
      </w:r>
      <w:r w:rsidRPr="00601FD1">
        <w:t xml:space="preserve">groundwater potential </w:t>
      </w:r>
      <w:r w:rsidR="00D165E8" w:rsidRPr="00601FD1">
        <w:t>zones</w:t>
      </w:r>
      <w:r w:rsidR="00D74454" w:rsidRPr="00601FD1">
        <w:t xml:space="preserve"> and identify </w:t>
      </w:r>
      <w:r w:rsidR="006B3E6F" w:rsidRPr="00601FD1">
        <w:t xml:space="preserve">its spatial variability </w:t>
      </w:r>
      <w:r w:rsidR="0058396E" w:rsidRPr="00601FD1">
        <w:t xml:space="preserve">through </w:t>
      </w:r>
      <w:r w:rsidRPr="00601FD1">
        <w:t>integration of different thematic layers</w:t>
      </w:r>
      <w:r w:rsidR="00AB0D22" w:rsidRPr="00601FD1">
        <w:t>.</w:t>
      </w:r>
    </w:p>
    <w:p w:rsidR="00D74454" w:rsidRPr="00601FD1" w:rsidRDefault="00D74454" w:rsidP="00485BFC">
      <w:pPr>
        <w:pStyle w:val="ListParagraph"/>
        <w:numPr>
          <w:ilvl w:val="0"/>
          <w:numId w:val="4"/>
        </w:numPr>
      </w:pPr>
      <w:r w:rsidRPr="00601FD1">
        <w:t xml:space="preserve">To identify </w:t>
      </w:r>
      <w:r w:rsidR="00646958" w:rsidRPr="00601FD1">
        <w:t xml:space="preserve">the </w:t>
      </w:r>
      <w:r w:rsidRPr="00601FD1">
        <w:t xml:space="preserve">groundwater flow direction </w:t>
      </w:r>
      <w:r w:rsidR="00646958" w:rsidRPr="00601FD1">
        <w:t xml:space="preserve">of </w:t>
      </w:r>
      <w:r w:rsidR="00205012" w:rsidRPr="00601FD1">
        <w:t>Weyib Sub-basin</w:t>
      </w:r>
      <w:r w:rsidRPr="00601FD1">
        <w:t>.</w:t>
      </w:r>
    </w:p>
    <w:p w:rsidR="00100D86" w:rsidRPr="00601FD1" w:rsidRDefault="00100D86" w:rsidP="00485BFC">
      <w:pPr>
        <w:pStyle w:val="Heading2"/>
        <w:numPr>
          <w:ilvl w:val="1"/>
          <w:numId w:val="1"/>
        </w:numPr>
        <w:rPr>
          <w:b w:val="0"/>
          <w:szCs w:val="24"/>
        </w:rPr>
      </w:pPr>
      <w:bookmarkStart w:id="56" w:name="_Toc22400925"/>
      <w:bookmarkStart w:id="57" w:name="_Toc23171154"/>
      <w:bookmarkStart w:id="58" w:name="_Toc23256438"/>
      <w:bookmarkStart w:id="59" w:name="_Toc25584890"/>
      <w:bookmarkStart w:id="60" w:name="_Toc68025055"/>
      <w:bookmarkStart w:id="61" w:name="_Toc68761538"/>
      <w:r w:rsidRPr="00601FD1">
        <w:rPr>
          <w:szCs w:val="24"/>
        </w:rPr>
        <w:t xml:space="preserve">Research </w:t>
      </w:r>
      <w:r w:rsidR="00F77D30" w:rsidRPr="00601FD1">
        <w:rPr>
          <w:szCs w:val="24"/>
        </w:rPr>
        <w:t>Questions</w:t>
      </w:r>
      <w:bookmarkEnd w:id="56"/>
      <w:bookmarkEnd w:id="57"/>
      <w:bookmarkEnd w:id="58"/>
      <w:bookmarkEnd w:id="59"/>
      <w:bookmarkEnd w:id="60"/>
      <w:bookmarkEnd w:id="61"/>
    </w:p>
    <w:p w:rsidR="00D74454" w:rsidRPr="00601FD1" w:rsidRDefault="0006406F" w:rsidP="00F815B7">
      <w:pPr>
        <w:pStyle w:val="Default"/>
        <w:numPr>
          <w:ilvl w:val="0"/>
          <w:numId w:val="2"/>
        </w:numPr>
        <w:rPr>
          <w:color w:val="auto"/>
        </w:rPr>
      </w:pPr>
      <w:r w:rsidRPr="00601FD1">
        <w:rPr>
          <w:color w:val="auto"/>
        </w:rPr>
        <w:t>What</w:t>
      </w:r>
      <w:r w:rsidR="00107EEC" w:rsidRPr="00601FD1">
        <w:rPr>
          <w:color w:val="auto"/>
        </w:rPr>
        <w:t xml:space="preserve"> </w:t>
      </w:r>
      <w:r w:rsidRPr="00601FD1">
        <w:rPr>
          <w:color w:val="auto"/>
        </w:rPr>
        <w:t>are the dominant factor</w:t>
      </w:r>
      <w:r w:rsidR="00107EEC" w:rsidRPr="00601FD1">
        <w:rPr>
          <w:color w:val="auto"/>
        </w:rPr>
        <w:t>s</w:t>
      </w:r>
      <w:r w:rsidRPr="00601FD1">
        <w:rPr>
          <w:color w:val="auto"/>
        </w:rPr>
        <w:t xml:space="preserve"> that affect the groundwater potential </w:t>
      </w:r>
      <w:r w:rsidR="00727182" w:rsidRPr="00601FD1">
        <w:rPr>
          <w:color w:val="auto"/>
        </w:rPr>
        <w:t>of</w:t>
      </w:r>
      <w:r w:rsidRPr="00601FD1">
        <w:rPr>
          <w:color w:val="auto"/>
        </w:rPr>
        <w:t xml:space="preserve"> the area?</w:t>
      </w:r>
    </w:p>
    <w:p w:rsidR="00823657" w:rsidRPr="00601FD1" w:rsidRDefault="0006406F" w:rsidP="00485BFC">
      <w:pPr>
        <w:pStyle w:val="Default"/>
        <w:numPr>
          <w:ilvl w:val="0"/>
          <w:numId w:val="2"/>
        </w:numPr>
        <w:rPr>
          <w:color w:val="auto"/>
        </w:rPr>
      </w:pPr>
      <w:r w:rsidRPr="00601FD1">
        <w:rPr>
          <w:color w:val="auto"/>
        </w:rPr>
        <w:t>In which zone the most suitable g</w:t>
      </w:r>
      <w:r w:rsidR="00D74454" w:rsidRPr="00601FD1">
        <w:rPr>
          <w:color w:val="auto"/>
        </w:rPr>
        <w:t>roundwater potential does exist and to what extent does the spatial variability of groundwater zone?</w:t>
      </w:r>
    </w:p>
    <w:p w:rsidR="0006406F" w:rsidRPr="00601FD1" w:rsidRDefault="00823657" w:rsidP="00485BFC">
      <w:pPr>
        <w:pStyle w:val="Default"/>
        <w:numPr>
          <w:ilvl w:val="0"/>
          <w:numId w:val="2"/>
        </w:numPr>
        <w:rPr>
          <w:color w:val="auto"/>
        </w:rPr>
      </w:pPr>
      <w:r w:rsidRPr="00601FD1">
        <w:rPr>
          <w:color w:val="auto"/>
        </w:rPr>
        <w:t xml:space="preserve">What does the </w:t>
      </w:r>
      <w:r w:rsidR="00417101" w:rsidRPr="00601FD1">
        <w:rPr>
          <w:color w:val="auto"/>
        </w:rPr>
        <w:t xml:space="preserve">predominant </w:t>
      </w:r>
      <w:r w:rsidRPr="00601FD1">
        <w:rPr>
          <w:color w:val="auto"/>
        </w:rPr>
        <w:t xml:space="preserve">groundwater flow direction </w:t>
      </w:r>
      <w:r w:rsidR="00417101" w:rsidRPr="00601FD1">
        <w:rPr>
          <w:color w:val="auto"/>
        </w:rPr>
        <w:t>of study area look like?</w:t>
      </w:r>
    </w:p>
    <w:p w:rsidR="00491A0D" w:rsidRPr="00601FD1" w:rsidRDefault="00211433" w:rsidP="00485BFC">
      <w:pPr>
        <w:pStyle w:val="Heading2"/>
        <w:numPr>
          <w:ilvl w:val="1"/>
          <w:numId w:val="1"/>
        </w:numPr>
        <w:rPr>
          <w:b w:val="0"/>
          <w:szCs w:val="24"/>
        </w:rPr>
      </w:pPr>
      <w:bookmarkStart w:id="62" w:name="_Toc22400921"/>
      <w:bookmarkStart w:id="63" w:name="_Toc23171155"/>
      <w:bookmarkStart w:id="64" w:name="_Toc23256439"/>
      <w:bookmarkStart w:id="65" w:name="_Toc68025056"/>
      <w:bookmarkStart w:id="66" w:name="_Toc68761539"/>
      <w:r w:rsidRPr="00601FD1">
        <w:rPr>
          <w:szCs w:val="24"/>
        </w:rPr>
        <w:t>S</w:t>
      </w:r>
      <w:r w:rsidR="00491A0D" w:rsidRPr="00601FD1">
        <w:rPr>
          <w:szCs w:val="24"/>
        </w:rPr>
        <w:t xml:space="preserve">ignificance of the </w:t>
      </w:r>
      <w:r w:rsidR="00F77D30" w:rsidRPr="00601FD1">
        <w:rPr>
          <w:szCs w:val="24"/>
        </w:rPr>
        <w:t>Study</w:t>
      </w:r>
      <w:bookmarkEnd w:id="62"/>
      <w:bookmarkEnd w:id="63"/>
      <w:bookmarkEnd w:id="64"/>
      <w:bookmarkEnd w:id="65"/>
      <w:bookmarkEnd w:id="66"/>
    </w:p>
    <w:p w:rsidR="00681B06" w:rsidRPr="00601FD1" w:rsidRDefault="00681B06" w:rsidP="00485BFC">
      <w:r w:rsidRPr="00601FD1">
        <w:t>This study will contribute to th</w:t>
      </w:r>
      <w:r w:rsidR="00761398">
        <w:t>e current efforts by government</w:t>
      </w:r>
      <w:r w:rsidRPr="00601FD1">
        <w:t xml:space="preserve"> and other concerning bodies to solve the problems of a source of water. The identification of a suitable </w:t>
      </w:r>
      <w:r w:rsidR="009B70BE" w:rsidRPr="00601FD1">
        <w:t>GWPZ</w:t>
      </w:r>
      <w:r w:rsidRPr="00601FD1">
        <w:t xml:space="preserve"> contributes to the rational exploitation and sustainable development of groundwater resources. Thus, the identified maps of </w:t>
      </w:r>
      <w:r w:rsidR="009B70BE" w:rsidRPr="00601FD1">
        <w:t xml:space="preserve">GWPZ </w:t>
      </w:r>
      <w:r w:rsidRPr="00601FD1">
        <w:t xml:space="preserve">will be used as a preliminary reference in selecting suitable sites for drilling boreholes. Besides, it will contribute as an alarming factor for considering groundwater quality while planning the </w:t>
      </w:r>
      <w:r w:rsidR="00BC466B">
        <w:t>sub-basin</w:t>
      </w:r>
      <w:r w:rsidRPr="00601FD1">
        <w:t xml:space="preserve">. The study was considering the local spatial variability of groundwater potential. This will cover the gap in the previous study which categorizes the overall </w:t>
      </w:r>
      <w:r w:rsidR="00BC466B">
        <w:t>sub-basin</w:t>
      </w:r>
      <w:r w:rsidRPr="00601FD1">
        <w:t xml:space="preserve"> in a similar zone. The climatic, physiographic and geologic factors essential for the delineation of </w:t>
      </w:r>
      <w:r w:rsidR="00E43261" w:rsidRPr="00601FD1">
        <w:t>GWPZ</w:t>
      </w:r>
      <w:r w:rsidR="00C80626" w:rsidRPr="00601FD1">
        <w:t xml:space="preserve"> were</w:t>
      </w:r>
      <w:r w:rsidRPr="00601FD1">
        <w:t xml:space="preserve"> identified and characterized at </w:t>
      </w:r>
      <w:r w:rsidR="00E43261" w:rsidRPr="00601FD1">
        <w:t xml:space="preserve">a </w:t>
      </w:r>
      <w:r w:rsidRPr="00601FD1">
        <w:t>small scale. The results of this study can be used as the basis</w:t>
      </w:r>
      <w:r w:rsidR="00452199" w:rsidRPr="00601FD1">
        <w:t xml:space="preserve"> for further analysis of Weyib S</w:t>
      </w:r>
      <w:r w:rsidRPr="00601FD1">
        <w:t>ub-basin groundwater potential which has a significant contribution toward the watershed ma</w:t>
      </w:r>
      <w:r w:rsidR="00590661" w:rsidRPr="00601FD1">
        <w:t xml:space="preserve">nagement effort of the country. </w:t>
      </w:r>
      <w:r w:rsidRPr="00601FD1">
        <w:t xml:space="preserve">The present study applies GIS and </w:t>
      </w:r>
      <w:r w:rsidR="00417E6C" w:rsidRPr="00601FD1">
        <w:t>RS</w:t>
      </w:r>
      <w:r w:rsidRPr="00601FD1">
        <w:t xml:space="preserve"> techniques for mapping the </w:t>
      </w:r>
      <w:r w:rsidR="009B70BE" w:rsidRPr="00601FD1">
        <w:t xml:space="preserve">GWPZ </w:t>
      </w:r>
      <w:r w:rsidR="00452199" w:rsidRPr="00601FD1">
        <w:t>of Weyib S</w:t>
      </w:r>
      <w:r w:rsidR="00590661" w:rsidRPr="00601FD1">
        <w:t xml:space="preserve">ub-basin. </w:t>
      </w:r>
      <w:r w:rsidRPr="00601FD1">
        <w:t xml:space="preserve">These techniques are very easy to access and identify groundwater potential of large and inaccessible </w:t>
      </w:r>
      <w:r w:rsidR="00F86C3C" w:rsidRPr="00601FD1">
        <w:t>areas. This</w:t>
      </w:r>
      <w:r w:rsidRPr="00601FD1">
        <w:t xml:space="preserve"> </w:t>
      </w:r>
      <w:r w:rsidR="00F86C3C" w:rsidRPr="00601FD1">
        <w:t>will</w:t>
      </w:r>
      <w:r w:rsidRPr="00601FD1">
        <w:t xml:space="preserve"> </w:t>
      </w:r>
      <w:r w:rsidR="00B50152" w:rsidRPr="00601FD1">
        <w:t>contribute to fill</w:t>
      </w:r>
      <w:r w:rsidRPr="00601FD1">
        <w:t xml:space="preserve"> the gap</w:t>
      </w:r>
      <w:r w:rsidR="00B50152" w:rsidRPr="00601FD1">
        <w:t>s</w:t>
      </w:r>
      <w:r w:rsidRPr="00601FD1">
        <w:t xml:space="preserve"> by replacing uneconomical and time-consuming conventional approaches of groundwater investigation by using GIS and RS techniques.</w:t>
      </w:r>
    </w:p>
    <w:p w:rsidR="00901A0B" w:rsidRPr="00601FD1" w:rsidRDefault="00E43261" w:rsidP="00485BFC">
      <w:pPr>
        <w:pStyle w:val="Heading2"/>
        <w:numPr>
          <w:ilvl w:val="1"/>
          <w:numId w:val="1"/>
        </w:numPr>
        <w:rPr>
          <w:b w:val="0"/>
          <w:szCs w:val="24"/>
        </w:rPr>
      </w:pPr>
      <w:bookmarkStart w:id="67" w:name="_Toc25584892"/>
      <w:bookmarkStart w:id="68" w:name="_Toc68025057"/>
      <w:bookmarkStart w:id="69" w:name="_Toc68761540"/>
      <w:r w:rsidRPr="00601FD1">
        <w:rPr>
          <w:szCs w:val="24"/>
        </w:rPr>
        <w:lastRenderedPageBreak/>
        <w:t xml:space="preserve">Scope </w:t>
      </w:r>
      <w:r w:rsidR="009A75B3">
        <w:rPr>
          <w:szCs w:val="24"/>
        </w:rPr>
        <w:t xml:space="preserve">and limitation </w:t>
      </w:r>
      <w:r w:rsidRPr="00601FD1">
        <w:rPr>
          <w:szCs w:val="24"/>
        </w:rPr>
        <w:t xml:space="preserve">of the </w:t>
      </w:r>
      <w:r w:rsidR="00F77D30" w:rsidRPr="00601FD1">
        <w:rPr>
          <w:szCs w:val="24"/>
        </w:rPr>
        <w:t>Study</w:t>
      </w:r>
      <w:bookmarkEnd w:id="67"/>
      <w:bookmarkEnd w:id="68"/>
      <w:bookmarkEnd w:id="69"/>
    </w:p>
    <w:p w:rsidR="00A64335" w:rsidRDefault="00901A0B" w:rsidP="00C42D6E">
      <w:r w:rsidRPr="00601FD1">
        <w:t>This</w:t>
      </w:r>
      <w:r w:rsidR="00D40749" w:rsidRPr="00601FD1">
        <w:t xml:space="preserve"> study specifically</w:t>
      </w:r>
      <w:r w:rsidR="004D3EF7" w:rsidRPr="00601FD1">
        <w:t xml:space="preserve"> </w:t>
      </w:r>
      <w:r w:rsidR="007A3503" w:rsidRPr="00601FD1">
        <w:t>focuses</w:t>
      </w:r>
      <w:r w:rsidRPr="00601FD1">
        <w:t xml:space="preserve"> on </w:t>
      </w:r>
      <w:r w:rsidR="005D6B2F" w:rsidRPr="00601FD1">
        <w:t>mapping</w:t>
      </w:r>
      <w:r w:rsidRPr="00601FD1">
        <w:t xml:space="preserve"> the </w:t>
      </w:r>
      <w:r w:rsidR="007A3503" w:rsidRPr="00601FD1">
        <w:t xml:space="preserve">groundwater </w:t>
      </w:r>
      <w:r w:rsidRPr="00601FD1">
        <w:t>potential</w:t>
      </w:r>
      <w:r w:rsidR="00157C08" w:rsidRPr="00601FD1">
        <w:t xml:space="preserve"> </w:t>
      </w:r>
      <w:r w:rsidR="005D6B2F" w:rsidRPr="00601FD1">
        <w:t xml:space="preserve">zone </w:t>
      </w:r>
      <w:r w:rsidR="0048782F" w:rsidRPr="00601FD1">
        <w:t xml:space="preserve">of </w:t>
      </w:r>
      <w:r w:rsidR="009C5913" w:rsidRPr="00601FD1">
        <w:t xml:space="preserve">Weyib </w:t>
      </w:r>
      <w:r w:rsidR="00452199" w:rsidRPr="00601FD1">
        <w:t>S</w:t>
      </w:r>
      <w:r w:rsidR="00EF4F3C" w:rsidRPr="00601FD1">
        <w:t>ub-</w:t>
      </w:r>
      <w:r w:rsidR="00B459F8" w:rsidRPr="00601FD1">
        <w:t>basin</w:t>
      </w:r>
      <w:r w:rsidR="00585010">
        <w:t xml:space="preserve">. As it was a qualitative study the recharge and groundwater storage was not quantified. </w:t>
      </w:r>
      <w:r w:rsidRPr="00601FD1">
        <w:t xml:space="preserve">Since the time and resources are limited the </w:t>
      </w:r>
      <w:r w:rsidR="00EA32C7" w:rsidRPr="00601FD1">
        <w:t>study</w:t>
      </w:r>
      <w:r w:rsidRPr="00601FD1">
        <w:t xml:space="preserve"> </w:t>
      </w:r>
      <w:r w:rsidR="00EA32C7" w:rsidRPr="00601FD1">
        <w:t>does not include the</w:t>
      </w:r>
      <w:r w:rsidR="003624DC" w:rsidRPr="00601FD1">
        <w:t xml:space="preserve"> </w:t>
      </w:r>
      <w:r w:rsidR="00633EE8">
        <w:t xml:space="preserve">analysis of groundwater </w:t>
      </w:r>
      <w:r w:rsidR="00EB10D5" w:rsidRPr="00601FD1">
        <w:t>water quality</w:t>
      </w:r>
      <w:r w:rsidR="006052BF">
        <w:t xml:space="preserve"> and the structural design of groundwater conveyance structures</w:t>
      </w:r>
      <w:r w:rsidR="003916B4">
        <w:t xml:space="preserve"> (borehole/dug well </w:t>
      </w:r>
      <w:r w:rsidR="003916B4" w:rsidRPr="003E3CC6">
        <w:t>depth, cross-section etc.)</w:t>
      </w:r>
      <w:r w:rsidR="007704FA" w:rsidRPr="003E3CC6">
        <w:t>,</w:t>
      </w:r>
      <w:r w:rsidR="003624DC" w:rsidRPr="003E3CC6">
        <w:t xml:space="preserve"> rather than mapping every zone in the </w:t>
      </w:r>
      <w:r w:rsidR="00925041" w:rsidRPr="003E3CC6">
        <w:t>sub</w:t>
      </w:r>
      <w:r w:rsidR="00E43261" w:rsidRPr="003E3CC6">
        <w:t>-</w:t>
      </w:r>
      <w:r w:rsidR="00925041" w:rsidRPr="003E3CC6">
        <w:t>basin</w:t>
      </w:r>
      <w:r w:rsidR="003624DC" w:rsidRPr="003E3CC6">
        <w:t xml:space="preserve"> with their respective potential and proposing zones of </w:t>
      </w:r>
      <w:r w:rsidR="009A420B" w:rsidRPr="003E3CC6">
        <w:t>suitable groundwater potential.</w:t>
      </w:r>
      <w:r w:rsidR="00381FFB" w:rsidRPr="003E3CC6">
        <w:t xml:space="preserve"> </w:t>
      </w:r>
      <w:r w:rsidR="001A21F5" w:rsidRPr="003E3CC6">
        <w:t xml:space="preserve">The effect of LU/LC change on </w:t>
      </w:r>
      <w:r w:rsidR="000261C7">
        <w:t xml:space="preserve">groundwater recharge/potential </w:t>
      </w:r>
      <w:r w:rsidR="001A21F5">
        <w:t>and t</w:t>
      </w:r>
      <w:r w:rsidR="001A21F5" w:rsidRPr="003E3CC6">
        <w:t>he</w:t>
      </w:r>
      <w:r w:rsidR="000D351A" w:rsidRPr="003E3CC6">
        <w:t xml:space="preserve"> suitability of </w:t>
      </w:r>
      <w:r w:rsidR="00A77B3E">
        <w:t xml:space="preserve">the </w:t>
      </w:r>
      <w:r w:rsidR="000D351A" w:rsidRPr="003E3CC6">
        <w:t xml:space="preserve">identified GWPZ for irrigation, water supply and other water </w:t>
      </w:r>
      <w:r w:rsidR="000261C7">
        <w:t xml:space="preserve">resources development projects </w:t>
      </w:r>
      <w:r w:rsidR="00F151B2">
        <w:t>were</w:t>
      </w:r>
      <w:r w:rsidR="000261C7" w:rsidRPr="003E3CC6">
        <w:t xml:space="preserve"> not assessed</w:t>
      </w:r>
      <w:r w:rsidR="000261C7">
        <w:t>.</w:t>
      </w:r>
    </w:p>
    <w:p w:rsidR="00A64335" w:rsidRDefault="00A64335" w:rsidP="00C42D6E"/>
    <w:p w:rsidR="00A64335" w:rsidRDefault="00A64335" w:rsidP="00C42D6E"/>
    <w:p w:rsidR="00EB30CE" w:rsidRDefault="00EB30CE" w:rsidP="00C42D6E"/>
    <w:p w:rsidR="00EB30CE" w:rsidRDefault="00EB30CE" w:rsidP="00C42D6E"/>
    <w:p w:rsidR="00EB30CE" w:rsidRDefault="00EB30CE" w:rsidP="00C42D6E"/>
    <w:p w:rsidR="00EB30CE" w:rsidRDefault="00EB30CE" w:rsidP="00C42D6E"/>
    <w:p w:rsidR="003646D3" w:rsidRDefault="003646D3" w:rsidP="00C42D6E"/>
    <w:p w:rsidR="003646D3" w:rsidRDefault="003646D3" w:rsidP="00C42D6E"/>
    <w:p w:rsidR="003646D3" w:rsidRDefault="003646D3" w:rsidP="00C42D6E"/>
    <w:p w:rsidR="003646D3" w:rsidRDefault="003646D3" w:rsidP="00C42D6E"/>
    <w:p w:rsidR="00EB30CE" w:rsidRDefault="00EB30CE" w:rsidP="00C42D6E"/>
    <w:p w:rsidR="00A64335" w:rsidRDefault="00A64335" w:rsidP="00C42D6E"/>
    <w:p w:rsidR="00A64335" w:rsidRDefault="00A64335" w:rsidP="00C42D6E"/>
    <w:p w:rsidR="00A64335" w:rsidRPr="00601FD1" w:rsidRDefault="00A64335" w:rsidP="00C42D6E"/>
    <w:p w:rsidR="00696B8D" w:rsidRPr="002539EA" w:rsidRDefault="006C4D6A" w:rsidP="00D12190">
      <w:pPr>
        <w:pStyle w:val="Heading1"/>
        <w:numPr>
          <w:ilvl w:val="0"/>
          <w:numId w:val="1"/>
        </w:numPr>
        <w:rPr>
          <w:szCs w:val="24"/>
        </w:rPr>
      </w:pPr>
      <w:bookmarkStart w:id="70" w:name="_Toc23171157"/>
      <w:bookmarkStart w:id="71" w:name="_Toc23256441"/>
      <w:bookmarkStart w:id="72" w:name="_Toc68025058"/>
      <w:bookmarkStart w:id="73" w:name="_Toc68761541"/>
      <w:r w:rsidRPr="002539EA">
        <w:rPr>
          <w:szCs w:val="24"/>
        </w:rPr>
        <w:lastRenderedPageBreak/>
        <w:t>LITERATURE REVIEW</w:t>
      </w:r>
      <w:bookmarkEnd w:id="70"/>
      <w:bookmarkEnd w:id="71"/>
      <w:bookmarkEnd w:id="72"/>
      <w:bookmarkEnd w:id="73"/>
    </w:p>
    <w:p w:rsidR="009B5A7E" w:rsidRPr="002539EA" w:rsidRDefault="00924DB3" w:rsidP="003A024A">
      <w:pPr>
        <w:pStyle w:val="Heading2"/>
        <w:numPr>
          <w:ilvl w:val="1"/>
          <w:numId w:val="1"/>
        </w:numPr>
        <w:jc w:val="left"/>
        <w:rPr>
          <w:szCs w:val="24"/>
        </w:rPr>
      </w:pPr>
      <w:bookmarkStart w:id="74" w:name="_Toc68025059"/>
      <w:bookmarkStart w:id="75" w:name="_Toc68761542"/>
      <w:r w:rsidRPr="002539EA">
        <w:rPr>
          <w:szCs w:val="24"/>
        </w:rPr>
        <w:t xml:space="preserve">Groundwater </w:t>
      </w:r>
      <w:r w:rsidR="00F77D30" w:rsidRPr="002539EA">
        <w:rPr>
          <w:szCs w:val="24"/>
        </w:rPr>
        <w:t>Potential Mapping</w:t>
      </w:r>
      <w:bookmarkEnd w:id="74"/>
      <w:bookmarkEnd w:id="75"/>
    </w:p>
    <w:p w:rsidR="009B5A7E" w:rsidRPr="002539EA" w:rsidRDefault="009B5A7E" w:rsidP="003A024A">
      <w:pPr>
        <w:pStyle w:val="Heading3"/>
        <w:numPr>
          <w:ilvl w:val="2"/>
          <w:numId w:val="1"/>
        </w:numPr>
      </w:pPr>
      <w:bookmarkStart w:id="76" w:name="_Toc68025060"/>
      <w:bookmarkStart w:id="77" w:name="_Toc68761543"/>
      <w:r w:rsidRPr="002539EA">
        <w:t xml:space="preserve">Groundwater </w:t>
      </w:r>
      <w:r w:rsidR="00F77D30" w:rsidRPr="002539EA">
        <w:t>Potential</w:t>
      </w:r>
      <w:bookmarkEnd w:id="76"/>
      <w:bookmarkEnd w:id="77"/>
    </w:p>
    <w:p w:rsidR="0008748E" w:rsidRPr="002539EA" w:rsidRDefault="00426D87" w:rsidP="003A024A">
      <w:r w:rsidRPr="002539EA">
        <w:t xml:space="preserve">Groundwater is </w:t>
      </w:r>
      <w:r w:rsidR="00B63BCE" w:rsidRPr="002539EA">
        <w:t xml:space="preserve">the </w:t>
      </w:r>
      <w:r w:rsidRPr="002539EA">
        <w:t>most valuable global r</w:t>
      </w:r>
      <w:r w:rsidR="00B63BCE" w:rsidRPr="002539EA">
        <w:t>esource, comprising 96% of the e</w:t>
      </w:r>
      <w:r w:rsidRPr="002539EA">
        <w:t>arth’s unfrozen freshwater, as well as being the main water source in many water-scarce areas</w:t>
      </w:r>
      <w:r w:rsidR="009E7A85" w:rsidRPr="002539EA">
        <w:t xml:space="preserve"> </w:t>
      </w:r>
      <w:r w:rsidR="00650A04" w:rsidRPr="002539EA">
        <w:fldChar w:fldCharType="begin" w:fldLock="1"/>
      </w:r>
      <w:r w:rsidR="00A309A8" w:rsidRPr="002539EA">
        <w:instrText>ADDIN CSL_CITATION {"citationItems":[{"id":"ITEM-1","itemData":{"author":[{"dropping-particle":"","family":"Kidanu","given":"Kindeya","non-dropping-particle":"","parse-names":false,"suffix":""}],"id":"ITEM-1","issued":{"date-parts":[["2018"]]},"publisher":"Addis Ababa University","title":"Identification of Groundwater potential zone mapping using Remote Sensing and GIS techniques, incase of Inderta district, Ethiopia","type":"thesis"},"uris":["http://www.mendeley.com/documents/?uuid=ef694525-eeef-49eb-b41e-c594d5d81815","http://www.mendeley.com/documents/?uuid=a3b470d3-baa9-419d-9bf7-4738ac8431da"]}],"mendeley":{"formattedCitation":"(Kidanu, 2018)","plainTextFormattedCitation":"(Kidanu, 2018)","previouslyFormattedCitation":"(Kidanu, 2018)"},"properties":{"noteIndex":0},"schema":"https://github.com/citation-style-language/schema/raw/master/csl-citation.json"}</w:instrText>
      </w:r>
      <w:r w:rsidR="00650A04" w:rsidRPr="002539EA">
        <w:fldChar w:fldCharType="separate"/>
      </w:r>
      <w:r w:rsidR="009B0394" w:rsidRPr="002539EA">
        <w:t>(Kidanu, 2018)</w:t>
      </w:r>
      <w:r w:rsidR="00650A04" w:rsidRPr="002539EA">
        <w:fldChar w:fldCharType="end"/>
      </w:r>
      <w:r w:rsidR="009E7A85" w:rsidRPr="002539EA">
        <w:t>.</w:t>
      </w:r>
      <w:r w:rsidR="005607A1" w:rsidRPr="002539EA">
        <w:t xml:space="preserve"> </w:t>
      </w:r>
      <w:r w:rsidR="001F1782" w:rsidRPr="002539EA">
        <w:t xml:space="preserve">It is the only underground water that is available to supply wells and springs, supports wetlands, and maintains land surface stability. </w:t>
      </w:r>
      <w:r w:rsidR="00DA5310" w:rsidRPr="002539EA">
        <w:t xml:space="preserve">About 70% of the world’s population depends on groundwater for basic domestic water services. </w:t>
      </w:r>
      <w:r w:rsidR="00B8368B" w:rsidRPr="002539EA">
        <w:t xml:space="preserve">The spatial distribution of </w:t>
      </w:r>
      <w:r w:rsidR="00E0317D" w:rsidRPr="002539EA">
        <w:t>GWPZ</w:t>
      </w:r>
      <w:r w:rsidR="00B8368B" w:rsidRPr="002539EA">
        <w:t xml:space="preserve"> showed regional </w:t>
      </w:r>
      <w:r w:rsidR="00056815" w:rsidRPr="002539EA">
        <w:t xml:space="preserve">patterns related to </w:t>
      </w:r>
      <w:r w:rsidR="00340B17" w:rsidRPr="002539EA">
        <w:t>geologic, physiographic</w:t>
      </w:r>
      <w:r w:rsidR="00B8368B" w:rsidRPr="002539EA">
        <w:t xml:space="preserve"> and hydrologic characteristics of the area</w:t>
      </w:r>
      <w:r w:rsidR="0008748E" w:rsidRPr="002539EA">
        <w:t xml:space="preserve"> </w:t>
      </w:r>
      <w:r w:rsidR="00650A04" w:rsidRPr="002539EA">
        <w:fldChar w:fldCharType="begin" w:fldLock="1"/>
      </w:r>
      <w:r w:rsidR="00A309A8" w:rsidRPr="002539EA">
        <w:instrText>ADDIN CSL_CITATION {"citationItems":[{"id":"ITEM-1","itemData":{"author":[{"dropping-particle":"","family":"Mamo","given":"Abiy Getachow","non-dropping-particle":"","parse-names":false,"suffix":""}],"id":"ITEM-1","issued":{"date-parts":[["2007"]]},"publisher":"Addis Abeba University","title":"Integration of Remote Sensing and GIS for groundwater resources assessment in Moyale-Teltele sub-basin, South Ethiopia","type":"thesis"},"uris":["http://www.mendeley.com/documents/?uuid=a4612bda-b9ad-4651-b243-8cc550d350e5","http://www.mendeley.com/documents/?uuid=b21e7646-ce00-4c8e-98e5-626eb5fe2344"]}],"mendeley":{"formattedCitation":"(Mamo, 2007)","plainTextFormattedCitation":"(Mamo, 2007)","previouslyFormattedCitation":"(Mamo, 2007)"},"properties":{"noteIndex":0},"schema":"https://github.com/citation-style-language/schema/raw/master/csl-citation.json"}</w:instrText>
      </w:r>
      <w:r w:rsidR="00650A04" w:rsidRPr="002539EA">
        <w:fldChar w:fldCharType="separate"/>
      </w:r>
      <w:r w:rsidR="00E539F2" w:rsidRPr="002539EA">
        <w:t>(Mamo, 2007)</w:t>
      </w:r>
      <w:r w:rsidR="00650A04" w:rsidRPr="002539EA">
        <w:fldChar w:fldCharType="end"/>
      </w:r>
      <w:r w:rsidR="009B7920" w:rsidRPr="002539EA">
        <w:rPr>
          <w:bCs/>
        </w:rPr>
        <w:t>.</w:t>
      </w:r>
    </w:p>
    <w:p w:rsidR="00F210CA" w:rsidRPr="002539EA" w:rsidRDefault="00F210CA" w:rsidP="003A024A">
      <w:pPr>
        <w:pStyle w:val="Heading3"/>
        <w:numPr>
          <w:ilvl w:val="2"/>
          <w:numId w:val="1"/>
        </w:numPr>
      </w:pPr>
      <w:bookmarkStart w:id="78" w:name="_Toc68025061"/>
      <w:bookmarkStart w:id="79" w:name="_Toc68761544"/>
      <w:r w:rsidRPr="002539EA">
        <w:t xml:space="preserve">Groundwater </w:t>
      </w:r>
      <w:r w:rsidR="00F77D30" w:rsidRPr="002539EA">
        <w:t xml:space="preserve">Potential </w:t>
      </w:r>
      <w:r w:rsidR="00AF2E39" w:rsidRPr="002539EA">
        <w:t xml:space="preserve">of </w:t>
      </w:r>
      <w:r w:rsidR="00F77D30" w:rsidRPr="002539EA">
        <w:t>Ethiopia</w:t>
      </w:r>
      <w:bookmarkEnd w:id="78"/>
      <w:bookmarkEnd w:id="79"/>
    </w:p>
    <w:p w:rsidR="008F0769" w:rsidRPr="002539EA" w:rsidRDefault="00B8368B" w:rsidP="003A024A">
      <w:r w:rsidRPr="002539EA">
        <w:t>Ethiopia is often referred</w:t>
      </w:r>
      <w:r w:rsidR="003E0ED6" w:rsidRPr="002539EA">
        <w:t xml:space="preserve"> to</w:t>
      </w:r>
      <w:r w:rsidRPr="002539EA">
        <w:t xml:space="preserve"> as the "rooftop of Africa" because its extensive highlands capture a major portion of the precipitation that falls on the continent</w:t>
      </w:r>
      <w:r w:rsidR="00C0050A" w:rsidRPr="002539EA">
        <w:t xml:space="preserve"> </w:t>
      </w:r>
      <w:r w:rsidR="00650A04" w:rsidRPr="002539EA">
        <w:rPr>
          <w:rStyle w:val="FootnoteReference"/>
        </w:rPr>
        <w:fldChar w:fldCharType="begin" w:fldLock="1"/>
      </w:r>
      <w:r w:rsidR="00A309A8" w:rsidRPr="002539EA">
        <w:instrText>ADDIN CSL_CITATION {"citationItems":[{"id":"ITEM-1","itemData":{"author":[{"dropping-particle":"","family":"Mamo","given":"Abiy Getachow","non-dropping-particle":"","parse-names":false,"suffix":""}],"id":"ITEM-1","issued":{"date-parts":[["2007"]]},"publisher":"Addis Abeba University","title":"Integration of Remote Sensing and GIS for groundwater resources assessment in Moyale-Teltele sub-basin, South Ethiopia","type":"thesis"},"uris":["http://www.mendeley.com/documents/?uuid=a4612bda-b9ad-4651-b243-8cc550d350e5","http://www.mendeley.com/documents/?uuid=b21e7646-ce00-4c8e-98e5-626eb5fe2344"]}],"mendeley":{"formattedCitation":"(Mamo, 2007)","plainTextFormattedCitation":"(Mamo, 2007)","previouslyFormattedCitation":"(Mamo, 2007)"},"properties":{"noteIndex":0},"schema":"https://github.com/citation-style-language/schema/raw/master/csl-citation.json"}</w:instrText>
      </w:r>
      <w:r w:rsidR="00650A04" w:rsidRPr="002539EA">
        <w:rPr>
          <w:rStyle w:val="FootnoteReference"/>
        </w:rPr>
        <w:fldChar w:fldCharType="separate"/>
      </w:r>
      <w:r w:rsidR="00E539F2" w:rsidRPr="002539EA">
        <w:rPr>
          <w:noProof/>
        </w:rPr>
        <w:t>(Mamo, 2007)</w:t>
      </w:r>
      <w:r w:rsidR="00650A04" w:rsidRPr="002539EA">
        <w:rPr>
          <w:rStyle w:val="FootnoteReference"/>
        </w:rPr>
        <w:fldChar w:fldCharType="end"/>
      </w:r>
      <w:r w:rsidR="00C0050A" w:rsidRPr="002539EA">
        <w:t>.</w:t>
      </w:r>
      <w:r w:rsidR="00B03F6A" w:rsidRPr="002539EA">
        <w:t xml:space="preserve"> </w:t>
      </w:r>
      <w:r w:rsidR="000D3F0C" w:rsidRPr="002539EA">
        <w:t>The</w:t>
      </w:r>
      <w:r w:rsidR="00347C39" w:rsidRPr="002539EA">
        <w:t xml:space="preserve"> </w:t>
      </w:r>
      <w:r w:rsidR="000D3F0C" w:rsidRPr="002539EA">
        <w:t xml:space="preserve">geology </w:t>
      </w:r>
      <w:r w:rsidR="00347C39" w:rsidRPr="002539EA">
        <w:t xml:space="preserve">and </w:t>
      </w:r>
      <w:r w:rsidR="000D3F0C" w:rsidRPr="002539EA">
        <w:t>environmental condition</w:t>
      </w:r>
      <w:r w:rsidR="00347C39" w:rsidRPr="002539EA">
        <w:t xml:space="preserve"> </w:t>
      </w:r>
      <w:r w:rsidR="000D3F0C" w:rsidRPr="002539EA">
        <w:t>of the country which</w:t>
      </w:r>
      <w:r w:rsidR="00347C39" w:rsidRPr="002539EA">
        <w:t xml:space="preserve"> </w:t>
      </w:r>
      <w:r w:rsidR="002B4A73" w:rsidRPr="002539EA">
        <w:t>shaped by complex geologic</w:t>
      </w:r>
      <w:r w:rsidR="000070D5" w:rsidRPr="002539EA">
        <w:t xml:space="preserve">al formations, </w:t>
      </w:r>
      <w:r w:rsidR="002B4A73" w:rsidRPr="002539EA">
        <w:t>diversity of the topography, climate</w:t>
      </w:r>
      <w:r w:rsidR="003E0ED6" w:rsidRPr="002539EA">
        <w:t xml:space="preserve"> and soil</w:t>
      </w:r>
      <w:r w:rsidR="000D3F0C" w:rsidRPr="002539EA">
        <w:t xml:space="preserve"> cause</w:t>
      </w:r>
      <w:r w:rsidR="008E5884" w:rsidRPr="002539EA">
        <w:t>s</w:t>
      </w:r>
      <w:r w:rsidR="000D3F0C" w:rsidRPr="002539EA">
        <w:t xml:space="preserve"> </w:t>
      </w:r>
      <w:r w:rsidR="008E5884" w:rsidRPr="002539EA">
        <w:t>spatial variability</w:t>
      </w:r>
      <w:r w:rsidR="000D3F0C" w:rsidRPr="002539EA">
        <w:t xml:space="preserve"> of </w:t>
      </w:r>
      <w:r w:rsidR="00FD2532" w:rsidRPr="002539EA">
        <w:t>GWPZ</w:t>
      </w:r>
      <w:r w:rsidR="003E0ED6" w:rsidRPr="002539EA">
        <w:t>. T</w:t>
      </w:r>
      <w:r w:rsidR="002B4A73" w:rsidRPr="002539EA">
        <w:t xml:space="preserve">he geology of the country provides usable groundwater </w:t>
      </w:r>
      <w:r w:rsidR="00E37317" w:rsidRPr="002539EA">
        <w:t>resources</w:t>
      </w:r>
      <w:r w:rsidR="00C42D6E" w:rsidRPr="002539EA">
        <w:t>.</w:t>
      </w:r>
      <w:r w:rsidR="00E37317" w:rsidRPr="002539EA">
        <w:t xml:space="preserve"> </w:t>
      </w:r>
      <w:r w:rsidR="002B4A73" w:rsidRPr="002539EA">
        <w:t>In many parts of the country</w:t>
      </w:r>
      <w:r w:rsidR="003E0ED6" w:rsidRPr="002539EA">
        <w:t>,</w:t>
      </w:r>
      <w:r w:rsidR="002B4A73" w:rsidRPr="002539EA">
        <w:t xml:space="preserve"> groundwater is an important source of domestic and industrial water use</w:t>
      </w:r>
      <w:r w:rsidR="00D84069" w:rsidRPr="002539EA">
        <w:t xml:space="preserve"> </w:t>
      </w:r>
      <w:r w:rsidR="00650A04" w:rsidRPr="002539EA">
        <w:rPr>
          <w:rStyle w:val="FootnoteReference"/>
        </w:rPr>
        <w:fldChar w:fldCharType="begin" w:fldLock="1"/>
      </w:r>
      <w:r w:rsidR="00A309A8" w:rsidRPr="002539EA">
        <w:instrText>ADDIN CSL_CITATION {"citationItems":[{"id":"ITEM-1","itemData":{"author":[{"dropping-particle":"","family":"Seifu K","given":"","non-dropping-particle":"","parse-names":false,"suffix":""}],"id":"ITEM-1","issued":{"date-parts":[["2006"]]},"number-of-pages":"1-91","publisher":"Addis Abeba University Press","publisher-place":"Addis Abeba","title":"Groundwater occurrence in Ethiopia","type":"book"},"uris":["http://www.mendeley.com/documents/?uuid=a4cb3eb4-1017-44f4-a387-c63b570d9da7","http://www.mendeley.com/documents/?uuid=badc7660-6e71-41d2-8cc1-df9619ab825c"]}],"mendeley":{"formattedCitation":"(Seifu K, 2006)","manualFormatting":"(Alemayehu, 2006)","plainTextFormattedCitation":"(Seifu K, 2006)","previouslyFormattedCitation":"(Seifu K, 2006)"},"properties":{"noteIndex":0},"schema":"https://github.com/citation-style-language/schema/raw/master/csl-citation.json"}</w:instrText>
      </w:r>
      <w:r w:rsidR="00650A04" w:rsidRPr="002539EA">
        <w:rPr>
          <w:rStyle w:val="FootnoteReference"/>
        </w:rPr>
        <w:fldChar w:fldCharType="separate"/>
      </w:r>
      <w:r w:rsidR="00D72AAE" w:rsidRPr="002539EA">
        <w:rPr>
          <w:noProof/>
        </w:rPr>
        <w:t>(</w:t>
      </w:r>
      <w:r w:rsidR="00ED33BC" w:rsidRPr="002539EA">
        <w:rPr>
          <w:noProof/>
        </w:rPr>
        <w:t>Alemayehu, 2006)</w:t>
      </w:r>
      <w:r w:rsidR="00650A04" w:rsidRPr="002539EA">
        <w:rPr>
          <w:rStyle w:val="FootnoteReference"/>
        </w:rPr>
        <w:fldChar w:fldCharType="end"/>
      </w:r>
      <w:r w:rsidR="00E37317" w:rsidRPr="002539EA">
        <w:t xml:space="preserve">. </w:t>
      </w:r>
      <w:r w:rsidR="00214499" w:rsidRPr="002539EA">
        <w:t xml:space="preserve">Groundwater resource in Ethiopia </w:t>
      </w:r>
      <w:r w:rsidR="000070D5" w:rsidRPr="002539EA">
        <w:t>was</w:t>
      </w:r>
      <w:r w:rsidR="00214499" w:rsidRPr="002539EA">
        <w:t xml:space="preserve"> estimated by different researcher</w:t>
      </w:r>
      <w:r w:rsidR="000B3D14" w:rsidRPr="002539EA">
        <w:t>s</w:t>
      </w:r>
      <w:r w:rsidR="00214499" w:rsidRPr="002539EA">
        <w:t xml:space="preserve"> and organizations</w:t>
      </w:r>
      <w:r w:rsidR="00937742" w:rsidRPr="002539EA">
        <w:t xml:space="preserve">. </w:t>
      </w:r>
      <w:r w:rsidR="006F340F" w:rsidRPr="002539EA">
        <w:t>However,</w:t>
      </w:r>
      <w:r w:rsidR="00937742" w:rsidRPr="002539EA">
        <w:t xml:space="preserve"> the </w:t>
      </w:r>
      <w:r w:rsidR="00214499" w:rsidRPr="002539EA">
        <w:t>estimated</w:t>
      </w:r>
      <w:r w:rsidR="00FE057A" w:rsidRPr="002539EA">
        <w:t xml:space="preserve"> values differ from each other. </w:t>
      </w:r>
    </w:p>
    <w:p w:rsidR="00EE44B1" w:rsidRPr="002539EA" w:rsidRDefault="008F0769" w:rsidP="003A024A">
      <w:r w:rsidRPr="002539EA">
        <w:t xml:space="preserve">The </w:t>
      </w:r>
      <w:r w:rsidR="00214499" w:rsidRPr="002539EA">
        <w:t>MoWR w</w:t>
      </w:r>
      <w:r w:rsidR="00091DBF" w:rsidRPr="002539EA">
        <w:t xml:space="preserve">ater sector development program </w:t>
      </w:r>
      <w:r w:rsidR="00FC78A6" w:rsidRPr="002539EA">
        <w:t xml:space="preserve">main report </w:t>
      </w:r>
      <w:r w:rsidR="000B3D14" w:rsidRPr="002539EA">
        <w:t>v</w:t>
      </w:r>
      <w:r w:rsidR="00214499" w:rsidRPr="002539EA">
        <w:t xml:space="preserve">olume II (2002) estimated </w:t>
      </w:r>
      <w:r w:rsidR="00FE057A" w:rsidRPr="002539EA">
        <w:t xml:space="preserve">the country groundwater resource of </w:t>
      </w:r>
      <w:r w:rsidR="00214499" w:rsidRPr="002539EA">
        <w:t xml:space="preserve">2.6 </w:t>
      </w:r>
      <w:r w:rsidR="003E0ED6" w:rsidRPr="002539EA">
        <w:t>BCM. A p</w:t>
      </w:r>
      <w:r w:rsidR="00BA7674" w:rsidRPr="002539EA">
        <w:t xml:space="preserve">revious study by Makombe et </w:t>
      </w:r>
      <w:r w:rsidR="00FC78A6" w:rsidRPr="002539EA">
        <w:t>al</w:t>
      </w:r>
      <w:r w:rsidR="00BA7674" w:rsidRPr="002539EA">
        <w:t>.</w:t>
      </w:r>
      <w:r w:rsidR="00FC78A6" w:rsidRPr="002539EA">
        <w:t xml:space="preserve"> (2011) estimated 2.86 </w:t>
      </w:r>
      <w:r w:rsidR="005A10C6" w:rsidRPr="002539EA">
        <w:t>B</w:t>
      </w:r>
      <w:r w:rsidR="00FC78A6" w:rsidRPr="002539EA">
        <w:t>C</w:t>
      </w:r>
      <w:r w:rsidR="005A10C6" w:rsidRPr="002539EA">
        <w:t>M</w:t>
      </w:r>
      <w:r w:rsidR="00FC78A6" w:rsidRPr="002539EA">
        <w:rPr>
          <w:vertAlign w:val="superscript"/>
        </w:rPr>
        <w:t xml:space="preserve"> </w:t>
      </w:r>
      <w:r w:rsidR="00FC78A6" w:rsidRPr="002539EA">
        <w:t>of groundwater potential. L</w:t>
      </w:r>
      <w:r w:rsidR="00214499" w:rsidRPr="002539EA">
        <w:t xml:space="preserve">ater revised </w:t>
      </w:r>
      <w:r w:rsidR="00056003" w:rsidRPr="002539EA">
        <w:t>by Seleshi et al. (2007)</w:t>
      </w:r>
      <w:r w:rsidR="006F65FF" w:rsidRPr="002539EA">
        <w:t>,</w:t>
      </w:r>
      <w:r w:rsidR="00056003" w:rsidRPr="002539EA">
        <w:t xml:space="preserve"> </w:t>
      </w:r>
      <w:r w:rsidR="00214499" w:rsidRPr="002539EA">
        <w:t xml:space="preserve">it to be about 28 </w:t>
      </w:r>
      <w:r w:rsidR="00EA199B" w:rsidRPr="002539EA">
        <w:t>BCM</w:t>
      </w:r>
      <w:r w:rsidR="00056003" w:rsidRPr="002539EA">
        <w:t xml:space="preserve"> </w:t>
      </w:r>
      <w:r w:rsidR="00214499" w:rsidRPr="002539EA">
        <w:t xml:space="preserve">and other </w:t>
      </w:r>
      <w:r w:rsidR="00795F40" w:rsidRPr="002539EA">
        <w:t>study</w:t>
      </w:r>
      <w:r w:rsidR="00214499" w:rsidRPr="002539EA">
        <w:t xml:space="preserve"> have estimated it to be above 28 </w:t>
      </w:r>
      <w:r w:rsidR="00123BE3" w:rsidRPr="002539EA">
        <w:t xml:space="preserve">BCM </w:t>
      </w:r>
      <w:r w:rsidR="00CA1AA0" w:rsidRPr="002539EA">
        <w:fldChar w:fldCharType="begin" w:fldLock="1"/>
      </w:r>
      <w:r w:rsidR="00A309A8" w:rsidRPr="002539EA">
        <w:instrText>ADDIN CSL_CITATION {"citationItems":[{"id":"ITEM-1","itemData":{"author":[{"dropping-particle":"","family":"Seifu","given":"K.","non-dropping-particle":"","parse-names":false,"suffix":""}],"id":"ITEM-1","issued":{"date-parts":[["2012"]]},"title":"Groundwater in Ethiopia current state and development outlook.","type":"article-journal"},"uris":["http://www.mendeley.com/documents/?uuid=1e3d53c7-5a3b-4a49-9678-91e11eb11fc8","http://www.mendeley.com/documents/?uuid=68117179-989c-4440-928f-87886e4e7bbb"]}],"mendeley":{"formattedCitation":"(Seifu, 2012)","plainTextFormattedCitation":"(Seifu, 2012)","previouslyFormattedCitation":"(Seifu, 2012)"},"properties":{"noteIndex":0},"schema":"https://github.com/citation-style-language/schema/raw/master/csl-citation.json"}</w:instrText>
      </w:r>
      <w:r w:rsidR="00CA1AA0" w:rsidRPr="002539EA">
        <w:fldChar w:fldCharType="separate"/>
      </w:r>
      <w:r w:rsidR="00CA1AA0" w:rsidRPr="002539EA">
        <w:rPr>
          <w:noProof/>
        </w:rPr>
        <w:t>(Seifu, 2012)</w:t>
      </w:r>
      <w:r w:rsidR="00CA1AA0" w:rsidRPr="002539EA">
        <w:fldChar w:fldCharType="end"/>
      </w:r>
      <w:r w:rsidR="00CA1AA0" w:rsidRPr="002539EA">
        <w:t xml:space="preserve">. </w:t>
      </w:r>
      <w:r w:rsidR="007913B3" w:rsidRPr="002539EA">
        <w:t xml:space="preserve">At present, detailed groundwater assessments in several areas indicate that the estimated groundwater potential of </w:t>
      </w:r>
      <w:r w:rsidR="006112A0" w:rsidRPr="002539EA">
        <w:t xml:space="preserve">2.6 BCM by MoWR or </w:t>
      </w:r>
      <w:r w:rsidR="007913B3" w:rsidRPr="002539EA">
        <w:t xml:space="preserve">2.86 BCM </w:t>
      </w:r>
      <w:r w:rsidR="00BA7674" w:rsidRPr="002539EA">
        <w:t xml:space="preserve">by Makombe et </w:t>
      </w:r>
      <w:r w:rsidR="006112A0" w:rsidRPr="002539EA">
        <w:t>al</w:t>
      </w:r>
      <w:r w:rsidR="00BA7674" w:rsidRPr="002539EA">
        <w:t>.</w:t>
      </w:r>
      <w:r w:rsidR="006112A0" w:rsidRPr="002539EA">
        <w:t xml:space="preserve"> (2011) </w:t>
      </w:r>
      <w:r w:rsidR="00B83ED1" w:rsidRPr="002539EA">
        <w:t>was underestimated, a</w:t>
      </w:r>
      <w:r w:rsidR="007913B3" w:rsidRPr="002539EA">
        <w:t>nd it needs to be revised. Best guesses in this respect range between 12 and 30 BCM, or even more if all aquifers in the lowlands are assessed</w:t>
      </w:r>
      <w:r w:rsidR="00B62446" w:rsidRPr="002539EA">
        <w:t xml:space="preserve"> </w:t>
      </w:r>
      <w:r w:rsidR="00B62446" w:rsidRPr="002539EA">
        <w:fldChar w:fldCharType="begin" w:fldLock="1"/>
      </w:r>
      <w:r w:rsidR="00A309A8" w:rsidRPr="002539EA">
        <w:instrText>ADDIN CSL_CITATION {"citationItems":[{"id":"ITEM-1","itemData":{"author":[{"dropping-particle":"","family":"MoWR and GWMATE","given":"","non-dropping-particle":"","parse-names":false,"suffix":""}],"id":"ITEM-1","issued":{"date-parts":[["2011"]]},"page":"2-7","publisher-place":"Addis Ababa, Ethiopia","title":"Ethiopia: strategic framework for managed groundwater development","type":"article-journal"},"uris":["http://www.mendeley.com/documents/?uuid=d1acf7fc-4f69-4380-93e5-68f118ff1428","http://www.mendeley.com/documents/?uuid=a1d1cfdc-ab41-445c-b194-e2ff46206071"]}],"mendeley":{"formattedCitation":"(MoWR and GWMATE, 2011)","plainTextFormattedCitation":"(MoWR and GWMATE, 2011)","previouslyFormattedCitation":"(MoWR and GWMATE, 2011)"},"properties":{"noteIndex":0},"schema":"https://github.com/citation-style-language/schema/raw/master/csl-citation.json"}</w:instrText>
      </w:r>
      <w:r w:rsidR="00B62446" w:rsidRPr="002539EA">
        <w:fldChar w:fldCharType="separate"/>
      </w:r>
      <w:r w:rsidR="000C68BE" w:rsidRPr="002539EA">
        <w:rPr>
          <w:noProof/>
        </w:rPr>
        <w:t>(MoWR and GWMATE, 2011)</w:t>
      </w:r>
      <w:r w:rsidR="00B62446" w:rsidRPr="002539EA">
        <w:fldChar w:fldCharType="end"/>
      </w:r>
      <w:r w:rsidR="00CB6455" w:rsidRPr="002539EA">
        <w:t xml:space="preserve">. </w:t>
      </w:r>
    </w:p>
    <w:p w:rsidR="00EE44B1" w:rsidRPr="002539EA" w:rsidRDefault="00425E35" w:rsidP="00425E35">
      <w:pPr>
        <w:tabs>
          <w:tab w:val="left" w:pos="3719"/>
        </w:tabs>
      </w:pPr>
      <w:r w:rsidRPr="002539EA">
        <w:tab/>
      </w:r>
    </w:p>
    <w:p w:rsidR="000215C6" w:rsidRPr="002539EA" w:rsidRDefault="003E0ED6" w:rsidP="003A024A">
      <w:r w:rsidRPr="002539EA">
        <w:rPr>
          <w:bCs/>
        </w:rPr>
        <w:lastRenderedPageBreak/>
        <w:t>The s</w:t>
      </w:r>
      <w:r w:rsidR="00765E62" w:rsidRPr="002539EA">
        <w:rPr>
          <w:bCs/>
        </w:rPr>
        <w:t>tudy condu</w:t>
      </w:r>
      <w:r w:rsidR="002968F8" w:rsidRPr="002539EA">
        <w:rPr>
          <w:bCs/>
        </w:rPr>
        <w:t>cted by</w:t>
      </w:r>
      <w:r w:rsidR="00694DE5" w:rsidRPr="002539EA">
        <w:rPr>
          <w:bCs/>
        </w:rPr>
        <w:t xml:space="preserve"> Belete</w:t>
      </w:r>
      <w:r w:rsidR="002968F8" w:rsidRPr="002539EA">
        <w:rPr>
          <w:bCs/>
        </w:rPr>
        <w:t xml:space="preserve"> </w:t>
      </w:r>
      <w:r w:rsidR="0070663B" w:rsidRPr="002539EA">
        <w:rPr>
          <w:bCs/>
        </w:rPr>
        <w:t xml:space="preserve">et </w:t>
      </w:r>
      <w:r w:rsidR="000105B7" w:rsidRPr="002539EA">
        <w:rPr>
          <w:bCs/>
        </w:rPr>
        <w:t>al</w:t>
      </w:r>
      <w:r w:rsidR="003A6C4B" w:rsidRPr="002539EA">
        <w:rPr>
          <w:bCs/>
        </w:rPr>
        <w:t>.</w:t>
      </w:r>
      <w:r w:rsidR="000105B7" w:rsidRPr="002539EA">
        <w:rPr>
          <w:bCs/>
        </w:rPr>
        <w:t xml:space="preserve"> </w:t>
      </w:r>
      <w:r w:rsidR="00694DE5" w:rsidRPr="002539EA">
        <w:rPr>
          <w:bCs/>
        </w:rPr>
        <w:t>(2014)</w:t>
      </w:r>
      <w:r w:rsidR="0070663B" w:rsidRPr="002539EA">
        <w:rPr>
          <w:bCs/>
        </w:rPr>
        <w:t xml:space="preserve"> </w:t>
      </w:r>
      <w:r w:rsidR="002968F8" w:rsidRPr="002539EA">
        <w:rPr>
          <w:bCs/>
        </w:rPr>
        <w:t>review</w:t>
      </w:r>
      <w:r w:rsidRPr="002539EA">
        <w:rPr>
          <w:bCs/>
        </w:rPr>
        <w:t>s</w:t>
      </w:r>
      <w:r w:rsidR="002968F8" w:rsidRPr="002539EA">
        <w:rPr>
          <w:bCs/>
        </w:rPr>
        <w:t xml:space="preserve"> the </w:t>
      </w:r>
      <w:r w:rsidR="00856A03" w:rsidRPr="002539EA">
        <w:rPr>
          <w:bCs/>
        </w:rPr>
        <w:t xml:space="preserve">surface </w:t>
      </w:r>
      <w:r w:rsidR="002968F8" w:rsidRPr="002539EA">
        <w:rPr>
          <w:bCs/>
        </w:rPr>
        <w:t xml:space="preserve">and groundwater resources </w:t>
      </w:r>
      <w:r w:rsidR="00856A03" w:rsidRPr="002539EA">
        <w:rPr>
          <w:bCs/>
        </w:rPr>
        <w:t xml:space="preserve">potential of </w:t>
      </w:r>
      <w:r w:rsidR="002968F8" w:rsidRPr="002539EA">
        <w:rPr>
          <w:bCs/>
        </w:rPr>
        <w:t>Ethiopia</w:t>
      </w:r>
      <w:r w:rsidR="00B46525" w:rsidRPr="002539EA">
        <w:rPr>
          <w:bCs/>
        </w:rPr>
        <w:t xml:space="preserve">. </w:t>
      </w:r>
      <w:r w:rsidR="00856A03" w:rsidRPr="002539EA">
        <w:rPr>
          <w:bCs/>
        </w:rPr>
        <w:t xml:space="preserve">The study </w:t>
      </w:r>
      <w:r w:rsidR="00077BB4" w:rsidRPr="002539EA">
        <w:rPr>
          <w:bCs/>
        </w:rPr>
        <w:t>estimates</w:t>
      </w:r>
      <w:r w:rsidR="00856A03" w:rsidRPr="002539EA">
        <w:rPr>
          <w:bCs/>
        </w:rPr>
        <w:t xml:space="preserve"> the country</w:t>
      </w:r>
      <w:r w:rsidRPr="002539EA">
        <w:rPr>
          <w:bCs/>
        </w:rPr>
        <w:t>’s</w:t>
      </w:r>
      <w:r w:rsidR="00856A03" w:rsidRPr="002539EA">
        <w:rPr>
          <w:bCs/>
        </w:rPr>
        <w:t xml:space="preserve"> </w:t>
      </w:r>
      <w:r w:rsidR="00980024" w:rsidRPr="002539EA">
        <w:rPr>
          <w:bCs/>
        </w:rPr>
        <w:t>ground</w:t>
      </w:r>
      <w:r w:rsidR="00856A03" w:rsidRPr="002539EA">
        <w:rPr>
          <w:bCs/>
        </w:rPr>
        <w:t>water potential of about 30 BCM</w:t>
      </w:r>
      <w:r w:rsidR="00AB5924" w:rsidRPr="002539EA">
        <w:rPr>
          <w:bCs/>
        </w:rPr>
        <w:t>.</w:t>
      </w:r>
      <w:r w:rsidR="00EE44B1" w:rsidRPr="002539EA">
        <w:rPr>
          <w:bCs/>
        </w:rPr>
        <w:t xml:space="preserve"> </w:t>
      </w:r>
      <w:r w:rsidR="00837D34" w:rsidRPr="002539EA">
        <w:t xml:space="preserve">With the understanding of the nature of the distribution of rocks and the recharge classification of the country, </w:t>
      </w:r>
      <w:r w:rsidR="00F33357" w:rsidRPr="002539EA">
        <w:rPr>
          <w:noProof/>
        </w:rPr>
        <w:t xml:space="preserve">Alemayehu (2006) </w:t>
      </w:r>
      <w:r w:rsidR="00837D34" w:rsidRPr="002539EA">
        <w:t>estimated the total groundwater re</w:t>
      </w:r>
      <w:r w:rsidR="002C38C1" w:rsidRPr="002539EA">
        <w:t>serve of the country as 185 BCM. It was</w:t>
      </w:r>
      <w:r w:rsidR="00837D34" w:rsidRPr="002539EA">
        <w:t xml:space="preserve"> distributed </w:t>
      </w:r>
      <w:r w:rsidR="002C38C1" w:rsidRPr="002539EA">
        <w:t>over</w:t>
      </w:r>
      <w:r w:rsidR="00837D34" w:rsidRPr="002539EA">
        <w:t xml:space="preserve"> an area of 924,140 km</w:t>
      </w:r>
      <w:r w:rsidR="00837D34" w:rsidRPr="002539EA">
        <w:rPr>
          <w:vertAlign w:val="superscript"/>
        </w:rPr>
        <w:t xml:space="preserve">2 </w:t>
      </w:r>
      <w:r w:rsidR="007B5929" w:rsidRPr="002539EA">
        <w:t>made of s</w:t>
      </w:r>
      <w:r w:rsidR="009F41F7" w:rsidRPr="002539EA">
        <w:t>edimentary, volcanic</w:t>
      </w:r>
      <w:r w:rsidR="00E86177" w:rsidRPr="002539EA">
        <w:t xml:space="preserve"> and q</w:t>
      </w:r>
      <w:r w:rsidR="00837D34" w:rsidRPr="002539EA">
        <w:t xml:space="preserve">uaternary rocks and sediments, including the highlands and the </w:t>
      </w:r>
      <w:r w:rsidR="0072734E" w:rsidRPr="002539EA">
        <w:t>Rift valley</w:t>
      </w:r>
      <w:r w:rsidR="00837D34" w:rsidRPr="002539EA">
        <w:t>.</w:t>
      </w:r>
      <w:r w:rsidR="00B268A8" w:rsidRPr="002539EA">
        <w:t xml:space="preserve"> </w:t>
      </w:r>
      <w:r w:rsidR="0037343E" w:rsidRPr="002539EA">
        <w:t xml:space="preserve">The </w:t>
      </w:r>
      <w:r w:rsidR="00B37F1C" w:rsidRPr="002539EA">
        <w:t xml:space="preserve">groundwater potential of </w:t>
      </w:r>
      <w:r w:rsidRPr="002539EA">
        <w:t xml:space="preserve">the </w:t>
      </w:r>
      <w:r w:rsidR="00F627C7" w:rsidRPr="002539EA">
        <w:t>Genale-Dawa R</w:t>
      </w:r>
      <w:r w:rsidR="00B37F1C" w:rsidRPr="002539EA">
        <w:t>iver basin alone is</w:t>
      </w:r>
      <w:r w:rsidR="00B37F1C" w:rsidRPr="002539EA">
        <w:rPr>
          <w:vertAlign w:val="superscript"/>
        </w:rPr>
        <w:t xml:space="preserve"> </w:t>
      </w:r>
      <w:r w:rsidR="00B37F1C" w:rsidRPr="002539EA">
        <w:t xml:space="preserve">estimated to </w:t>
      </w:r>
      <w:r w:rsidR="003267FD" w:rsidRPr="002539EA">
        <w:t xml:space="preserve">have </w:t>
      </w:r>
      <w:r w:rsidRPr="002539EA">
        <w:t>a</w:t>
      </w:r>
      <w:r w:rsidR="003267FD" w:rsidRPr="002539EA">
        <w:t xml:space="preserve"> groundwater reserve </w:t>
      </w:r>
      <w:r w:rsidR="00973AF1" w:rsidRPr="002539EA">
        <w:t>of 2.78 BCM</w:t>
      </w:r>
      <w:r w:rsidR="00606CA5" w:rsidRPr="002539EA">
        <w:t xml:space="preserve"> </w:t>
      </w:r>
      <w:r w:rsidR="00650A04" w:rsidRPr="002539EA">
        <w:rPr>
          <w:rStyle w:val="FootnoteReference"/>
        </w:rPr>
        <w:fldChar w:fldCharType="begin" w:fldLock="1"/>
      </w:r>
      <w:r w:rsidR="00A309A8" w:rsidRPr="002539EA">
        <w:instrText>ADDIN CSL_CITATION {"citationItems":[{"id":"ITEM-1","itemData":{"DOI":"10.4236/ojmh.2018.84010","ISSN":"2163-0461","abstract":"Genale-Dawa River Basin is one of the largest and most drought prone regions in Ethiopia. As a result a search for alternative source of water has always been a major issue in the region. This study therefore, aims at characterizing and evaluating the ground water potential resource of the river basin. The delineation and numerical discretization of the river basin were primarily done for the proper development of the problem domain. And the groundwater governing equation was solved at individual nodal points of the discretized region using a 3-D numerical ground water model called TAGSAC. This resulted in monthly average groundwater table fluctuation and replenishable ground water potential estimation. Hydrogeological classification was also done based on hydraulic conductivity values obtained from model calibration.","author":[{"dropping-particle":"","family":"Kassahun","given":"Nebiyou","non-dropping-particle":"","parse-names":false,"suffix":""},{"dropping-particle":"","family":"Mohamed","given":"Mebruk","non-dropping-particle":"","parse-names":false,"suffix":""}],"container-title":"Open Journal of Modern Hydrology","id":"ITEM-1","issue":"04","issued":{"date-parts":[["2018"]]},"page":"126-144","title":"Groundwater Potential Assessment and Characterization of Genale-Dawa River Basin","type":"article-journal","volume":"08"},"uris":["http://www.mendeley.com/documents/?uuid=2ccb189f-c8a9-4612-a5f4-cb7171d0e45d"]}],"mendeley":{"formattedCitation":"(Kassahun &amp; Mohamed, 2018)","manualFormatting":"(Kassahun and Mohamed, 2018)","plainTextFormattedCitation":"(Kassahun &amp; Mohamed, 2018)","previouslyFormattedCitation":"(Kassahun &amp; Mohamed, 2018)"},"properties":{"noteIndex":0},"schema":"https://github.com/citation-style-language/schema/raw/master/csl-citation.json"}</w:instrText>
      </w:r>
      <w:r w:rsidR="00650A04" w:rsidRPr="002539EA">
        <w:rPr>
          <w:rStyle w:val="FootnoteReference"/>
        </w:rPr>
        <w:fldChar w:fldCharType="separate"/>
      </w:r>
      <w:r w:rsidR="00E230CE" w:rsidRPr="002539EA">
        <w:rPr>
          <w:noProof/>
        </w:rPr>
        <w:t>(Kassahun and</w:t>
      </w:r>
      <w:r w:rsidR="00A108C4" w:rsidRPr="002539EA">
        <w:rPr>
          <w:noProof/>
        </w:rPr>
        <w:t xml:space="preserve"> Mohamed, 2018)</w:t>
      </w:r>
      <w:r w:rsidR="00650A04" w:rsidRPr="002539EA">
        <w:rPr>
          <w:rStyle w:val="FootnoteReference"/>
        </w:rPr>
        <w:fldChar w:fldCharType="end"/>
      </w:r>
      <w:r w:rsidR="00497E2D" w:rsidRPr="002539EA">
        <w:t xml:space="preserve">, </w:t>
      </w:r>
      <w:r w:rsidR="00606CA5" w:rsidRPr="002539EA">
        <w:t xml:space="preserve">while </w:t>
      </w:r>
      <w:r w:rsidR="00E81A63" w:rsidRPr="002539EA">
        <w:t xml:space="preserve">groundwater </w:t>
      </w:r>
      <w:r w:rsidR="00C349B8" w:rsidRPr="002539EA">
        <w:t>of</w:t>
      </w:r>
      <w:r w:rsidR="00752ED3" w:rsidRPr="002539EA">
        <w:t xml:space="preserve"> </w:t>
      </w:r>
      <w:r w:rsidRPr="002539EA">
        <w:t xml:space="preserve">the </w:t>
      </w:r>
      <w:r w:rsidR="00752ED3" w:rsidRPr="002539EA">
        <w:t>Horma</w:t>
      </w:r>
      <w:r w:rsidR="004B0857" w:rsidRPr="002539EA">
        <w:t>t-</w:t>
      </w:r>
      <w:r w:rsidR="00077BB4" w:rsidRPr="002539EA">
        <w:t>Golina River catchment</w:t>
      </w:r>
      <w:r w:rsidR="00DD0308" w:rsidRPr="002539EA">
        <w:t xml:space="preserve"> of </w:t>
      </w:r>
      <w:r w:rsidR="009E1436" w:rsidRPr="002539EA">
        <w:t>Kobo V</w:t>
      </w:r>
      <w:r w:rsidR="00973AF1" w:rsidRPr="002539EA">
        <w:t xml:space="preserve">alley </w:t>
      </w:r>
      <w:r w:rsidR="0037343E" w:rsidRPr="002539EA">
        <w:t>is</w:t>
      </w:r>
      <w:r w:rsidR="0037343E" w:rsidRPr="002539EA">
        <w:rPr>
          <w:vertAlign w:val="superscript"/>
        </w:rPr>
        <w:t xml:space="preserve"> </w:t>
      </w:r>
      <w:r w:rsidR="0037343E" w:rsidRPr="002539EA">
        <w:t>estimated to have 2033</w:t>
      </w:r>
      <w:r w:rsidR="00C301EB" w:rsidRPr="002539EA">
        <w:t xml:space="preserve"> </w:t>
      </w:r>
      <w:r w:rsidR="0037343E" w:rsidRPr="002539EA">
        <w:t xml:space="preserve">MCM </w:t>
      </w:r>
      <w:r w:rsidR="00DD0308" w:rsidRPr="002539EA">
        <w:t>on the area of 806 km</w:t>
      </w:r>
      <w:r w:rsidR="00DD0308" w:rsidRPr="002539EA">
        <w:rPr>
          <w:vertAlign w:val="superscript"/>
        </w:rPr>
        <w:t>2</w:t>
      </w:r>
      <w:r w:rsidR="00464D4A" w:rsidRPr="002539EA">
        <w:t xml:space="preserve"> </w:t>
      </w:r>
      <w:r w:rsidR="00BC4A98" w:rsidRPr="002539EA">
        <w:fldChar w:fldCharType="begin" w:fldLock="1"/>
      </w:r>
      <w:r w:rsidR="00A309A8" w:rsidRPr="002539EA">
        <w:instrText>ADDIN CSL_CITATION {"citationItems":[{"id":"ITEM-1","itemData":{"abstract":"There are few data on the incidence of benign infections (upper respiratory tract infections, herpes lesions and viral warts) during exposure to azathioprine.","author":[{"dropping-particle":"","family":"Desalegn","given":"Afework","non-dropping-particle":"","parse-names":false,"suffix":""}],"id":"ITEM-1","issued":{"date-parts":[["2011"]]},"number-of-pages":"1-126","publisher":"Addis Ababa University","title":"Groundwater potential evaluation and flow dynamics of Hormat-Golina River catchment, Kobo valley, North Ethiopia","type":"thesis"},"uris":["http://www.mendeley.com/documents/?uuid=91c6bc4d-27ee-413a-97df-e8755b90a212","http://www.mendeley.com/documents/?uuid=ac635feb-2600-4bce-bd9b-8e76bf10ba1a"]}],"mendeley":{"formattedCitation":"(Desalegn, 2011)","plainTextFormattedCitation":"(Desalegn, 2011)","previouslyFormattedCitation":"(Desalegn, 2011)"},"properties":{"noteIndex":0},"schema":"https://github.com/citation-style-language/schema/raw/master/csl-citation.json"}</w:instrText>
      </w:r>
      <w:r w:rsidR="00BC4A98" w:rsidRPr="002539EA">
        <w:fldChar w:fldCharType="separate"/>
      </w:r>
      <w:r w:rsidR="009B0394" w:rsidRPr="002539EA">
        <w:rPr>
          <w:noProof/>
        </w:rPr>
        <w:t>(Desalegn, 2011)</w:t>
      </w:r>
      <w:r w:rsidR="00BC4A98" w:rsidRPr="002539EA">
        <w:fldChar w:fldCharType="end"/>
      </w:r>
      <w:r w:rsidR="00AB0F57" w:rsidRPr="002539EA">
        <w:t>.</w:t>
      </w:r>
      <w:r w:rsidR="00E1348E" w:rsidRPr="002539EA">
        <w:t xml:space="preserve"> </w:t>
      </w:r>
    </w:p>
    <w:p w:rsidR="009472BF" w:rsidRPr="002539EA" w:rsidRDefault="00835B1C" w:rsidP="001A6162">
      <w:pPr>
        <w:pStyle w:val="Heading3"/>
        <w:numPr>
          <w:ilvl w:val="2"/>
          <w:numId w:val="1"/>
        </w:numPr>
      </w:pPr>
      <w:bookmarkStart w:id="80" w:name="_Toc68025062"/>
      <w:bookmarkStart w:id="81" w:name="_Toc68761545"/>
      <w:r w:rsidRPr="002539EA">
        <w:t>G</w:t>
      </w:r>
      <w:r w:rsidR="008E377F" w:rsidRPr="002539EA">
        <w:t>roundwater</w:t>
      </w:r>
      <w:r w:rsidR="009472BF" w:rsidRPr="002539EA">
        <w:t xml:space="preserve"> </w:t>
      </w:r>
      <w:r w:rsidRPr="002539EA">
        <w:t>Assessment</w:t>
      </w:r>
      <w:r w:rsidR="00964C5B" w:rsidRPr="002539EA">
        <w:t xml:space="preserve"> Methodology</w:t>
      </w:r>
      <w:bookmarkEnd w:id="80"/>
      <w:bookmarkEnd w:id="81"/>
      <w:r w:rsidRPr="002539EA">
        <w:t xml:space="preserve"> </w:t>
      </w:r>
    </w:p>
    <w:p w:rsidR="00BE616E" w:rsidRPr="002539EA" w:rsidRDefault="00035D50" w:rsidP="00425E35">
      <w:r w:rsidRPr="002539EA">
        <w:t xml:space="preserve">Assessment of the </w:t>
      </w:r>
      <w:r w:rsidR="00B444FC" w:rsidRPr="002539EA">
        <w:t xml:space="preserve">groundwater potential </w:t>
      </w:r>
      <w:r w:rsidR="00C37914" w:rsidRPr="002539EA">
        <w:t xml:space="preserve">involves the analysis of groundwater flow and its interaction with the stream network, hydrological balance and forecasting the future use of water resources based on various exploitation alternatives (Groundwater assessment and management, 1989). It </w:t>
      </w:r>
      <w:r w:rsidRPr="002539EA">
        <w:t>is essential for protection of water quality and management of groundwater systems (Waikar and Nilawar, 2014).</w:t>
      </w:r>
      <w:r w:rsidR="001F2393" w:rsidRPr="002539EA">
        <w:t xml:space="preserve"> </w:t>
      </w:r>
    </w:p>
    <w:p w:rsidR="00BE616E" w:rsidRPr="002539EA" w:rsidRDefault="00BE616E" w:rsidP="00B5470F">
      <w:pPr>
        <w:pStyle w:val="Heading4"/>
        <w:numPr>
          <w:ilvl w:val="3"/>
          <w:numId w:val="1"/>
        </w:numPr>
      </w:pPr>
      <w:r w:rsidRPr="002539EA">
        <w:t xml:space="preserve">Groundwater </w:t>
      </w:r>
      <w:r w:rsidR="00FB6506" w:rsidRPr="002539EA">
        <w:t>E</w:t>
      </w:r>
      <w:r w:rsidRPr="002539EA">
        <w:t>xploration</w:t>
      </w:r>
    </w:p>
    <w:p w:rsidR="00E6017E" w:rsidRPr="002539EA" w:rsidRDefault="00BE616E" w:rsidP="00425E35">
      <w:r w:rsidRPr="002539EA">
        <w:t>The water resources available in the basins remain almost constant, while the water demand continues to increase, due to the human population explosion, a rapid industrial development, urbanization and increase in agricultural production (Kassahun and Mohamed, 2018). Hence, the groundwater exploration is a typical task of a hydro-geologist or an engineer. S</w:t>
      </w:r>
      <w:r w:rsidR="0033053A" w:rsidRPr="002539EA">
        <w:t>everal geological, hydrogeological and geophysical methods are employed to target the groundwater potential zones</w:t>
      </w:r>
      <w:r w:rsidR="00566B7A" w:rsidRPr="002539EA">
        <w:t xml:space="preserve"> (Balsubramanian, 2007)</w:t>
      </w:r>
      <w:r w:rsidR="001A6D2C" w:rsidRPr="002539EA">
        <w:t xml:space="preserve">. </w:t>
      </w:r>
    </w:p>
    <w:p w:rsidR="00F8061E" w:rsidRPr="002539EA" w:rsidRDefault="0033053A" w:rsidP="00425E35">
      <w:r w:rsidRPr="002539EA">
        <w:t xml:space="preserve">The interpretation of satellite images and aerial photographs </w:t>
      </w:r>
      <w:r w:rsidR="009E3DED" w:rsidRPr="002539EA">
        <w:t>also help more in this process</w:t>
      </w:r>
      <w:r w:rsidR="001628F3" w:rsidRPr="002539EA">
        <w:t xml:space="preserve"> (Werz, 2006)</w:t>
      </w:r>
      <w:r w:rsidR="00684556" w:rsidRPr="002539EA">
        <w:t xml:space="preserve">. </w:t>
      </w:r>
      <w:r w:rsidRPr="002539EA">
        <w:t>Groundwater e</w:t>
      </w:r>
      <w:r w:rsidR="00515A6E" w:rsidRPr="002539EA">
        <w:t>xploration is attempted through either by direct or indirect methods.  Test drilling is the direct approach to find out the resource. This is an expensive affair</w:t>
      </w:r>
      <w:r w:rsidR="00182BAE" w:rsidRPr="002539EA">
        <w:t xml:space="preserve"> (Sharma, 2021)</w:t>
      </w:r>
      <w:r w:rsidR="00515A6E" w:rsidRPr="002539EA">
        <w:t xml:space="preserve">. During the last two centuries, more and more techniques </w:t>
      </w:r>
      <w:r w:rsidR="002B4D71" w:rsidRPr="002539EA">
        <w:t>have been developed</w:t>
      </w:r>
      <w:r w:rsidR="00515A6E" w:rsidRPr="002539EA">
        <w:t xml:space="preserve"> to explore the groundwater</w:t>
      </w:r>
      <w:r w:rsidR="00EC3500" w:rsidRPr="002539EA">
        <w:t xml:space="preserve">. </w:t>
      </w:r>
      <w:r w:rsidR="00515A6E" w:rsidRPr="002539EA">
        <w:t xml:space="preserve">They are classified into surface and sub-surface methods.  </w:t>
      </w:r>
      <w:r w:rsidR="002B4D71" w:rsidRPr="002539EA">
        <w:t>The surface methods are easy to operate and implement</w:t>
      </w:r>
      <w:r w:rsidR="00880F50" w:rsidRPr="002539EA">
        <w:t xml:space="preserve"> (Balsubramanian, 2007; Sharma, 2021)</w:t>
      </w:r>
      <w:r w:rsidR="002B4D71" w:rsidRPr="002539EA">
        <w:t>. These require minimum facilities like topo-sheets</w:t>
      </w:r>
      <w:r w:rsidR="00523305" w:rsidRPr="002539EA">
        <w:t>, maps, reports</w:t>
      </w:r>
      <w:r w:rsidR="002B4D71" w:rsidRPr="002539EA">
        <w:t>,</w:t>
      </w:r>
      <w:r w:rsidR="001A6D2C" w:rsidRPr="002539EA">
        <w:t xml:space="preserve"> </w:t>
      </w:r>
      <w:r w:rsidR="00D862DC" w:rsidRPr="002539EA">
        <w:t xml:space="preserve">some </w:t>
      </w:r>
      <w:r w:rsidR="00523305" w:rsidRPr="002539EA">
        <w:t>field measurements and</w:t>
      </w:r>
      <w:r w:rsidR="002B4D71" w:rsidRPr="002539EA">
        <w:t xml:space="preserve"> </w:t>
      </w:r>
      <w:r w:rsidR="00523305" w:rsidRPr="002539EA">
        <w:t>interpretations of data in the</w:t>
      </w:r>
      <w:r w:rsidR="002B4D71" w:rsidRPr="002539EA">
        <w:t xml:space="preserve"> labora</w:t>
      </w:r>
      <w:r w:rsidR="000503E0" w:rsidRPr="002539EA">
        <w:t xml:space="preserve">tories. </w:t>
      </w:r>
    </w:p>
    <w:p w:rsidR="0033053A" w:rsidRPr="002539EA" w:rsidRDefault="008433A5" w:rsidP="00425E35">
      <w:r w:rsidRPr="002539EA">
        <w:lastRenderedPageBreak/>
        <w:t>The surface methods of groundwater exploration include; esoteric methods, geomorphologic methods, geological and structural methods, soil and micro-biological methods, Remote Sensing techniques and surface geophysical methods (Epuh</w:t>
      </w:r>
      <w:r w:rsidR="000503E0" w:rsidRPr="002539EA">
        <w:t xml:space="preserve"> et al.,</w:t>
      </w:r>
      <w:r w:rsidRPr="002539EA">
        <w:t xml:space="preserve"> 2020).</w:t>
      </w:r>
      <w:r w:rsidR="00753D54" w:rsidRPr="002539EA">
        <w:t xml:space="preserve"> </w:t>
      </w:r>
      <w:r w:rsidR="002B4D71" w:rsidRPr="002539EA">
        <w:t xml:space="preserve">The subsurface </w:t>
      </w:r>
      <w:r w:rsidR="00C629C4" w:rsidRPr="002539EA">
        <w:t>methods of groundwater exploration include</w:t>
      </w:r>
      <w:r w:rsidR="002B4D71" w:rsidRPr="002539EA">
        <w:t xml:space="preserve"> </w:t>
      </w:r>
      <w:r w:rsidR="00BE6B02" w:rsidRPr="002539EA">
        <w:t>both test drilling and b</w:t>
      </w:r>
      <w:r w:rsidR="002B4D71" w:rsidRPr="002539EA">
        <w:t>orehole</w:t>
      </w:r>
      <w:r w:rsidR="00BE6B02" w:rsidRPr="002539EA">
        <w:t xml:space="preserve"> geophysical l</w:t>
      </w:r>
      <w:r w:rsidR="002B4D71" w:rsidRPr="002539EA">
        <w:t>ogging</w:t>
      </w:r>
      <w:r w:rsidR="00BE6B02" w:rsidRPr="002539EA">
        <w:t xml:space="preserve"> techniques</w:t>
      </w:r>
      <w:r w:rsidR="00753D54" w:rsidRPr="002539EA">
        <w:t xml:space="preserve"> (Coatfs</w:t>
      </w:r>
      <w:r w:rsidR="00803D37" w:rsidRPr="002539EA">
        <w:t>,</w:t>
      </w:r>
      <w:r w:rsidR="00753D54" w:rsidRPr="002539EA">
        <w:t xml:space="preserve"> 1988)</w:t>
      </w:r>
      <w:r w:rsidR="00BE6B02" w:rsidRPr="002539EA">
        <w:t xml:space="preserve">. When </w:t>
      </w:r>
      <w:r w:rsidR="00C629C4" w:rsidRPr="002539EA">
        <w:t>compared to the surface methods, the subsurface</w:t>
      </w:r>
      <w:r w:rsidR="002B4D71" w:rsidRPr="002539EA">
        <w:t xml:space="preserve"> methods are </w:t>
      </w:r>
      <w:r w:rsidR="00C629C4" w:rsidRPr="002539EA">
        <w:t>very expensive</w:t>
      </w:r>
      <w:r w:rsidR="00DE2963" w:rsidRPr="002539EA">
        <w:t xml:space="preserve"> and accurate</w:t>
      </w:r>
      <w:r w:rsidR="002B4D71" w:rsidRPr="002539EA">
        <w:t xml:space="preserve">. </w:t>
      </w:r>
      <w:r w:rsidR="00C37914" w:rsidRPr="002539EA">
        <w:t xml:space="preserve">It </w:t>
      </w:r>
      <w:r w:rsidR="00DE2963" w:rsidRPr="002539EA">
        <w:t>is done</w:t>
      </w:r>
      <w:r w:rsidR="002B4D71" w:rsidRPr="002539EA">
        <w:t xml:space="preserve"> </w:t>
      </w:r>
      <w:r w:rsidR="00C37914" w:rsidRPr="002539EA">
        <w:t>at</w:t>
      </w:r>
      <w:r w:rsidR="00C629C4" w:rsidRPr="002539EA">
        <w:t xml:space="preserve"> </w:t>
      </w:r>
      <w:r w:rsidR="00C37914" w:rsidRPr="002539EA">
        <w:t xml:space="preserve">the </w:t>
      </w:r>
      <w:r w:rsidR="00C629C4" w:rsidRPr="002539EA">
        <w:t>government</w:t>
      </w:r>
      <w:r w:rsidR="002B4D71" w:rsidRPr="002539EA">
        <w:t xml:space="preserve"> </w:t>
      </w:r>
      <w:r w:rsidR="00C629C4" w:rsidRPr="002539EA">
        <w:t>level projects</w:t>
      </w:r>
      <w:r w:rsidR="002B4D71" w:rsidRPr="002539EA">
        <w:t xml:space="preserve"> where large scale investigations are carried out to ascertain </w:t>
      </w:r>
      <w:r w:rsidR="00DE2963" w:rsidRPr="002539EA">
        <w:t xml:space="preserve">the results of surface surveys </w:t>
      </w:r>
      <w:r w:rsidR="00780C32" w:rsidRPr="002539EA">
        <w:t>(Balsubramanian, 2007)</w:t>
      </w:r>
      <w:r w:rsidR="0033053A" w:rsidRPr="002539EA">
        <w:t>.</w:t>
      </w:r>
    </w:p>
    <w:p w:rsidR="00E76085" w:rsidRPr="002539EA" w:rsidRDefault="00450617" w:rsidP="004B24B9">
      <w:pPr>
        <w:pStyle w:val="Heading4"/>
        <w:numPr>
          <w:ilvl w:val="3"/>
          <w:numId w:val="1"/>
        </w:numPr>
      </w:pPr>
      <w:r w:rsidRPr="002539EA">
        <w:t>Estimation</w:t>
      </w:r>
      <w:r w:rsidR="00591E0A" w:rsidRPr="002539EA">
        <w:t xml:space="preserve"> of Groundwater Recharge</w:t>
      </w:r>
    </w:p>
    <w:p w:rsidR="00B24F7C" w:rsidRDefault="003210E9" w:rsidP="00417577">
      <w:r w:rsidRPr="002539EA">
        <w:t xml:space="preserve">The </w:t>
      </w:r>
      <w:r w:rsidR="002410C9" w:rsidRPr="002539EA">
        <w:t xml:space="preserve">methodologies </w:t>
      </w:r>
      <w:r w:rsidRPr="002539EA">
        <w:t>adopted for computing groundwater resources, are generally based on the hydrologic budget techniques. The hydrologic equation for groundwater regime is a specialized form of a water balance equation that requires quantification of the components of groundwater inflow and groundwater outflow, as well as changes in storage therein. Some of these are directly measurable, few may be determined by differences between measured volumes or rates of flow of surface water, and some require indirect methods of estimation</w:t>
      </w:r>
      <w:r w:rsidR="00D935F6" w:rsidRPr="002539EA">
        <w:t xml:space="preserve"> (Kumar,</w:t>
      </w:r>
      <w:r w:rsidR="00500314" w:rsidRPr="002539EA">
        <w:t xml:space="preserve"> 2000)</w:t>
      </w:r>
      <w:r w:rsidRPr="002539EA">
        <w:t>.</w:t>
      </w:r>
      <w:r w:rsidR="00607504" w:rsidRPr="002539EA">
        <w:t xml:space="preserve"> </w:t>
      </w:r>
    </w:p>
    <w:p w:rsidR="00DC7449" w:rsidRDefault="009D5706" w:rsidP="00417577">
      <w:r w:rsidRPr="002539EA">
        <w:t>Several</w:t>
      </w:r>
      <w:r w:rsidR="00591E0A" w:rsidRPr="002539EA">
        <w:t xml:space="preserve"> methodologies were adopted for estimati</w:t>
      </w:r>
      <w:r w:rsidR="00813154" w:rsidRPr="002539EA">
        <w:t>on of</w:t>
      </w:r>
      <w:r w:rsidR="00591E0A" w:rsidRPr="002539EA">
        <w:t xml:space="preserve"> the groundwater recharge. These can be classified into two classes. Physical methods and </w:t>
      </w:r>
      <w:r w:rsidR="00813154" w:rsidRPr="002539EA">
        <w:t>t</w:t>
      </w:r>
      <w:r w:rsidR="00591E0A" w:rsidRPr="002539EA">
        <w:t xml:space="preserve">racer methods. </w:t>
      </w:r>
      <w:r w:rsidR="00FC5A1E" w:rsidRPr="002539EA">
        <w:t xml:space="preserve">The physical method includes; </w:t>
      </w:r>
      <w:r w:rsidR="00CB051A" w:rsidRPr="002539EA">
        <w:t xml:space="preserve">direct measurements, water balance </w:t>
      </w:r>
      <w:r w:rsidR="00450617" w:rsidRPr="002539EA">
        <w:t xml:space="preserve">and D’Arcyan techniques. </w:t>
      </w:r>
      <w:r w:rsidR="005A721F" w:rsidRPr="002539EA">
        <w:t>The direct measurement method includes measurement</w:t>
      </w:r>
      <w:r w:rsidR="00FC5A1E" w:rsidRPr="002539EA">
        <w:t xml:space="preserve"> of </w:t>
      </w:r>
      <w:r w:rsidR="005A721F" w:rsidRPr="002539EA">
        <w:t xml:space="preserve">the </w:t>
      </w:r>
      <w:r w:rsidR="00FC5A1E" w:rsidRPr="002539EA">
        <w:t>soil moisture content using instruments such as Lysimeters, Neutron and</w:t>
      </w:r>
      <w:r w:rsidR="00DC7449">
        <w:t xml:space="preserve"> Time domain reflectometry</w:t>
      </w:r>
      <w:r w:rsidR="00FC5A1E" w:rsidRPr="002539EA">
        <w:t xml:space="preserve"> probes</w:t>
      </w:r>
      <w:r w:rsidR="00803D37" w:rsidRPr="002539EA">
        <w:t xml:space="preserve"> (Kalbus et al., 2006</w:t>
      </w:r>
      <w:r w:rsidR="000503E0" w:rsidRPr="002539EA">
        <w:t>; Shamuyarira, 2017</w:t>
      </w:r>
      <w:r w:rsidR="00803D37" w:rsidRPr="002539EA">
        <w:t>)</w:t>
      </w:r>
      <w:r w:rsidR="00B24F7C">
        <w:t xml:space="preserve">. </w:t>
      </w:r>
    </w:p>
    <w:p w:rsidR="00053CBC" w:rsidRPr="002539EA" w:rsidRDefault="00046C6F" w:rsidP="00417577">
      <w:r w:rsidRPr="002539EA">
        <w:t>The water balance techniques which developed by Thornthwaite was another physical methods. In this method the water input and output/discharge are compared and the difference in the two is the estimated recharge. Th</w:t>
      </w:r>
      <w:r w:rsidR="00C07803" w:rsidRPr="002539EA">
        <w:t>e hydrograph separation, river channel water budget, water table fluctuation and saturated volume fluctuation departure methods are included in this techniques</w:t>
      </w:r>
      <w:r w:rsidR="007C08DC" w:rsidRPr="002539EA">
        <w:t xml:space="preserve"> (</w:t>
      </w:r>
      <w:r w:rsidR="008307C8" w:rsidRPr="002539EA">
        <w:t xml:space="preserve">Walker </w:t>
      </w:r>
      <w:r w:rsidR="007C08DC" w:rsidRPr="002539EA">
        <w:t>et al., 2019)</w:t>
      </w:r>
      <w:r w:rsidR="00C07803" w:rsidRPr="002539EA">
        <w:t>.</w:t>
      </w:r>
      <w:r w:rsidR="009831A5" w:rsidRPr="002539EA">
        <w:t xml:space="preserve"> </w:t>
      </w:r>
      <w:r w:rsidR="00417577" w:rsidRPr="002539EA">
        <w:t xml:space="preserve">The </w:t>
      </w:r>
      <w:r w:rsidR="00C07803" w:rsidRPr="002539EA">
        <w:t>tracer method involves the introduction of dissolved substances or solutions into the water cycle and tracing the movement of water using their concentrations</w:t>
      </w:r>
      <w:r w:rsidR="00417577" w:rsidRPr="002539EA">
        <w:t xml:space="preserve">. Common tracer methods </w:t>
      </w:r>
      <w:r w:rsidR="00E6017E" w:rsidRPr="002539EA">
        <w:t>are chloride mass balance and g</w:t>
      </w:r>
      <w:r w:rsidR="00417577" w:rsidRPr="002539EA">
        <w:t>ro</w:t>
      </w:r>
      <w:r w:rsidR="00E6017E" w:rsidRPr="002539EA">
        <w:t>undwater dating</w:t>
      </w:r>
      <w:r w:rsidR="000153AF" w:rsidRPr="002539EA">
        <w:t xml:space="preserve"> (Al-Sudani, 2018</w:t>
      </w:r>
      <w:r w:rsidR="007347A8" w:rsidRPr="002539EA">
        <w:t>; Wu et al., 2016)</w:t>
      </w:r>
      <w:r w:rsidR="007347A8" w:rsidRPr="002539EA">
        <w:tab/>
        <w:t>.</w:t>
      </w:r>
    </w:p>
    <w:p w:rsidR="00435AE8" w:rsidRPr="002539EA" w:rsidRDefault="009472BF" w:rsidP="00E775F5">
      <w:pPr>
        <w:pStyle w:val="Heading4"/>
        <w:numPr>
          <w:ilvl w:val="3"/>
          <w:numId w:val="1"/>
        </w:numPr>
      </w:pPr>
      <w:r w:rsidRPr="002539EA">
        <w:lastRenderedPageBreak/>
        <w:t xml:space="preserve">Groundwater </w:t>
      </w:r>
      <w:r w:rsidR="00FB6506" w:rsidRPr="002539EA">
        <w:t>F</w:t>
      </w:r>
      <w:r w:rsidRPr="002539EA">
        <w:t>low Modelling</w:t>
      </w:r>
    </w:p>
    <w:p w:rsidR="00DC7449" w:rsidRDefault="00E5478F" w:rsidP="00E775F5">
      <w:r w:rsidRPr="002539EA">
        <w:t xml:space="preserve">Effective management of groundwater requires the ability to predict subsurface flow and transport of solutes and the response of fluid and solute flux to changes in natural or human-induced </w:t>
      </w:r>
      <w:r w:rsidR="00CB0EA1" w:rsidRPr="002539EA">
        <w:t>stresses</w:t>
      </w:r>
      <w:r w:rsidR="00435AE8" w:rsidRPr="002539EA">
        <w:t>. Hence, the use of groundwater models is prevalent in the field of environmental science</w:t>
      </w:r>
      <w:r w:rsidR="009757AF" w:rsidRPr="002539EA">
        <w:t xml:space="preserve"> (Kumar, 2002)</w:t>
      </w:r>
      <w:r w:rsidR="00435AE8" w:rsidRPr="002539EA">
        <w:t>.</w:t>
      </w:r>
      <w:r w:rsidR="009757AF" w:rsidRPr="002539EA">
        <w:t xml:space="preserve"> </w:t>
      </w:r>
      <w:r w:rsidRPr="002539EA">
        <w:t>One popular type of tool that has been evolving since the mid-1960s is the deterministic, distributed-parameter, computer simulation model for analyzing flow and solute-transport in groundwater systems</w:t>
      </w:r>
      <w:r w:rsidR="003D0D9F" w:rsidRPr="002539EA">
        <w:t xml:space="preserve"> (</w:t>
      </w:r>
      <w:r w:rsidR="00AA6829" w:rsidRPr="002539EA">
        <w:t xml:space="preserve">Jacques, 1999; </w:t>
      </w:r>
      <w:r w:rsidR="003D0D9F" w:rsidRPr="002539EA">
        <w:t>Konikow and Mercer, 1988).</w:t>
      </w:r>
      <w:r w:rsidR="00607504" w:rsidRPr="002539EA">
        <w:t xml:space="preserve"> </w:t>
      </w:r>
    </w:p>
    <w:p w:rsidR="00DD5CB2" w:rsidRPr="002539EA" w:rsidRDefault="009757AF" w:rsidP="00E775F5">
      <w:r w:rsidRPr="002539EA">
        <w:t xml:space="preserve">The applicability or usefulness of a model depends on how closely the mathematical equations approximate the physical system being modeled (Kumar, 2002). </w:t>
      </w:r>
      <w:r w:rsidR="00817AB2" w:rsidRPr="002539EA">
        <w:t>Deterministic models are based on conservation of mass, momentum, and energy and descr</w:t>
      </w:r>
      <w:r w:rsidR="00AA6829" w:rsidRPr="002539EA">
        <w:t>ibe cause and effect relations.</w:t>
      </w:r>
      <w:r w:rsidR="00387077" w:rsidRPr="002539EA">
        <w:t xml:space="preserve"> </w:t>
      </w:r>
      <w:r w:rsidR="00376890" w:rsidRPr="002539EA">
        <w:t xml:space="preserve">The following </w:t>
      </w:r>
      <w:r w:rsidR="00425E35" w:rsidRPr="002539EA">
        <w:t xml:space="preserve">typical </w:t>
      </w:r>
      <w:r w:rsidR="002A3DF3" w:rsidRPr="002539EA">
        <w:t>topics shows the need for modelling</w:t>
      </w:r>
      <w:r w:rsidR="00376890" w:rsidRPr="002539EA">
        <w:t xml:space="preserve"> and </w:t>
      </w:r>
      <w:r w:rsidR="002A3DF3" w:rsidRPr="002539EA">
        <w:t>(</w:t>
      </w:r>
      <w:r w:rsidR="00376890" w:rsidRPr="002539EA">
        <w:t>lead</w:t>
      </w:r>
      <w:r w:rsidR="002A3DF3" w:rsidRPr="002539EA">
        <w:t xml:space="preserve"> to) describe </w:t>
      </w:r>
      <w:r w:rsidR="00376890" w:rsidRPr="002539EA">
        <w:t>the current groundwater flow modelling techniques.</w:t>
      </w:r>
    </w:p>
    <w:p w:rsidR="00F8061E" w:rsidRPr="002539EA" w:rsidRDefault="00F8061E" w:rsidP="00F8061E">
      <w:pPr>
        <w:pStyle w:val="ListParagraph"/>
        <w:numPr>
          <w:ilvl w:val="0"/>
          <w:numId w:val="24"/>
        </w:numPr>
      </w:pPr>
      <w:r w:rsidRPr="002539EA">
        <w:t>Groundwater Flow and Transport Processes</w:t>
      </w:r>
    </w:p>
    <w:p w:rsidR="00DD5CB2" w:rsidRPr="002539EA" w:rsidRDefault="00DD5CB2" w:rsidP="00E775F5">
      <w:r w:rsidRPr="002539EA">
        <w:t xml:space="preserve">The process of groundwater flow is generally assumed to be governed by the relations expressed in Darcy’s law and the conservation of mass. However, Darcy’s law does have limits on its range of applicability, and these limits must be evaluated in any application. The subsurface environment constitutes a complex, </w:t>
      </w:r>
      <w:r w:rsidR="007B704D">
        <w:t>3D</w:t>
      </w:r>
      <w:r w:rsidRPr="002539EA">
        <w:t>, heterogeneous hydro-geologic setting. This variability strongly influences groundwater flow and transport, and such a reality can be described accurately only through careful hydro-geologic practice in the field. Stochastic approaches have resulted in many significant advances in characterizing subsurface heterogeneity and dealing with uncertainty (Gelhar, 1993).</w:t>
      </w:r>
    </w:p>
    <w:p w:rsidR="00F8061E" w:rsidRPr="002539EA" w:rsidRDefault="00376890" w:rsidP="00376890">
      <w:pPr>
        <w:pStyle w:val="ListParagraph"/>
        <w:numPr>
          <w:ilvl w:val="0"/>
          <w:numId w:val="24"/>
        </w:numPr>
      </w:pPr>
      <w:r w:rsidRPr="002539EA">
        <w:t>Deterministic groundwater models</w:t>
      </w:r>
    </w:p>
    <w:p w:rsidR="003D3001" w:rsidRDefault="00817AB2" w:rsidP="00E775F5">
      <w:r w:rsidRPr="002539EA">
        <w:t>Deterministic groundwater models generally require the solution of partial differential equations</w:t>
      </w:r>
      <w:r w:rsidR="0027509C" w:rsidRPr="002539EA">
        <w:t xml:space="preserve"> (Takounjou1, 2009)</w:t>
      </w:r>
      <w:r w:rsidRPr="002539EA">
        <w:t>.</w:t>
      </w:r>
      <w:r w:rsidR="00A744AA" w:rsidRPr="002539EA">
        <w:t xml:space="preserve"> </w:t>
      </w:r>
      <w:r w:rsidRPr="002539EA">
        <w:t xml:space="preserve">Exact solutions can often be obtained analytically, but analytical models require that the parameters and </w:t>
      </w:r>
      <w:r w:rsidR="006F79F7" w:rsidRPr="002539EA">
        <w:t>boundaries be highly idealized (Zarrouk and McLean, 2019).</w:t>
      </w:r>
      <w:r w:rsidR="00031991" w:rsidRPr="002539EA">
        <w:t xml:space="preserve"> </w:t>
      </w:r>
      <w:r w:rsidR="00DD5CB2" w:rsidRPr="002539EA">
        <w:t>Many analytical solutions have been developed for the flow equation; however, most applications are limited to well hydraulics problems involving radial symmetry. The familiar Theis type curve represents the solution of one such analytical model</w:t>
      </w:r>
      <w:r w:rsidR="007B704D">
        <w:t xml:space="preserve"> (</w:t>
      </w:r>
      <w:r w:rsidR="007B704D" w:rsidRPr="0045532C">
        <w:t>Jacques</w:t>
      </w:r>
      <w:r w:rsidR="007B704D">
        <w:t>, 1999)</w:t>
      </w:r>
      <w:r w:rsidR="00DD5CB2" w:rsidRPr="002539EA">
        <w:t xml:space="preserve">. </w:t>
      </w:r>
    </w:p>
    <w:p w:rsidR="00DC7449" w:rsidRPr="002539EA" w:rsidRDefault="00DC7449" w:rsidP="00E775F5"/>
    <w:p w:rsidR="00376890" w:rsidRPr="002539EA" w:rsidRDefault="00376890" w:rsidP="00376890">
      <w:pPr>
        <w:pStyle w:val="ListParagraph"/>
        <w:numPr>
          <w:ilvl w:val="0"/>
          <w:numId w:val="24"/>
        </w:numPr>
      </w:pPr>
      <w:r w:rsidRPr="002539EA">
        <w:lastRenderedPageBreak/>
        <w:t xml:space="preserve">Numerical methods </w:t>
      </w:r>
    </w:p>
    <w:p w:rsidR="00B24F7C" w:rsidRDefault="00817AB2" w:rsidP="00E775F5">
      <w:r w:rsidRPr="002539EA">
        <w:t>Numerical methods yield approximate solutions to the g</w:t>
      </w:r>
      <w:r w:rsidR="002130D5" w:rsidRPr="002539EA">
        <w:t xml:space="preserve">overning equation </w:t>
      </w:r>
      <w:r w:rsidRPr="002539EA">
        <w:t>through the di</w:t>
      </w:r>
      <w:r w:rsidR="00387077" w:rsidRPr="002539EA">
        <w:t xml:space="preserve">scretization of space and time. </w:t>
      </w:r>
      <w:r w:rsidRPr="002539EA">
        <w:t>Deterministic, distributed-parameter, numerical models can relax the rigid idealized conditions</w:t>
      </w:r>
      <w:r w:rsidR="006F27BB" w:rsidRPr="002539EA">
        <w:t xml:space="preserve"> </w:t>
      </w:r>
      <w:r w:rsidRPr="002539EA">
        <w:t xml:space="preserve">of analytical models or lumped-parameter models, </w:t>
      </w:r>
      <w:r w:rsidR="00031991" w:rsidRPr="002539EA">
        <w:t xml:space="preserve">by approximating the variables internal properties, boundaries and stresses of the system. Hence, they are </w:t>
      </w:r>
      <w:r w:rsidRPr="002539EA">
        <w:t>more realistic and flexible</w:t>
      </w:r>
      <w:r w:rsidR="006F27BB" w:rsidRPr="002539EA">
        <w:t xml:space="preserve"> </w:t>
      </w:r>
      <w:r w:rsidRPr="002539EA">
        <w:t xml:space="preserve">for simulating field </w:t>
      </w:r>
      <w:r w:rsidR="008217E6" w:rsidRPr="002539EA">
        <w:t>conditions (Atangana and Botha, 2013)</w:t>
      </w:r>
      <w:r w:rsidRPr="002539EA">
        <w:t>.</w:t>
      </w:r>
      <w:r w:rsidR="002130D5" w:rsidRPr="002539EA">
        <w:t xml:space="preserve"> </w:t>
      </w:r>
      <w:r w:rsidR="00004337" w:rsidRPr="002539EA">
        <w:t xml:space="preserve">But the </w:t>
      </w:r>
      <w:r w:rsidR="001A77AA" w:rsidRPr="002539EA">
        <w:t xml:space="preserve">grid </w:t>
      </w:r>
      <w:r w:rsidR="002A3DF3" w:rsidRPr="002539EA">
        <w:t>dimensions, boundary conditions</w:t>
      </w:r>
      <w:r w:rsidR="001A77AA" w:rsidRPr="002539EA">
        <w:t xml:space="preserve"> and other parameters (such as hydraulic</w:t>
      </w:r>
      <w:r w:rsidR="002A3DF3" w:rsidRPr="002539EA">
        <w:t xml:space="preserve"> conductivity and storativity) </w:t>
      </w:r>
      <w:r w:rsidR="001A77AA" w:rsidRPr="002539EA">
        <w:t>are specified in an application of a generic model to represent a particular geographic area, the resulting computer program is a site-specific model</w:t>
      </w:r>
      <w:r w:rsidR="00004337" w:rsidRPr="002539EA">
        <w:t xml:space="preserve"> (Selinus, 2013)</w:t>
      </w:r>
      <w:r w:rsidR="001A77AA" w:rsidRPr="002539EA">
        <w:t>.</w:t>
      </w:r>
      <w:r w:rsidR="00E775F5" w:rsidRPr="002539EA">
        <w:t xml:space="preserve"> This does not guarantee a similar level of accuracy when the model is applied to a complex field problem. </w:t>
      </w:r>
    </w:p>
    <w:p w:rsidR="00387077" w:rsidRPr="002539EA" w:rsidRDefault="00E775F5" w:rsidP="00E775F5">
      <w:r w:rsidRPr="002539EA">
        <w:t>If the user of a model is unaware of or ignores the details of the numerical method, including the derivative approximations, the scale of discretization, and the matrix solution techniques, significant errors can be introduced and remain undetected.</w:t>
      </w:r>
      <w:r w:rsidR="00387077" w:rsidRPr="002539EA">
        <w:t xml:space="preserve"> </w:t>
      </w:r>
    </w:p>
    <w:p w:rsidR="00376890" w:rsidRPr="002539EA" w:rsidRDefault="00376890" w:rsidP="00376890">
      <w:pPr>
        <w:pStyle w:val="ListParagraph"/>
        <w:numPr>
          <w:ilvl w:val="0"/>
          <w:numId w:val="24"/>
        </w:numPr>
      </w:pPr>
      <w:r w:rsidRPr="002539EA">
        <w:t>The finite-difference and finite-element methods</w:t>
      </w:r>
    </w:p>
    <w:p w:rsidR="00B24F7C" w:rsidRDefault="00DD5CB2" w:rsidP="00D554D5">
      <w:r w:rsidRPr="002539EA">
        <w:t xml:space="preserve">Two major classes of numerical methods have come to be well accepted for solving the groundwater flow equation. These are the finite-difference methods and the finite-element methods. </w:t>
      </w:r>
      <w:r w:rsidR="009B2FC6" w:rsidRPr="002539EA">
        <w:t>Comprehensive treatments of the application of these numerical methods to groundwater problems are presented by Remson et al. (1971) and Wang and Anderson (1982). Both of these numerical approaches require that the area of interest be subdivided by a grid into a number of smaller subareas (cells or elements) that are associated with nodal points (either at the centers or peripheries of the subareas).</w:t>
      </w:r>
      <w:r w:rsidR="00DF3410" w:rsidRPr="002539EA">
        <w:t xml:space="preserve"> </w:t>
      </w:r>
    </w:p>
    <w:p w:rsidR="00DF3410" w:rsidRPr="002539EA" w:rsidRDefault="009B2FC6" w:rsidP="00D554D5">
      <w:r w:rsidRPr="002539EA">
        <w:t>To date, finite-difference and finite-element methods have been more widely used than other numerical methods in simulating groundwater flow problems.</w:t>
      </w:r>
      <w:r w:rsidR="009757AF" w:rsidRPr="002539EA">
        <w:t xml:space="preserve"> </w:t>
      </w:r>
      <w:r w:rsidR="00DF3410" w:rsidRPr="002539EA">
        <w:t>Each approach has advantages and disadvantages, but there are very few groundwater problems for which either is clearly superior.</w:t>
      </w:r>
    </w:p>
    <w:p w:rsidR="00DF3410" w:rsidRPr="002539EA" w:rsidRDefault="00DF3410" w:rsidP="00DF3410">
      <w:pPr>
        <w:pStyle w:val="ListParagraph"/>
        <w:numPr>
          <w:ilvl w:val="0"/>
          <w:numId w:val="24"/>
        </w:numPr>
      </w:pPr>
      <w:r w:rsidRPr="002539EA">
        <w:t>Finite-difference methods</w:t>
      </w:r>
    </w:p>
    <w:p w:rsidR="00C46DF2" w:rsidRPr="002539EA" w:rsidRDefault="009B2FC6" w:rsidP="00D554D5">
      <w:r w:rsidRPr="002539EA">
        <w:t xml:space="preserve">Finite-difference methods approximate the first derivatives in the partial differential equations as difference quotients (the differences between values of the independent variable at adjacent nodes with respect to the distance between the nodes, and at two successive time levels with respect to the duration of the time-step increment). </w:t>
      </w:r>
    </w:p>
    <w:p w:rsidR="00DF3410" w:rsidRPr="002539EA" w:rsidRDefault="00DF3410" w:rsidP="00D554D5">
      <w:r w:rsidRPr="002539EA">
        <w:lastRenderedPageBreak/>
        <w:t>In general, the finite-difference methods are simpler conceptually and mathematically, and are easier to program. They are typically keyed to a relatively simple, rectangular grid, which also eases data entry.</w:t>
      </w:r>
    </w:p>
    <w:p w:rsidR="00DF3410" w:rsidRPr="002539EA" w:rsidRDefault="00DF3410" w:rsidP="00DF3410">
      <w:pPr>
        <w:pStyle w:val="ListParagraph"/>
        <w:numPr>
          <w:ilvl w:val="0"/>
          <w:numId w:val="24"/>
        </w:numPr>
      </w:pPr>
      <w:r w:rsidRPr="002539EA">
        <w:t>Finite-element methods</w:t>
      </w:r>
    </w:p>
    <w:p w:rsidR="00DF3410" w:rsidRPr="002539EA" w:rsidRDefault="009B2FC6" w:rsidP="00D554D5">
      <w:r w:rsidRPr="002539EA">
        <w:t xml:space="preserve">Finite-element methods use assumed functions of the dependent variable and parameters to evaluate equivalent integral formulations of the </w:t>
      </w:r>
      <w:r w:rsidR="009757AF" w:rsidRPr="002539EA">
        <w:t xml:space="preserve">partial differential equations. </w:t>
      </w:r>
      <w:r w:rsidRPr="002539EA">
        <w:t>These equations can then be solved using either iterative or direct matrix methods.</w:t>
      </w:r>
      <w:r w:rsidR="00DF3410" w:rsidRPr="002539EA">
        <w:t xml:space="preserve"> </w:t>
      </w:r>
      <w:r w:rsidR="00587CFA" w:rsidRPr="002539EA">
        <w:t>In direct methods, a sequence of operations is performed only once to solve the matrix equation, providing a solution that is exact, except for machine round-off error. Iterative methods arrive at a solution by a process of successive approximation. They involve making an initial guess at the solution, then improving this guess by some iterative process until a</w:t>
      </w:r>
      <w:r w:rsidR="00C46DF2" w:rsidRPr="002539EA">
        <w:t xml:space="preserve">n error criterion is satisfied. </w:t>
      </w:r>
      <w:r w:rsidR="00587CFA" w:rsidRPr="002539EA">
        <w:t xml:space="preserve">More recently, a semi-iterative method, or class of methods, known as conjugate-gradient methods, has gained popularity. One advantage of the conjugate-gradient method is that it does not require the use or specification of iteration parameters, thereby eliminating this partly subjective procedure. </w:t>
      </w:r>
    </w:p>
    <w:p w:rsidR="009026EB" w:rsidRDefault="00DF3410" w:rsidP="004400E3">
      <w:r w:rsidRPr="002539EA">
        <w:t>Finite-element methods generally require the use of more sophisticated mathematics but, for some problems, may be more accurate numerically than standard finite-difference methods. A major advantage of the finite-element methods is the flexibility of the finite-element grid, which allows a close spatial approximation of irregular boundaries of the aquifer and (or) of parameter zones within the aquifer when they are considered. However, the construction and specification of an input data set are much more difficult for an irregular finite-element grid than for a regular rectangular finite-difference grid.</w:t>
      </w:r>
      <w:r w:rsidR="00EC1218" w:rsidRPr="002539EA">
        <w:t xml:space="preserve"> </w:t>
      </w:r>
    </w:p>
    <w:p w:rsidR="009026EB" w:rsidRDefault="00587CFA" w:rsidP="004400E3">
      <w:r w:rsidRPr="002539EA">
        <w:t>The method of characteristics was also developed to solve hyperbolic differential equations (advectively dominated transport equations). A major advantage is that the method minimizes numerical dispersion (Reddell and Sunada, 1970; Garder et al., 1964; Zheng and Bennett, 1995).</w:t>
      </w:r>
      <w:r w:rsidR="009026EB">
        <w:t xml:space="preserve">  </w:t>
      </w:r>
      <w:r w:rsidR="00670CDD" w:rsidRPr="002539EA">
        <w:t>Although finite-difference and finite-element models are commonly applied to transport problems, other types of numerical methods have also been applied to transport problems, including the method of characteristics, random walk, Eulerian-Lagrangian meth</w:t>
      </w:r>
      <w:r w:rsidR="009026EB">
        <w:t xml:space="preserve">ods, and adaptive grid methods. </w:t>
      </w:r>
      <w:r w:rsidR="00670CDD" w:rsidRPr="002539EA">
        <w:t>All of these methods have the ability to track sharp fronts accurately with a minimum of numerical dispersion.</w:t>
      </w:r>
      <w:r w:rsidR="009757AF" w:rsidRPr="002539EA">
        <w:t xml:space="preserve"> A d</w:t>
      </w:r>
      <w:r w:rsidR="00670CDD" w:rsidRPr="002539EA">
        <w:t>ocumented models based on variants of these approaches include Konikow and Bredehoeft (1978), Sanford and Konikow (1985), Prickett et al. (1981), and Zheng (1990).</w:t>
      </w:r>
      <w:r w:rsidR="00DF3410" w:rsidRPr="002539EA">
        <w:t xml:space="preserve"> </w:t>
      </w:r>
    </w:p>
    <w:p w:rsidR="00DF3410" w:rsidRPr="002539EA" w:rsidRDefault="00670CDD" w:rsidP="004400E3">
      <w:r w:rsidRPr="002539EA">
        <w:lastRenderedPageBreak/>
        <w:t>No single one of the standard numerical methods is ideal for a wide range of transport problems and conditions. Thus, there is currently still much research on developing better mixed or adaptive methods that aim to minimize numerical errors and combine the best features of alternative standard numerical approaches.</w:t>
      </w:r>
      <w:r w:rsidR="009757AF" w:rsidRPr="002539EA">
        <w:t xml:space="preserve"> </w:t>
      </w:r>
    </w:p>
    <w:p w:rsidR="008872D0" w:rsidRPr="002539EA" w:rsidRDefault="00053CBC" w:rsidP="00053CBC">
      <w:pPr>
        <w:pStyle w:val="Heading4"/>
        <w:numPr>
          <w:ilvl w:val="3"/>
          <w:numId w:val="1"/>
        </w:numPr>
      </w:pPr>
      <w:r w:rsidRPr="002539EA">
        <w:t>Models Review</w:t>
      </w:r>
    </w:p>
    <w:p w:rsidR="005036D4" w:rsidRPr="002539EA" w:rsidRDefault="0003059A" w:rsidP="0003059A">
      <w:r w:rsidRPr="002539EA">
        <w:t>Existing GIS software are extremely diverse in functionality, database struc</w:t>
      </w:r>
      <w:r w:rsidR="00911D53" w:rsidRPr="002539EA">
        <w:t xml:space="preserve">ture and hardware requirements. </w:t>
      </w:r>
      <w:r w:rsidRPr="002539EA">
        <w:t>Some of the popular GIS software is Arc/Info, ArcView, MapInfo, MGE (Modular GIS Environment)</w:t>
      </w:r>
      <w:r w:rsidR="00F6538B" w:rsidRPr="002539EA">
        <w:t>, Genasys, ERDAS, GRASS, IDRISI</w:t>
      </w:r>
      <w:r w:rsidRPr="002539EA">
        <w:t xml:space="preserve"> and Atlas. These software are sophisticated and have a variety of functionalities for GIS applications and analyses. Most of these software come with capabilities to handle data in various formats, thereby facilitating data transfer between GIS software. Some of the above software is hardware specific and others</w:t>
      </w:r>
      <w:r w:rsidR="00911D53" w:rsidRPr="002539EA">
        <w:t xml:space="preserve"> run on a variety of platforms. </w:t>
      </w:r>
      <w:r w:rsidRPr="002539EA">
        <w:t xml:space="preserve">A large number of generic deterministic groundwater models, based on a variety of numerical methods and a variety of conceptual models, are available. </w:t>
      </w:r>
    </w:p>
    <w:p w:rsidR="00DF3410" w:rsidRPr="002539EA" w:rsidRDefault="005036D4" w:rsidP="0003059A">
      <w:r w:rsidRPr="002539EA">
        <w:t xml:space="preserve">GIS can facilitate the development, calibration, and verification of models as well as the display of model parameters and results in modeling groundwater movement. Spatial statistics and grid design capabilities of GIS can improve the modeling effort and aid in reliability assessment. A GIS-MODFLOW interface is an example of a groundwater finite-difference model linked with a GIS. </w:t>
      </w:r>
      <w:r w:rsidR="0003059A" w:rsidRPr="002539EA">
        <w:t>The selection of a numerical method or generic model for a particular field problem depends on several factors, including accuracy, efficiency/cost, and usability. A large number and variety of generic groundwater models are documented an</w:t>
      </w:r>
      <w:r w:rsidR="00F24D04" w:rsidRPr="002539EA">
        <w:t>d available at the present times are the following.</w:t>
      </w:r>
      <w:r w:rsidR="00DF3410" w:rsidRPr="002539EA">
        <w:t xml:space="preserve"> </w:t>
      </w:r>
    </w:p>
    <w:p w:rsidR="003146BB" w:rsidRPr="002539EA" w:rsidRDefault="003146BB" w:rsidP="000001D2">
      <w:pPr>
        <w:pStyle w:val="ListParagraph"/>
        <w:numPr>
          <w:ilvl w:val="0"/>
          <w:numId w:val="23"/>
        </w:numPr>
      </w:pPr>
      <w:r w:rsidRPr="002539EA">
        <w:t xml:space="preserve">MODFLOW </w:t>
      </w:r>
    </w:p>
    <w:p w:rsidR="00D743DF" w:rsidRDefault="0003059A" w:rsidP="0003059A">
      <w:r w:rsidRPr="002539EA">
        <w:t>One of the most popular and comprehensive deterministic groundwater models available today is the MODFLOW code of McDonald and Harbaugh (1988) an</w:t>
      </w:r>
      <w:r w:rsidR="00D743DF">
        <w:t xml:space="preserve">d Harbaugh and McDonald (1996). </w:t>
      </w:r>
      <w:r w:rsidRPr="002539EA">
        <w:t xml:space="preserve">This is actually a family of compatible codes that centers on an implicit finite-difference solution to the three-dimensional flow equation that was coded in FORTRAN in a modular style to allow and encourage the development of additional packages or modules that can be added on </w:t>
      </w:r>
      <w:r w:rsidR="00FB439F" w:rsidRPr="002539EA">
        <w:t xml:space="preserve">or linked to the original code. </w:t>
      </w:r>
      <w:r w:rsidRPr="002539EA">
        <w:t xml:space="preserve">Newer packages offer several additional solution algorithms, including a preconditioned </w:t>
      </w:r>
      <w:r w:rsidR="001E44F2" w:rsidRPr="002539EA">
        <w:t>conjugate gradient</w:t>
      </w:r>
      <w:r w:rsidRPr="002539EA">
        <w:t xml:space="preserve"> solver (Hill, 1990) and a </w:t>
      </w:r>
      <w:r w:rsidR="00FB439F" w:rsidRPr="002539EA">
        <w:t xml:space="preserve">direct solver (Harbaugh, 1995). </w:t>
      </w:r>
    </w:p>
    <w:p w:rsidR="00603AED" w:rsidRDefault="0003059A" w:rsidP="0094438D">
      <w:r w:rsidRPr="002539EA">
        <w:lastRenderedPageBreak/>
        <w:t>The parameter-estimation package, MODFLOWP, can be used to estimate parameters (such as transmissivity, storage coefficient, leakance coefficients, recharge rates, evapotranspiration, and hydraulic head at constant-head boundaries) using non</w:t>
      </w:r>
      <w:r w:rsidR="00D743DF">
        <w:t xml:space="preserve">linear regression (Hill, 1992). </w:t>
      </w:r>
      <w:r w:rsidRPr="002539EA">
        <w:t>A variety of other MODFLOW accessory codes, packages, and features are available. Most of these were developed by the U.S. Geological Survey (USGS) and are summari</w:t>
      </w:r>
      <w:r w:rsidR="00603AED">
        <w:t xml:space="preserve">zed by Appel and Reilly (1994). </w:t>
      </w:r>
      <w:r w:rsidRPr="002539EA">
        <w:t>Other packages have been developed by non-USGS sources to work with MODFLOW; one example is the advective-dispersive solute-transport model MT3D (Zheng, 1990).</w:t>
      </w:r>
      <w:r w:rsidR="00603AED">
        <w:t xml:space="preserve"> </w:t>
      </w:r>
    </w:p>
    <w:p w:rsidR="000001D2" w:rsidRDefault="00642581" w:rsidP="0094438D">
      <w:r w:rsidRPr="002539EA">
        <w:t>MODFLOW is easy to set up and pre/post process files, free and modular (new package added frequently). However</w:t>
      </w:r>
      <w:r w:rsidR="0093344C" w:rsidRPr="002539EA">
        <w:t>,</w:t>
      </w:r>
      <w:r w:rsidR="00D743DF">
        <w:t xml:space="preserve"> it </w:t>
      </w:r>
      <w:r w:rsidRPr="002539EA">
        <w:t>cannot simulate complex geological features.</w:t>
      </w:r>
      <w:r w:rsidR="0093344C" w:rsidRPr="002539EA">
        <w:t xml:space="preserve"> </w:t>
      </w:r>
      <w:r w:rsidR="000001D2" w:rsidRPr="002539EA">
        <w:t xml:space="preserve">A considerable amount of research </w:t>
      </w:r>
      <w:r w:rsidR="0094438D" w:rsidRPr="002539EA">
        <w:t>was</w:t>
      </w:r>
      <w:r w:rsidR="000001D2" w:rsidRPr="002539EA">
        <w:t xml:space="preserve"> employed </w:t>
      </w:r>
      <w:r w:rsidR="0093344C" w:rsidRPr="002539EA">
        <w:t>MODFLOW</w:t>
      </w:r>
      <w:r w:rsidR="0094438D" w:rsidRPr="002539EA">
        <w:t xml:space="preserve"> for groundwater flow-modeling, sensitivity analysis etc. </w:t>
      </w:r>
      <w:r w:rsidR="00D9395F" w:rsidRPr="002539EA">
        <w:t>(Al-Muqdadi</w:t>
      </w:r>
      <w:r w:rsidR="00A36D0F" w:rsidRPr="002539EA">
        <w:t xml:space="preserve"> et al.</w:t>
      </w:r>
      <w:r w:rsidR="00D9395F" w:rsidRPr="002539EA">
        <w:t>, 2020</w:t>
      </w:r>
      <w:r w:rsidR="003076C9" w:rsidRPr="002539EA">
        <w:t xml:space="preserve">; </w:t>
      </w:r>
      <w:r w:rsidR="0017020C" w:rsidRPr="0017020C">
        <w:t>Dagalo</w:t>
      </w:r>
      <w:r w:rsidR="0017020C">
        <w:t>,</w:t>
      </w:r>
      <w:r w:rsidR="0017020C" w:rsidRPr="0017020C">
        <w:t xml:space="preserve"> </w:t>
      </w:r>
      <w:r w:rsidR="0017020C">
        <w:t xml:space="preserve">2005; </w:t>
      </w:r>
      <w:r w:rsidR="00C80020" w:rsidRPr="002539EA">
        <w:t xml:space="preserve">Efren, 2020; </w:t>
      </w:r>
      <w:r w:rsidR="003076C9" w:rsidRPr="002539EA">
        <w:t>Hogeboom, 2013</w:t>
      </w:r>
      <w:r w:rsidR="005D5677">
        <w:t xml:space="preserve">; </w:t>
      </w:r>
      <w:r w:rsidR="005D5677" w:rsidRPr="00A9303C">
        <w:t>Mitiku</w:t>
      </w:r>
      <w:r w:rsidR="005D5677">
        <w:t>, 2011</w:t>
      </w:r>
      <w:r w:rsidR="00D9395F" w:rsidRPr="002539EA">
        <w:t>)</w:t>
      </w:r>
      <w:r w:rsidR="0094438D" w:rsidRPr="002539EA">
        <w:t>.</w:t>
      </w:r>
    </w:p>
    <w:p w:rsidR="000C0B39" w:rsidRPr="002539EA" w:rsidRDefault="004016FE" w:rsidP="004016FE">
      <w:pPr>
        <w:pStyle w:val="ListParagraph"/>
        <w:numPr>
          <w:ilvl w:val="0"/>
          <w:numId w:val="23"/>
        </w:numPr>
      </w:pPr>
      <w:r w:rsidRPr="004016FE">
        <w:t xml:space="preserve">Method Of Characteristics </w:t>
      </w:r>
      <w:r>
        <w:t>(</w:t>
      </w:r>
      <w:r w:rsidR="000C0B39" w:rsidRPr="002539EA">
        <w:t>MOC</w:t>
      </w:r>
      <w:r>
        <w:t>)</w:t>
      </w:r>
    </w:p>
    <w:p w:rsidR="0017020C" w:rsidRDefault="000E3A05" w:rsidP="00053CBC">
      <w:r w:rsidRPr="002539EA">
        <w:t xml:space="preserve">MOC </w:t>
      </w:r>
      <w:r w:rsidR="002305FA" w:rsidRPr="002539EA">
        <w:t xml:space="preserve">model is </w:t>
      </w:r>
      <w:r w:rsidR="0003059A" w:rsidRPr="002539EA">
        <w:t>developed by Konikow and Bredehoeft (1978)</w:t>
      </w:r>
      <w:r w:rsidR="002305FA" w:rsidRPr="002539EA">
        <w:t>. It can simulate</w:t>
      </w:r>
      <w:r w:rsidR="0003059A" w:rsidRPr="002539EA">
        <w:t xml:space="preserve"> solute transport in flowing groundwater in two dimensions. The model has been extensively used since the mid-1970s and has been evolving through updates and improvements. The model computes changes in concentration over time caused by the processes of advective transport, hydrodynamic dispersion, mixing or dilution from fluid sources, and the following types of chemical reactions: first-order irreversible-rate reaction, such as radioactive decay; reversible equilibrium-c</w:t>
      </w:r>
      <w:r w:rsidR="001E44F2" w:rsidRPr="002539EA">
        <w:t xml:space="preserve">ontrolled sorption with linear, </w:t>
      </w:r>
      <w:r w:rsidR="0003059A" w:rsidRPr="002539EA">
        <w:t xml:space="preserve">Freundlich, or Langmuir isotherms; and reversible equilibrium-controlled ion exchange for monovalent or divalent ions. </w:t>
      </w:r>
    </w:p>
    <w:p w:rsidR="0017020C" w:rsidRDefault="0003059A" w:rsidP="000C0B39">
      <w:r w:rsidRPr="002539EA">
        <w:t>The model couples the groundwater flow equation with the solute-transport equation.</w:t>
      </w:r>
      <w:r w:rsidR="002305FA" w:rsidRPr="002539EA">
        <w:t xml:space="preserve"> </w:t>
      </w:r>
      <w:r w:rsidRPr="002539EA">
        <w:t>The model uses a finite-difference approximation to the groundwater flow equation and the method of characteristics to solve the solute-transport equation.</w:t>
      </w:r>
      <w:r w:rsidR="0017020C">
        <w:t xml:space="preserve"> </w:t>
      </w:r>
      <w:r w:rsidRPr="002539EA">
        <w:t>The original model of Konikow and Bredehoeft (1978) was later revised by Goode and Konikow (1989) and Konikow et al. (1994). The model has also been used as the foundation for MOCDENSE (Sanford and Konikow, 1985), a model that can simulate two constituents in a density-dependent flow system.</w:t>
      </w:r>
      <w:r w:rsidR="001F5987" w:rsidRPr="002539EA">
        <w:t xml:space="preserve"> </w:t>
      </w:r>
    </w:p>
    <w:p w:rsidR="00603AED" w:rsidRPr="002539EA" w:rsidRDefault="0003059A" w:rsidP="000C0B39">
      <w:r w:rsidRPr="002539EA">
        <w:lastRenderedPageBreak/>
        <w:t xml:space="preserve">There are public-domain and commercial preprocessors available, including PREMOC (Granato et al., 1993). A </w:t>
      </w:r>
      <w:r w:rsidR="00866E20" w:rsidRPr="002539EA">
        <w:t>3D</w:t>
      </w:r>
      <w:r w:rsidRPr="002539EA">
        <w:t xml:space="preserve"> version of the model (MOC3D) uses MODFLOW to simulate the flow system (Konikow et al., 1996)</w:t>
      </w:r>
      <w:r w:rsidR="00543516" w:rsidRPr="002539EA">
        <w:t>.</w:t>
      </w:r>
    </w:p>
    <w:p w:rsidR="000C0B39" w:rsidRPr="002539EA" w:rsidRDefault="000C0B39" w:rsidP="000C0B39">
      <w:r w:rsidRPr="002539EA">
        <w:t>C) Hydrogeosphere (HGS)</w:t>
      </w:r>
    </w:p>
    <w:p w:rsidR="00BC646B" w:rsidRPr="002539EA" w:rsidRDefault="000C0B39" w:rsidP="000C0B39">
      <w:r w:rsidRPr="002539EA">
        <w:t>The</w:t>
      </w:r>
      <w:r w:rsidR="00515F3B" w:rsidRPr="002539EA">
        <w:t xml:space="preserve"> model code Hydrogeosphere</w:t>
      </w:r>
      <w:r w:rsidRPr="002539EA">
        <w:t>, was designed primarily as a research tool and is especially well suited for highly integrated hydrologic modeling involving detailed simulation of rainfall-runoff, infiltration, vadose zone flow, streamflow, and groundwater processes</w:t>
      </w:r>
      <w:r w:rsidR="00F24D04" w:rsidRPr="002539EA">
        <w:t xml:space="preserve"> (Harter and Morel-Seytoux, 2013)</w:t>
      </w:r>
      <w:r w:rsidR="00DF3410" w:rsidRPr="002539EA">
        <w:t>.</w:t>
      </w:r>
    </w:p>
    <w:p w:rsidR="000C0B39" w:rsidRPr="002539EA" w:rsidRDefault="006E5732" w:rsidP="000C0B39">
      <w:r w:rsidRPr="002539EA">
        <w:t>D) Integrated Water Flow Model (IWFM)</w:t>
      </w:r>
    </w:p>
    <w:p w:rsidR="006E5732" w:rsidRPr="002539EA" w:rsidRDefault="006E5732" w:rsidP="006E5732">
      <w:r w:rsidRPr="002539EA">
        <w:t>IWFM is a comprehensive, water resources management and planning tool developed by the California Department of Water Resources (CADWR, 2005). IWFM simulates the groundwater flow, surface flows and interaction between surface and subsurface flow processes using fully coupled conservation equations</w:t>
      </w:r>
      <w:r w:rsidR="0068089A" w:rsidRPr="002539EA">
        <w:t xml:space="preserve"> (Emin et al., 2006</w:t>
      </w:r>
      <w:r w:rsidR="00F24D04" w:rsidRPr="002539EA">
        <w:t>; Harter and Morel-Seytoux, 2013)</w:t>
      </w:r>
      <w:r w:rsidRPr="002539EA">
        <w:t>.</w:t>
      </w:r>
    </w:p>
    <w:p w:rsidR="009E7DA3" w:rsidRPr="002539EA" w:rsidRDefault="009E7DA3" w:rsidP="006E5732">
      <w:r w:rsidRPr="002539EA">
        <w:t>E) Groundwater and Surface water flow (GSFLOW)</w:t>
      </w:r>
    </w:p>
    <w:p w:rsidR="00C72C44" w:rsidRPr="002539EA" w:rsidRDefault="009E3FE6" w:rsidP="006C37A8">
      <w:r w:rsidRPr="002539EA">
        <w:t>An integrated hydrologic model called GSFLOW was developed to simulate coupled ground-water and surface-water resources. The new model is based</w:t>
      </w:r>
      <w:r w:rsidR="003C3124">
        <w:t xml:space="preserve"> on the integration of the U.S.G.S. </w:t>
      </w:r>
      <w:r w:rsidRPr="002539EA">
        <w:t>Precipitati</w:t>
      </w:r>
      <w:r w:rsidR="003C3124">
        <w:t xml:space="preserve">on-Runoff Modeling System and the U.S.G.S. </w:t>
      </w:r>
      <w:r w:rsidRPr="002539EA">
        <w:t>Modular G</w:t>
      </w:r>
      <w:r w:rsidR="003C3124">
        <w:t>round-Water Flow Model</w:t>
      </w:r>
      <w:r w:rsidRPr="002539EA">
        <w:t xml:space="preserve">. Additional model components were developed, and existing components were modified, to facilitate integration of the models. Methods were developed to route flow among the PRMS </w:t>
      </w:r>
      <w:r w:rsidR="003C3124">
        <w:t>Hydrologic Response Units</w:t>
      </w:r>
      <w:r w:rsidRPr="002539EA">
        <w:t xml:space="preserve"> and between the HRUs and the MODFLOW finite-difference cells.</w:t>
      </w:r>
      <w:r w:rsidR="003C3124">
        <w:t xml:space="preserve"> </w:t>
      </w:r>
      <w:r w:rsidR="00675DED" w:rsidRPr="002539EA">
        <w:t>An important aspect of the integrated model design is its ability to conserve water mass and to provide comprehensive water budgets for a location of interest.</w:t>
      </w:r>
      <w:r w:rsidR="00C640E3" w:rsidRPr="002539EA">
        <w:t xml:space="preserve"> GSFLOW provid</w:t>
      </w:r>
      <w:r w:rsidR="009363AD" w:rsidRPr="002539EA">
        <w:t xml:space="preserve">es a robust modeling system for </w:t>
      </w:r>
      <w:r w:rsidR="00C640E3" w:rsidRPr="002539EA">
        <w:t>simulating flow through the hydrologic cycle, while allowing for future enhancements to incorporate other simulation techniques</w:t>
      </w:r>
      <w:r w:rsidR="006C37A8" w:rsidRPr="002539EA">
        <w:t xml:space="preserve"> (Markstrom, 2008).</w:t>
      </w:r>
    </w:p>
    <w:p w:rsidR="009E7DA3" w:rsidRPr="002539EA" w:rsidRDefault="009E7DA3" w:rsidP="006E5732">
      <w:r w:rsidRPr="002539EA">
        <w:t xml:space="preserve">F) </w:t>
      </w:r>
      <w:r w:rsidR="004A691A" w:rsidRPr="002539EA">
        <w:t>ParF</w:t>
      </w:r>
      <w:r w:rsidRPr="002539EA">
        <w:t>low</w:t>
      </w:r>
    </w:p>
    <w:p w:rsidR="003C3124" w:rsidRDefault="004A691A" w:rsidP="00962D75">
      <w:r w:rsidRPr="002539EA">
        <w:t>ParFlow is a parallel simulation platform that operates in steady-state saturated, variably saturated, and integrated-watershed flow modes.</w:t>
      </w:r>
      <w:r w:rsidR="003C3124">
        <w:t xml:space="preserve"> </w:t>
      </w:r>
      <w:r w:rsidR="00784369" w:rsidRPr="002539EA">
        <w:t xml:space="preserve">It is especially suitable for large scale problems on a range of single and multi-processor computing platforms. </w:t>
      </w:r>
    </w:p>
    <w:p w:rsidR="00BF6120" w:rsidRPr="002539EA" w:rsidRDefault="00784369" w:rsidP="00313DD2">
      <w:r w:rsidRPr="002539EA">
        <w:lastRenderedPageBreak/>
        <w:t>ParFlow can also simulates the three-dimensional saturated and variably saturated subsurface flow in heterogeneous porous media in three spatial dimensions using a multi grid preconditioned conjugate gradient solver and a Newton-Krylov nonlinear solver.</w:t>
      </w:r>
      <w:r w:rsidR="001643FA" w:rsidRPr="002539EA">
        <w:t xml:space="preserve"> </w:t>
      </w:r>
      <w:r w:rsidR="00962D75" w:rsidRPr="002539EA">
        <w:t xml:space="preserve">ParFlow has recently been extended to </w:t>
      </w:r>
      <w:r w:rsidR="00911D53" w:rsidRPr="002539EA">
        <w:t>couple</w:t>
      </w:r>
      <w:r w:rsidR="00962D75" w:rsidRPr="002539EA">
        <w:t xml:space="preserve"> surface-subsurface flow to enable the simulation of hill slope runoff and channel routing in a truly integrated fashion (Maxwell et al., 2010).</w:t>
      </w:r>
      <w:r w:rsidR="00322493">
        <w:t xml:space="preserve"> </w:t>
      </w:r>
      <w:r w:rsidR="001643FA" w:rsidRPr="002539EA">
        <w:t>T</w:t>
      </w:r>
      <w:r w:rsidR="00313DD2" w:rsidRPr="002539EA">
        <w:t>he</w:t>
      </w:r>
      <w:r w:rsidR="001643FA" w:rsidRPr="002539EA">
        <w:t xml:space="preserve"> </w:t>
      </w:r>
      <w:r w:rsidR="00313DD2" w:rsidRPr="002539EA">
        <w:t xml:space="preserve">outstanding physically based, </w:t>
      </w:r>
      <w:r w:rsidR="001643FA" w:rsidRPr="002539EA">
        <w:t xml:space="preserve">deterministic models including </w:t>
      </w:r>
      <w:r w:rsidR="00313DD2" w:rsidRPr="002539EA">
        <w:t>Modular hydrologic modelling system (MODHMS) and MIKE System Hydrologique European (SHE)</w:t>
      </w:r>
      <w:r w:rsidR="001643FA" w:rsidRPr="002539EA">
        <w:t xml:space="preserve"> are integrated, distributed, having a</w:t>
      </w:r>
      <w:r w:rsidR="00313DD2" w:rsidRPr="002539EA">
        <w:t xml:space="preserve"> records of publication</w:t>
      </w:r>
      <w:r w:rsidR="001643FA" w:rsidRPr="002539EA">
        <w:t xml:space="preserve"> and detailed documentation</w:t>
      </w:r>
      <w:r w:rsidR="00313DD2" w:rsidRPr="002539EA">
        <w:t xml:space="preserve">, have been </w:t>
      </w:r>
      <w:r w:rsidR="001643FA" w:rsidRPr="002539EA">
        <w:t xml:space="preserve">tested and </w:t>
      </w:r>
      <w:r w:rsidR="00313DD2" w:rsidRPr="002539EA">
        <w:t>used by non-development team members</w:t>
      </w:r>
      <w:r w:rsidR="001643FA" w:rsidRPr="002539EA">
        <w:t xml:space="preserve"> </w:t>
      </w:r>
      <w:r w:rsidR="00313DD2" w:rsidRPr="002539EA">
        <w:t>(Shamuyarira, 2017).</w:t>
      </w:r>
    </w:p>
    <w:p w:rsidR="00EB08C8" w:rsidRPr="002539EA" w:rsidRDefault="00EB08C8" w:rsidP="003A024A">
      <w:pPr>
        <w:pStyle w:val="Heading3"/>
        <w:numPr>
          <w:ilvl w:val="2"/>
          <w:numId w:val="1"/>
        </w:numPr>
      </w:pPr>
      <w:bookmarkStart w:id="82" w:name="_Toc68025063"/>
      <w:bookmarkStart w:id="83" w:name="_Toc68761546"/>
      <w:r w:rsidRPr="002539EA">
        <w:t xml:space="preserve">Groundwater </w:t>
      </w:r>
      <w:r w:rsidR="00F77D30" w:rsidRPr="002539EA">
        <w:t>Potential Mapping</w:t>
      </w:r>
      <w:r w:rsidR="004377EF" w:rsidRPr="002539EA">
        <w:t xml:space="preserve"> using GIS and Remote Sensing</w:t>
      </w:r>
      <w:bookmarkEnd w:id="82"/>
      <w:bookmarkEnd w:id="83"/>
    </w:p>
    <w:p w:rsidR="00C975E6" w:rsidRPr="002539EA" w:rsidRDefault="00E2753F" w:rsidP="003A024A">
      <w:pPr>
        <w:rPr>
          <w:bCs/>
        </w:rPr>
      </w:pPr>
      <w:r w:rsidRPr="002539EA">
        <w:rPr>
          <w:bCs/>
        </w:rPr>
        <w:t>Before the inco</w:t>
      </w:r>
      <w:r w:rsidR="00D77F73" w:rsidRPr="002539EA">
        <w:rPr>
          <w:bCs/>
        </w:rPr>
        <w:t xml:space="preserve">rporation of </w:t>
      </w:r>
      <w:r w:rsidR="00176BEB" w:rsidRPr="002539EA">
        <w:rPr>
          <w:bCs/>
        </w:rPr>
        <w:t>RS</w:t>
      </w:r>
      <w:r w:rsidR="006E4D94" w:rsidRPr="002539EA">
        <w:rPr>
          <w:bCs/>
        </w:rPr>
        <w:t xml:space="preserve"> techniques</w:t>
      </w:r>
      <w:r w:rsidR="00DD39FE" w:rsidRPr="002539EA">
        <w:rPr>
          <w:bCs/>
        </w:rPr>
        <w:t>,</w:t>
      </w:r>
      <w:r w:rsidR="006E4D94" w:rsidRPr="002539EA">
        <w:rPr>
          <w:bCs/>
        </w:rPr>
        <w:t xml:space="preserve"> </w:t>
      </w:r>
      <w:r w:rsidR="0041209E" w:rsidRPr="002539EA">
        <w:rPr>
          <w:bCs/>
        </w:rPr>
        <w:t xml:space="preserve">groundwater potential study was </w:t>
      </w:r>
      <w:r w:rsidR="00EB08C8" w:rsidRPr="002539EA">
        <w:rPr>
          <w:bCs/>
        </w:rPr>
        <w:t xml:space="preserve">only done </w:t>
      </w:r>
      <w:r w:rsidR="0041209E" w:rsidRPr="002539EA">
        <w:rPr>
          <w:bCs/>
        </w:rPr>
        <w:t xml:space="preserve">by </w:t>
      </w:r>
      <w:r w:rsidR="00EB08C8" w:rsidRPr="002539EA">
        <w:rPr>
          <w:bCs/>
        </w:rPr>
        <w:t xml:space="preserve">using </w:t>
      </w:r>
      <w:r w:rsidR="00931572" w:rsidRPr="002539EA">
        <w:rPr>
          <w:bCs/>
        </w:rPr>
        <w:t xml:space="preserve">the </w:t>
      </w:r>
      <w:r w:rsidR="00EB08C8" w:rsidRPr="002539EA">
        <w:rPr>
          <w:bCs/>
        </w:rPr>
        <w:t xml:space="preserve">data from field observations. </w:t>
      </w:r>
      <w:r w:rsidR="00BC60A9" w:rsidRPr="002539EA">
        <w:rPr>
          <w:bCs/>
        </w:rPr>
        <w:t>In developing countries like Ethiopia</w:t>
      </w:r>
      <w:r w:rsidR="00A04E45" w:rsidRPr="002539EA">
        <w:rPr>
          <w:bCs/>
        </w:rPr>
        <w:t>,</w:t>
      </w:r>
      <w:r w:rsidR="00BC60A9" w:rsidRPr="002539EA">
        <w:rPr>
          <w:bCs/>
        </w:rPr>
        <w:t xml:space="preserve"> most of </w:t>
      </w:r>
      <w:r w:rsidR="00DD39FE" w:rsidRPr="002539EA">
        <w:rPr>
          <w:bCs/>
        </w:rPr>
        <w:t xml:space="preserve">the </w:t>
      </w:r>
      <w:r w:rsidR="00BC60A9" w:rsidRPr="002539EA">
        <w:rPr>
          <w:bCs/>
        </w:rPr>
        <w:t>hydrogeological investigations have been done using conventional techniques</w:t>
      </w:r>
      <w:r w:rsidR="00E2612D" w:rsidRPr="002539EA">
        <w:rPr>
          <w:bCs/>
        </w:rPr>
        <w:t xml:space="preserve">. </w:t>
      </w:r>
      <w:r w:rsidR="00BC60A9" w:rsidRPr="002539EA">
        <w:rPr>
          <w:bCs/>
        </w:rPr>
        <w:t xml:space="preserve">The conventional approaches for groundwater investigation like </w:t>
      </w:r>
      <w:r w:rsidR="00DE344F" w:rsidRPr="002539EA">
        <w:rPr>
          <w:bCs/>
        </w:rPr>
        <w:t>ground-based</w:t>
      </w:r>
      <w:r w:rsidR="00BC60A9" w:rsidRPr="002539EA">
        <w:rPr>
          <w:bCs/>
        </w:rPr>
        <w:t xml:space="preserve"> surveys and exploratory drilling are understood to be t</w:t>
      </w:r>
      <w:r w:rsidR="00DD39FE" w:rsidRPr="002539EA">
        <w:rPr>
          <w:bCs/>
        </w:rPr>
        <w:t>ime-</w:t>
      </w:r>
      <w:r w:rsidR="00A04E45" w:rsidRPr="002539EA">
        <w:rPr>
          <w:bCs/>
        </w:rPr>
        <w:t>consuming</w:t>
      </w:r>
      <w:r w:rsidR="005673E4" w:rsidRPr="002539EA">
        <w:rPr>
          <w:bCs/>
        </w:rPr>
        <w:t xml:space="preserve">, </w:t>
      </w:r>
      <w:r w:rsidR="00A04E45" w:rsidRPr="002539EA">
        <w:rPr>
          <w:bCs/>
        </w:rPr>
        <w:t>uneconomical</w:t>
      </w:r>
      <w:r w:rsidR="005673E4" w:rsidRPr="002539EA">
        <w:rPr>
          <w:bCs/>
        </w:rPr>
        <w:t xml:space="preserve"> and </w:t>
      </w:r>
      <w:r w:rsidR="005B4E48" w:rsidRPr="002539EA">
        <w:rPr>
          <w:bCs/>
        </w:rPr>
        <w:t xml:space="preserve"> </w:t>
      </w:r>
      <w:r w:rsidR="005673E4" w:rsidRPr="002539EA">
        <w:rPr>
          <w:bCs/>
        </w:rPr>
        <w:t>abl</w:t>
      </w:r>
      <w:r w:rsidR="00E74492" w:rsidRPr="002539EA">
        <w:rPr>
          <w:bCs/>
        </w:rPr>
        <w:t xml:space="preserve">e to cover small areas of land </w:t>
      </w:r>
      <w:r w:rsidR="00650A04" w:rsidRPr="002539EA">
        <w:rPr>
          <w:rStyle w:val="FootnoteReference"/>
          <w:bCs/>
        </w:rPr>
        <w:fldChar w:fldCharType="begin" w:fldLock="1"/>
      </w:r>
      <w:r w:rsidR="00A309A8" w:rsidRPr="002539EA">
        <w:rPr>
          <w:bCs/>
        </w:rPr>
        <w:instrText>ADDIN CSL_CITATION {"citationItems":[{"id":"ITEM-1","itemData":{"author":[{"dropping-particle":"","family":"Marghany","given":"M.","non-dropping-particle":"","parse-names":false,"suffix":""},{"dropping-particle":"","family":"Hashim","given":"M.","non-dropping-particle":"","parse-names":false,"suffix":""},{"dropping-particle":"","family":"Mansor","given":"S.","non-dropping-particle":"","parse-names":false,"suffix":""}],"container-title":"American journal of engineering and applied sciences","id":"ITEM-1","issue":"2","issued":{"date-parts":[["2009"]]},"page":"476-480","title":"Geologic mapping of United Arab Emirates using multispectral remotely sensed data","type":"article-journal","volume":"2"},"uris":["http://www.mendeley.com/documents/?uuid=21a93f29-ea14-4309-bdc7-f7a0a34ddbe5","http://www.mendeley.com/documents/?uuid=a427f6d5-3490-4e78-8ff9-9df752b33133"]},{"id":"ITEM-2","itemData":{"author":[{"dropping-particle":"","family":"Mamo","given":"Abiy Getachow","non-dropping-particle":"","parse-names":false,"suffix":""}],"id":"ITEM-2","issued":{"date-parts":[["2007"]]},"publisher":"Addis Abeba University","title":"Integration of Remote Sensing and GIS for groundwater resources assessment in Moyale-Teltele sub-basin, South Ethiopia","type":"thesis"},"uris":["http://www.mendeley.com/documents/?uuid=a4612bda-b9ad-4651-b243-8cc550d350e5","http://www.mendeley.com/documents/?uuid=b21e7646-ce00-4c8e-98e5-626eb5fe2344"]}],"mendeley":{"formattedCitation":"(Mamo, 2007; Marghany et al., 2009)","plainTextFormattedCitation":"(Mamo, 2007; Marghany et al., 2009)","previouslyFormattedCitation":"(Mamo, 2007; Marghany et al., 2009)"},"properties":{"noteIndex":0},"schema":"https://github.com/citation-style-language/schema/raw/master/csl-citation.json"}</w:instrText>
      </w:r>
      <w:r w:rsidR="00650A04" w:rsidRPr="002539EA">
        <w:rPr>
          <w:rStyle w:val="FootnoteReference"/>
          <w:bCs/>
        </w:rPr>
        <w:fldChar w:fldCharType="separate"/>
      </w:r>
      <w:r w:rsidR="005673E4" w:rsidRPr="002539EA">
        <w:rPr>
          <w:bCs/>
          <w:noProof/>
        </w:rPr>
        <w:t>(Mamo, 2007; Marghany et al., 2009)</w:t>
      </w:r>
      <w:r w:rsidR="00650A04" w:rsidRPr="002539EA">
        <w:rPr>
          <w:rStyle w:val="FootnoteReference"/>
          <w:bCs/>
        </w:rPr>
        <w:fldChar w:fldCharType="end"/>
      </w:r>
      <w:r w:rsidR="00727B89" w:rsidRPr="002539EA">
        <w:rPr>
          <w:bCs/>
        </w:rPr>
        <w:t xml:space="preserve">. </w:t>
      </w:r>
    </w:p>
    <w:p w:rsidR="0085644B" w:rsidRPr="002539EA" w:rsidRDefault="000B0631" w:rsidP="003A024A">
      <w:pPr>
        <w:rPr>
          <w:bCs/>
        </w:rPr>
      </w:pPr>
      <w:r w:rsidRPr="002539EA">
        <w:rPr>
          <w:bCs/>
        </w:rPr>
        <w:t xml:space="preserve">Several researchers have successfully utilized GIS and </w:t>
      </w:r>
      <w:r w:rsidR="00D52258" w:rsidRPr="002539EA">
        <w:rPr>
          <w:bCs/>
        </w:rPr>
        <w:t>RS</w:t>
      </w:r>
      <w:r w:rsidRPr="002539EA">
        <w:rPr>
          <w:bCs/>
        </w:rPr>
        <w:t xml:space="preserve"> technologies in </w:t>
      </w:r>
      <w:r w:rsidR="008C4FB0" w:rsidRPr="002539EA">
        <w:rPr>
          <w:bCs/>
        </w:rPr>
        <w:t xml:space="preserve">the </w:t>
      </w:r>
      <w:r w:rsidRPr="002539EA">
        <w:rPr>
          <w:bCs/>
        </w:rPr>
        <w:t xml:space="preserve">identification of </w:t>
      </w:r>
      <w:r w:rsidR="00D07352" w:rsidRPr="002539EA">
        <w:rPr>
          <w:bCs/>
        </w:rPr>
        <w:t>GWPZ</w:t>
      </w:r>
      <w:r w:rsidRPr="002539EA">
        <w:rPr>
          <w:bCs/>
        </w:rPr>
        <w:t xml:space="preserve"> around the world. RS in the form of aerial photography, satellite imagery and geophysics evolved as solutions with larger coverage, lesser collection period and access to physically inaccessible areas</w:t>
      </w:r>
      <w:r w:rsidR="00C975E6" w:rsidRPr="002539EA">
        <w:rPr>
          <w:bCs/>
        </w:rPr>
        <w:t xml:space="preserve">. </w:t>
      </w:r>
      <w:r w:rsidR="00FA3075" w:rsidRPr="002539EA">
        <w:rPr>
          <w:bCs/>
        </w:rPr>
        <w:t>The study conducted by</w:t>
      </w:r>
      <w:r w:rsidR="001D463A" w:rsidRPr="002539EA">
        <w:rPr>
          <w:bCs/>
        </w:rPr>
        <w:t xml:space="preserve"> Gebrie</w:t>
      </w:r>
      <w:r w:rsidR="00C260F0" w:rsidRPr="002539EA">
        <w:rPr>
          <w:bCs/>
        </w:rPr>
        <w:t xml:space="preserve"> </w:t>
      </w:r>
      <w:r w:rsidR="003E5EF8" w:rsidRPr="002539EA">
        <w:rPr>
          <w:bCs/>
        </w:rPr>
        <w:t>et al.</w:t>
      </w:r>
      <w:r w:rsidR="001D463A" w:rsidRPr="002539EA">
        <w:rPr>
          <w:bCs/>
        </w:rPr>
        <w:t xml:space="preserve"> (2019)</w:t>
      </w:r>
      <w:r w:rsidR="00FA3075" w:rsidRPr="002539EA">
        <w:rPr>
          <w:bCs/>
        </w:rPr>
        <w:t xml:space="preserve"> </w:t>
      </w:r>
      <w:r w:rsidR="00FA3075" w:rsidRPr="002539EA">
        <w:t>delineate</w:t>
      </w:r>
      <w:r w:rsidR="00C62A65" w:rsidRPr="002539EA">
        <w:t>s</w:t>
      </w:r>
      <w:r w:rsidR="00FA3075" w:rsidRPr="002539EA">
        <w:t xml:space="preserve"> the </w:t>
      </w:r>
      <w:r w:rsidR="00D07352" w:rsidRPr="002539EA">
        <w:t xml:space="preserve">GWPZ </w:t>
      </w:r>
      <w:r w:rsidR="00FA3075" w:rsidRPr="002539EA">
        <w:t xml:space="preserve">of </w:t>
      </w:r>
      <w:r w:rsidR="00C62A65" w:rsidRPr="002539EA">
        <w:t xml:space="preserve">the </w:t>
      </w:r>
      <w:r w:rsidR="00FA3075" w:rsidRPr="002539EA">
        <w:rPr>
          <w:bCs/>
        </w:rPr>
        <w:t>Guna tana</w:t>
      </w:r>
      <w:r w:rsidR="001D463A" w:rsidRPr="002539EA">
        <w:rPr>
          <w:bCs/>
        </w:rPr>
        <w:t xml:space="preserve"> landscape, upper Blue Nile b</w:t>
      </w:r>
      <w:r w:rsidR="00FA3075" w:rsidRPr="002539EA">
        <w:rPr>
          <w:bCs/>
        </w:rPr>
        <w:t>asin</w:t>
      </w:r>
      <w:r w:rsidR="001D463A" w:rsidRPr="002539EA">
        <w:rPr>
          <w:bCs/>
        </w:rPr>
        <w:t xml:space="preserve"> of </w:t>
      </w:r>
      <w:r w:rsidR="00FA3075" w:rsidRPr="002539EA">
        <w:rPr>
          <w:bCs/>
        </w:rPr>
        <w:t>Ethiopia</w:t>
      </w:r>
      <w:r w:rsidR="00FA3075" w:rsidRPr="002539EA">
        <w:t xml:space="preserve"> by using GIS and </w:t>
      </w:r>
      <w:r w:rsidR="00C70D09" w:rsidRPr="002539EA">
        <w:t>RS</w:t>
      </w:r>
      <w:r w:rsidR="00FA3075" w:rsidRPr="002539EA">
        <w:t xml:space="preserve">. </w:t>
      </w:r>
      <w:r w:rsidR="00F311AA" w:rsidRPr="002539EA">
        <w:t xml:space="preserve">MCDA </w:t>
      </w:r>
      <w:r w:rsidR="00E72348" w:rsidRPr="002539EA">
        <w:t>technique</w:t>
      </w:r>
      <w:r w:rsidR="00C70D09" w:rsidRPr="002539EA">
        <w:t>s</w:t>
      </w:r>
      <w:r w:rsidR="00E72348" w:rsidRPr="002539EA">
        <w:t xml:space="preserve"> were </w:t>
      </w:r>
      <w:r w:rsidR="00FA3075" w:rsidRPr="002539EA">
        <w:t xml:space="preserve">used to develop the </w:t>
      </w:r>
      <w:r w:rsidR="00176BEB" w:rsidRPr="002539EA">
        <w:t>GWPZ</w:t>
      </w:r>
      <w:r w:rsidR="00FA3075" w:rsidRPr="002539EA">
        <w:t xml:space="preserve"> by integrating different groundwate</w:t>
      </w:r>
      <w:r w:rsidR="00D84069" w:rsidRPr="002539EA">
        <w:t xml:space="preserve">r contributing thematic layers. </w:t>
      </w:r>
      <w:r w:rsidR="00046526" w:rsidRPr="002539EA">
        <w:t xml:space="preserve">Another study conducted by </w:t>
      </w:r>
      <w:r w:rsidR="00F3382F" w:rsidRPr="002539EA">
        <w:rPr>
          <w:bCs/>
        </w:rPr>
        <w:t>Berihun</w:t>
      </w:r>
      <w:r w:rsidR="00ED739F" w:rsidRPr="002539EA">
        <w:rPr>
          <w:bCs/>
        </w:rPr>
        <w:t xml:space="preserve"> </w:t>
      </w:r>
      <w:r w:rsidR="003D122D" w:rsidRPr="002539EA">
        <w:rPr>
          <w:bCs/>
        </w:rPr>
        <w:t>(</w:t>
      </w:r>
      <w:r w:rsidR="0015473B" w:rsidRPr="002539EA">
        <w:t xml:space="preserve">2018) </w:t>
      </w:r>
      <w:r w:rsidR="00C70D09" w:rsidRPr="002539EA">
        <w:rPr>
          <w:bCs/>
        </w:rPr>
        <w:t xml:space="preserve">assessed </w:t>
      </w:r>
      <w:r w:rsidR="00403AC9" w:rsidRPr="002539EA">
        <w:rPr>
          <w:bCs/>
        </w:rPr>
        <w:t xml:space="preserve">the </w:t>
      </w:r>
      <w:r w:rsidR="00C70D09" w:rsidRPr="002539EA">
        <w:rPr>
          <w:bCs/>
        </w:rPr>
        <w:t>GWPZ</w:t>
      </w:r>
      <w:r w:rsidR="00A4616A" w:rsidRPr="002539EA">
        <w:rPr>
          <w:bCs/>
        </w:rPr>
        <w:t xml:space="preserve"> </w:t>
      </w:r>
      <w:r w:rsidR="00403AC9" w:rsidRPr="002539EA">
        <w:rPr>
          <w:bCs/>
        </w:rPr>
        <w:t>of Sekota Woreda, North Ethiopia.</w:t>
      </w:r>
      <w:r w:rsidR="00AE38BE" w:rsidRPr="002539EA">
        <w:rPr>
          <w:bCs/>
        </w:rPr>
        <w:t xml:space="preserve"> I</w:t>
      </w:r>
      <w:r w:rsidR="00C70D09" w:rsidRPr="002539EA">
        <w:rPr>
          <w:bCs/>
        </w:rPr>
        <w:t>ntegration of MCDA</w:t>
      </w:r>
      <w:r w:rsidR="00E72348" w:rsidRPr="002539EA">
        <w:rPr>
          <w:bCs/>
        </w:rPr>
        <w:t xml:space="preserve">, </w:t>
      </w:r>
      <w:r w:rsidR="0044562B" w:rsidRPr="002539EA">
        <w:rPr>
          <w:bCs/>
        </w:rPr>
        <w:t xml:space="preserve">RS </w:t>
      </w:r>
      <w:r w:rsidR="00E72348" w:rsidRPr="002539EA">
        <w:rPr>
          <w:bCs/>
        </w:rPr>
        <w:t xml:space="preserve">and </w:t>
      </w:r>
      <w:r w:rsidR="00176BEB" w:rsidRPr="002539EA">
        <w:rPr>
          <w:bCs/>
        </w:rPr>
        <w:t xml:space="preserve">GIS </w:t>
      </w:r>
      <w:r w:rsidR="00E72348" w:rsidRPr="002539EA">
        <w:rPr>
          <w:bCs/>
        </w:rPr>
        <w:t>techniques</w:t>
      </w:r>
      <w:r w:rsidR="00AE38BE" w:rsidRPr="002539EA">
        <w:rPr>
          <w:bCs/>
        </w:rPr>
        <w:t xml:space="preserve"> were</w:t>
      </w:r>
      <w:r w:rsidR="00E72348" w:rsidRPr="002539EA">
        <w:rPr>
          <w:bCs/>
        </w:rPr>
        <w:t xml:space="preserve"> </w:t>
      </w:r>
      <w:r w:rsidR="00AE38BE" w:rsidRPr="002539EA">
        <w:rPr>
          <w:bCs/>
        </w:rPr>
        <w:t xml:space="preserve">employed </w:t>
      </w:r>
      <w:r w:rsidR="00E72348" w:rsidRPr="002539EA">
        <w:rPr>
          <w:bCs/>
        </w:rPr>
        <w:t xml:space="preserve">to delineate </w:t>
      </w:r>
      <w:r w:rsidR="0044562B" w:rsidRPr="002539EA">
        <w:rPr>
          <w:bCs/>
        </w:rPr>
        <w:t xml:space="preserve">the </w:t>
      </w:r>
      <w:r w:rsidR="00D07352" w:rsidRPr="002539EA">
        <w:rPr>
          <w:bCs/>
        </w:rPr>
        <w:t>GWPZ</w:t>
      </w:r>
      <w:r w:rsidR="0044562B" w:rsidRPr="002539EA">
        <w:rPr>
          <w:bCs/>
        </w:rPr>
        <w:t xml:space="preserve"> of study area</w:t>
      </w:r>
      <w:r w:rsidR="00AE38BE" w:rsidRPr="002539EA">
        <w:rPr>
          <w:bCs/>
        </w:rPr>
        <w:t>.</w:t>
      </w:r>
      <w:r w:rsidR="0044562B" w:rsidRPr="002539EA">
        <w:rPr>
          <w:bCs/>
        </w:rPr>
        <w:t xml:space="preserve"> </w:t>
      </w:r>
    </w:p>
    <w:p w:rsidR="003119E0" w:rsidRDefault="00E72348" w:rsidP="003A024A">
      <w:pPr>
        <w:rPr>
          <w:bCs/>
        </w:rPr>
      </w:pPr>
      <w:r w:rsidRPr="002539EA">
        <w:rPr>
          <w:bCs/>
        </w:rPr>
        <w:t>The study appr</w:t>
      </w:r>
      <w:r w:rsidR="00046526" w:rsidRPr="002539EA">
        <w:rPr>
          <w:bCs/>
        </w:rPr>
        <w:t>oach involves</w:t>
      </w:r>
      <w:r w:rsidRPr="002539EA">
        <w:rPr>
          <w:bCs/>
        </w:rPr>
        <w:t xml:space="preserve"> integration of t</w:t>
      </w:r>
      <w:r w:rsidR="00D00CB7" w:rsidRPr="002539EA">
        <w:rPr>
          <w:bCs/>
        </w:rPr>
        <w:t xml:space="preserve">hematic layers </w:t>
      </w:r>
      <w:r w:rsidR="00162A22" w:rsidRPr="002539EA">
        <w:rPr>
          <w:bCs/>
        </w:rPr>
        <w:t xml:space="preserve">based on </w:t>
      </w:r>
      <w:r w:rsidR="00046526" w:rsidRPr="002539EA">
        <w:rPr>
          <w:bCs/>
        </w:rPr>
        <w:t xml:space="preserve">the </w:t>
      </w:r>
      <w:r w:rsidR="00162A22" w:rsidRPr="002539EA">
        <w:rPr>
          <w:bCs/>
        </w:rPr>
        <w:t xml:space="preserve">weights assignment and </w:t>
      </w:r>
      <w:r w:rsidRPr="002539EA">
        <w:rPr>
          <w:bCs/>
        </w:rPr>
        <w:t xml:space="preserve">normalization </w:t>
      </w:r>
      <w:r w:rsidR="00D00CB7" w:rsidRPr="002539EA">
        <w:rPr>
          <w:bCs/>
        </w:rPr>
        <w:t xml:space="preserve">concerning </w:t>
      </w:r>
      <w:r w:rsidRPr="002539EA">
        <w:rPr>
          <w:bCs/>
        </w:rPr>
        <w:t xml:space="preserve">the relative contribution of the </w:t>
      </w:r>
      <w:r w:rsidR="00162A22" w:rsidRPr="002539EA">
        <w:rPr>
          <w:bCs/>
        </w:rPr>
        <w:t xml:space="preserve">themes to groundwater </w:t>
      </w:r>
      <w:r w:rsidRPr="002539EA">
        <w:rPr>
          <w:bCs/>
        </w:rPr>
        <w:t xml:space="preserve">occurrence using Saaty’s </w:t>
      </w:r>
      <w:r w:rsidR="00EB569B" w:rsidRPr="002539EA">
        <w:t>AHP</w:t>
      </w:r>
      <w:r w:rsidRPr="002539EA">
        <w:rPr>
          <w:bCs/>
        </w:rPr>
        <w:t>.</w:t>
      </w:r>
      <w:r w:rsidR="00727B89" w:rsidRPr="002539EA">
        <w:rPr>
          <w:bCs/>
        </w:rPr>
        <w:t xml:space="preserve"> </w:t>
      </w:r>
      <w:r w:rsidR="00533620" w:rsidRPr="002539EA">
        <w:rPr>
          <w:bCs/>
        </w:rPr>
        <w:t>The GWPZ</w:t>
      </w:r>
      <w:r w:rsidR="00D07352" w:rsidRPr="002539EA">
        <w:rPr>
          <w:bCs/>
        </w:rPr>
        <w:t xml:space="preserve"> </w:t>
      </w:r>
      <w:r w:rsidR="00533620" w:rsidRPr="002539EA">
        <w:rPr>
          <w:bCs/>
        </w:rPr>
        <w:t>were</w:t>
      </w:r>
      <w:r w:rsidR="00162A22" w:rsidRPr="002539EA">
        <w:rPr>
          <w:bCs/>
        </w:rPr>
        <w:t xml:space="preserve"> classifi</w:t>
      </w:r>
      <w:r w:rsidR="00533620" w:rsidRPr="002539EA">
        <w:rPr>
          <w:bCs/>
        </w:rPr>
        <w:t>ed as low, moderate</w:t>
      </w:r>
      <w:r w:rsidR="0085644B" w:rsidRPr="002539EA">
        <w:rPr>
          <w:bCs/>
        </w:rPr>
        <w:t xml:space="preserve"> and high zone. </w:t>
      </w:r>
      <w:r w:rsidR="00C975E6" w:rsidRPr="002539EA">
        <w:rPr>
          <w:bCs/>
        </w:rPr>
        <w:t>V</w:t>
      </w:r>
      <w:r w:rsidR="00F31DC2" w:rsidRPr="002539EA">
        <w:rPr>
          <w:bCs/>
        </w:rPr>
        <w:t xml:space="preserve">alidation </w:t>
      </w:r>
      <w:r w:rsidR="00521C64" w:rsidRPr="002539EA">
        <w:rPr>
          <w:bCs/>
        </w:rPr>
        <w:t xml:space="preserve">of the result with existing </w:t>
      </w:r>
      <w:r w:rsidR="000D0DC8" w:rsidRPr="002539EA">
        <w:rPr>
          <w:bCs/>
        </w:rPr>
        <w:t>water point</w:t>
      </w:r>
      <w:r w:rsidR="00521C64" w:rsidRPr="002539EA">
        <w:rPr>
          <w:bCs/>
        </w:rPr>
        <w:t xml:space="preserve"> yield data </w:t>
      </w:r>
      <w:r w:rsidR="00F31DC2" w:rsidRPr="002539EA">
        <w:rPr>
          <w:bCs/>
        </w:rPr>
        <w:t>highlights the efficiency of the integrated RS and GIS methods</w:t>
      </w:r>
      <w:r w:rsidR="00BD2EA7" w:rsidRPr="002539EA">
        <w:rPr>
          <w:bCs/>
        </w:rPr>
        <w:t xml:space="preserve"> for GWPZ mapping. </w:t>
      </w:r>
    </w:p>
    <w:p w:rsidR="001061B3" w:rsidRPr="002539EA" w:rsidRDefault="00BE6518" w:rsidP="003A024A">
      <w:r w:rsidRPr="002539EA">
        <w:rPr>
          <w:bCs/>
        </w:rPr>
        <w:lastRenderedPageBreak/>
        <w:t>Generally</w:t>
      </w:r>
      <w:r w:rsidR="00D00CB7" w:rsidRPr="002539EA">
        <w:rPr>
          <w:bCs/>
        </w:rPr>
        <w:t>,</w:t>
      </w:r>
      <w:r w:rsidRPr="002539EA">
        <w:rPr>
          <w:bCs/>
        </w:rPr>
        <w:t xml:space="preserve"> </w:t>
      </w:r>
      <w:r w:rsidR="00D00CB7" w:rsidRPr="002539EA">
        <w:rPr>
          <w:bCs/>
        </w:rPr>
        <w:t xml:space="preserve">a </w:t>
      </w:r>
      <w:r w:rsidRPr="002539EA">
        <w:rPr>
          <w:bCs/>
        </w:rPr>
        <w:t xml:space="preserve">various study conducted </w:t>
      </w:r>
      <w:r w:rsidR="00913131" w:rsidRPr="002539EA">
        <w:rPr>
          <w:bCs/>
        </w:rPr>
        <w:t xml:space="preserve">by </w:t>
      </w:r>
      <w:r w:rsidR="00D00CB7" w:rsidRPr="002539EA">
        <w:rPr>
          <w:bCs/>
        </w:rPr>
        <w:t>several</w:t>
      </w:r>
      <w:r w:rsidR="00913131" w:rsidRPr="002539EA">
        <w:rPr>
          <w:bCs/>
        </w:rPr>
        <w:t xml:space="preserve"> researchers </w:t>
      </w:r>
      <w:r w:rsidR="00DA72C8" w:rsidRPr="002539EA">
        <w:rPr>
          <w:bCs/>
        </w:rPr>
        <w:t xml:space="preserve">on the </w:t>
      </w:r>
      <w:r w:rsidR="00176BEB" w:rsidRPr="002539EA">
        <w:rPr>
          <w:bCs/>
        </w:rPr>
        <w:t>worldwide</w:t>
      </w:r>
      <w:r w:rsidR="00DA72C8" w:rsidRPr="002539EA">
        <w:rPr>
          <w:bCs/>
        </w:rPr>
        <w:t>, continent</w:t>
      </w:r>
      <w:r w:rsidR="00946FFA" w:rsidRPr="002539EA">
        <w:rPr>
          <w:bCs/>
        </w:rPr>
        <w:t xml:space="preserve"> </w:t>
      </w:r>
      <w:r w:rsidR="00DA72C8" w:rsidRPr="002539EA">
        <w:rPr>
          <w:bCs/>
        </w:rPr>
        <w:t xml:space="preserve">and in Ethiopia </w:t>
      </w:r>
      <w:r w:rsidRPr="002539EA">
        <w:rPr>
          <w:bCs/>
        </w:rPr>
        <w:t xml:space="preserve">shows the efficiency of the integrated RS and GIS methods </w:t>
      </w:r>
      <w:r w:rsidR="00913131" w:rsidRPr="002539EA">
        <w:rPr>
          <w:bCs/>
        </w:rPr>
        <w:t>for</w:t>
      </w:r>
      <w:r w:rsidR="000D0DC8" w:rsidRPr="002539EA">
        <w:rPr>
          <w:bCs/>
        </w:rPr>
        <w:t xml:space="preserve"> GWPZ.</w:t>
      </w:r>
      <w:r w:rsidR="00913131" w:rsidRPr="002539EA">
        <w:rPr>
          <w:bCs/>
        </w:rPr>
        <w:t xml:space="preserve"> </w:t>
      </w:r>
      <w:r w:rsidR="008347E6" w:rsidRPr="002539EA">
        <w:rPr>
          <w:bCs/>
        </w:rPr>
        <w:t xml:space="preserve">The approach provides </w:t>
      </w:r>
      <w:r w:rsidRPr="002539EA">
        <w:rPr>
          <w:bCs/>
        </w:rPr>
        <w:t xml:space="preserve">a </w:t>
      </w:r>
      <w:r w:rsidR="00F31DC2" w:rsidRPr="002539EA">
        <w:rPr>
          <w:bCs/>
        </w:rPr>
        <w:t>proper gr</w:t>
      </w:r>
      <w:r w:rsidR="0014575E" w:rsidRPr="002539EA">
        <w:rPr>
          <w:bCs/>
        </w:rPr>
        <w:t xml:space="preserve">oundwater resources evaluation, </w:t>
      </w:r>
      <w:r w:rsidR="00F31DC2" w:rsidRPr="002539EA">
        <w:rPr>
          <w:bCs/>
        </w:rPr>
        <w:t xml:space="preserve">quick </w:t>
      </w:r>
      <w:r w:rsidR="008347E6" w:rsidRPr="002539EA">
        <w:rPr>
          <w:bCs/>
        </w:rPr>
        <w:t xml:space="preserve">guides of </w:t>
      </w:r>
      <w:r w:rsidR="00D00CB7" w:rsidRPr="002539EA">
        <w:rPr>
          <w:bCs/>
        </w:rPr>
        <w:t xml:space="preserve">perspective </w:t>
      </w:r>
      <w:r w:rsidR="008347E6" w:rsidRPr="002539EA">
        <w:rPr>
          <w:bCs/>
        </w:rPr>
        <w:t xml:space="preserve">groundwater exploration </w:t>
      </w:r>
      <w:r w:rsidR="00F31DC2" w:rsidRPr="002539EA">
        <w:rPr>
          <w:bCs/>
        </w:rPr>
        <w:t>and exploitation</w:t>
      </w:r>
      <w:r w:rsidR="00BB4074" w:rsidRPr="002539EA">
        <w:rPr>
          <w:bCs/>
        </w:rPr>
        <w:t xml:space="preserve"> </w:t>
      </w:r>
      <w:r w:rsidR="00BB4074" w:rsidRPr="002539EA">
        <w:rPr>
          <w:bCs/>
        </w:rPr>
        <w:fldChar w:fldCharType="begin" w:fldLock="1"/>
      </w:r>
      <w:r w:rsidR="00A309A8" w:rsidRPr="002539EA">
        <w:rPr>
          <w:bCs/>
        </w:rPr>
        <w:instrText>ADDIN CSL_CITATION {"citationItems":[{"id":"ITEM-1","itemData":{"id":"ITEM-1","issued":{"date-parts":[["2019"]]},"title":"Evaluation of Groundwater Potential by GIS-Based Multicriteria Decision Making as a Spatial Prediction Tool : Case Study in the Tigris River","type":"article-journal"},"uris":["http://www.mendeley.com/documents/?uuid=9a11a820-ce53-4a5e-b286-ebd4066dbc16"]},{"id":"ITEM-2","itemData":{"DOI":"10.1016/j.gsf.2019.12.013","ISSN":"1674-9871","author":[{"dropping-particle":"","family":"Arshad","given":"Arfan","non-dropping-particle":"","parse-names":false,"suffix":""},{"dropping-particle":"","family":"Zhang","given":"Zhijie","non-dropping-particle":"","parse-names":false,"suffix":""},{"dropping-particle":"","family":"Zhang","given":"Wanchang","non-dropping-particle":"","parse-names":false,"suffix":""},{"dropping-particle":"","family":"Dilawar","given":"Adil","non-dropping-particle":"","parse-names":false,"suffix":""}],"container-title":"Geoscience Frontiers","id":"ITEM-2","issue":"5","issued":{"date-parts":[["2020"]]},"page":"1805-1819","publisher":"Elsevier Ltd","title":"Geoscience Frontiers Mapping favorable groundwater potential recharge zones using a GIS-based analytical hierarchical process and probability frequency ratio model : A case study from an agro-urban region of Pakistan","type":"article-journal","volume":"11"},"uris":["http://www.mendeley.com/documents/?uuid=58ee594c-e53f-4af2-a818-b6ca5fcc85f9"]},{"id":"ITEM-3","itemData":{"ISSN":"22145818","abstract":"Study Region: Part of the Lake Tana sub-basin of the Blue Nile, Ethiopia Study focus: This study is aimed to identify and locate the groundwater potential zones of Megech watershed using geographic information system (GIS) and remote sensing. Lithology, lineament density, slope, geomorphology, soil, land use and land cover, rainfall, drainage density and elevation were used as proxy data to map the groundwater potential zones of the watershed. Weights were assigned for each thematic layer and thematic layer classes using the PriEsT Analytical Hierarchy Process (AHP) tool. Suitably ArcGIS overlay analysis was conducted to obtain the groundwater potential map. Geology, lineament density, slope and geomorphology were found to be the dominant and sensitive factors for groundwater zoning as portrayed in the map removal analysis. New hydrological insights for the region: Three groundwater potential zones were identified in the study area namely low, moderate and high. These groundwater potential zones were compared with an independent set of groundwater inventory data to validate the results. The validation analysis showed 78.5 % agreement between the groundwater inventory data and the qualitative results. Use of proxy data can serve as a credible source of information for groundwater potential zoning and could greatly help in the groundwater development and management of a region.","author":[{"dropping-particle":"","family":"Berhanu","given":"Kibrit Gedam","non-dropping-particle":"","parse-names":false,"suffix":""},{"dropping-particle":"","family":"Hatiye","given":"Samuel Dagalo","non-dropping-particle":"","parse-names":false,"suffix":""}],"container-title":"Journal of Hydrology: Regional Studies","id":"ITEM-3","issue":"2","issued":{"date-parts":[["2020"]]},"page":"1-20","publisher":"Elsevier","title":"Identification of Groundwater Potential Zones Using Proxy Data: Case study of Megech Watershed, Ethiopia","type":"article-journal","volume":"28"},"uris":["http://www.mendeley.com/documents/?uuid=eb26e103-6c48-4c4c-ba99-ee12644d8c83","http://www.mendeley.com/documents/?uuid=3490be92-453d-4041-a8ee-a20a1819fce5"]}],"mendeley":{"formattedCitation":"(Arshad et al., 2020; K. G. Berhanu &amp; Hatiye, 2020; &lt;i&gt;Evaluation of Groundwater Potential by GIS-Based Multicriteria Decision Making as a Spatial Prediction Tool : Case Study in the Tigris River&lt;/i&gt;, 2019)","manualFormatting":"(Arshad et al., 2020; Berhanu and Hatiye, 2020; Çelik, 2019)","plainTextFormattedCitation":"(Arshad et al., 2020; K. G. Berhanu &amp; Hatiye, 2020; Evaluation of Groundwater Potential by GIS-Based Multicriteria Decision Making as a Spatial Prediction Tool : Case Study in the Tigris River, 2019)","previouslyFormattedCitation":"(Arshad et al., 2020; K. G. Berhanu &amp; Hatiye, 2020; &lt;i&gt;Evaluation of Groundwater Potential by GIS-Based Multicriteria Decision Making as a Spatial Prediction Tool : Case Study in the Tigris River&lt;/i&gt;, 2019)"},"properties":{"noteIndex":0},"schema":"https://github.com/citation-style-language/schema/raw/master/csl-citation.json"}</w:instrText>
      </w:r>
      <w:r w:rsidR="00BB4074" w:rsidRPr="002539EA">
        <w:rPr>
          <w:bCs/>
        </w:rPr>
        <w:fldChar w:fldCharType="separate"/>
      </w:r>
      <w:r w:rsidR="00E230CE" w:rsidRPr="002539EA">
        <w:rPr>
          <w:bCs/>
          <w:noProof/>
        </w:rPr>
        <w:t>(Arshad et al., 2020; Berhanu and</w:t>
      </w:r>
      <w:r w:rsidR="00BB4074" w:rsidRPr="002539EA">
        <w:rPr>
          <w:bCs/>
          <w:noProof/>
        </w:rPr>
        <w:t xml:space="preserve"> Hatiye, 2020; Çelik, 2019)</w:t>
      </w:r>
      <w:r w:rsidR="00BB4074" w:rsidRPr="002539EA">
        <w:rPr>
          <w:bCs/>
        </w:rPr>
        <w:fldChar w:fldCharType="end"/>
      </w:r>
      <w:r w:rsidR="00BB4074" w:rsidRPr="002539EA">
        <w:rPr>
          <w:bCs/>
        </w:rPr>
        <w:t>.</w:t>
      </w:r>
    </w:p>
    <w:p w:rsidR="003F3AFB" w:rsidRPr="002539EA" w:rsidRDefault="003F3AFB" w:rsidP="003A024A">
      <w:pPr>
        <w:pStyle w:val="Heading3"/>
        <w:numPr>
          <w:ilvl w:val="2"/>
          <w:numId w:val="1"/>
        </w:numPr>
      </w:pPr>
      <w:bookmarkStart w:id="84" w:name="_Toc68025064"/>
      <w:bookmarkStart w:id="85" w:name="_Toc68761547"/>
      <w:r w:rsidRPr="002539EA">
        <w:t xml:space="preserve">Factors </w:t>
      </w:r>
      <w:r w:rsidR="00F77D30" w:rsidRPr="002539EA">
        <w:t>Influencing Groundwater Potential</w:t>
      </w:r>
      <w:bookmarkEnd w:id="84"/>
      <w:bookmarkEnd w:id="85"/>
    </w:p>
    <w:p w:rsidR="002056E6" w:rsidRPr="002539EA" w:rsidRDefault="00936298" w:rsidP="003A024A">
      <w:pPr>
        <w:rPr>
          <w:bCs/>
        </w:rPr>
      </w:pPr>
      <w:r w:rsidRPr="002539EA">
        <w:t>T</w:t>
      </w:r>
      <w:r w:rsidR="001C4865" w:rsidRPr="002539EA">
        <w:t xml:space="preserve">he occurrence of groundwater </w:t>
      </w:r>
      <w:r w:rsidRPr="002539EA">
        <w:t xml:space="preserve">potential </w:t>
      </w:r>
      <w:r w:rsidR="001C4865" w:rsidRPr="002539EA">
        <w:t xml:space="preserve">is mainly influenced by the geophysical and climatic conditions of the area. The difficulty in obtaining productive aquifers is a peculiar feature of Ethiopia, which </w:t>
      </w:r>
      <w:r w:rsidR="008F001C" w:rsidRPr="002539EA">
        <w:t xml:space="preserve">is </w:t>
      </w:r>
      <w:r w:rsidR="001C4865" w:rsidRPr="002539EA">
        <w:t>characterized by the wide heter</w:t>
      </w:r>
      <w:r w:rsidR="004C00ED" w:rsidRPr="002539EA">
        <w:t>ogeneity of geology, topography</w:t>
      </w:r>
      <w:r w:rsidR="001C4865" w:rsidRPr="002539EA">
        <w:t xml:space="preserve"> and environmental conditions</w:t>
      </w:r>
      <w:r w:rsidR="00DC4AE3" w:rsidRPr="002539EA">
        <w:t xml:space="preserve"> </w:t>
      </w:r>
      <w:r w:rsidR="00650A04" w:rsidRPr="002539EA">
        <w:rPr>
          <w:rStyle w:val="FootnoteReference"/>
        </w:rPr>
        <w:fldChar w:fldCharType="begin" w:fldLock="1"/>
      </w:r>
      <w:r w:rsidR="00A309A8" w:rsidRPr="002539EA">
        <w:instrText>ADDIN CSL_CITATION {"citationItems":[{"id":"ITEM-1","itemData":{"author":[{"dropping-particle":"","family":"Seifu K","given":"","non-dropping-particle":"","parse-names":false,"suffix":""}],"id":"ITEM-1","issued":{"date-parts":[["2006"]]},"number-of-pages":"1-91","publisher":"Addis Abeba University Press","publisher-place":"Addis Abeba","title":"Groundwater occurrence in Ethiopia","type":"book"},"uris":["http://www.mendeley.com/documents/?uuid=a4cb3eb4-1017-44f4-a387-c63b570d9da7","http://www.mendeley.com/documents/?uuid=badc7660-6e71-41d2-8cc1-df9619ab825c"]}],"mendeley":{"formattedCitation":"(Seifu K, 2006)","manualFormatting":"(Alemayehu, 2006)","plainTextFormattedCitation":"(Seifu K, 2006)","previouslyFormattedCitation":"(Seifu K, 2006)"},"properties":{"noteIndex":0},"schema":"https://github.com/citation-style-language/schema/raw/master/csl-citation.json"}</w:instrText>
      </w:r>
      <w:r w:rsidR="00650A04" w:rsidRPr="002539EA">
        <w:rPr>
          <w:rStyle w:val="FootnoteReference"/>
        </w:rPr>
        <w:fldChar w:fldCharType="separate"/>
      </w:r>
      <w:r w:rsidR="00D72AAE" w:rsidRPr="002539EA">
        <w:rPr>
          <w:noProof/>
        </w:rPr>
        <w:t>(Alemayehu, 2006)</w:t>
      </w:r>
      <w:r w:rsidR="00650A04" w:rsidRPr="002539EA">
        <w:rPr>
          <w:rStyle w:val="FootnoteReference"/>
        </w:rPr>
        <w:fldChar w:fldCharType="end"/>
      </w:r>
      <w:r w:rsidR="004C00ED" w:rsidRPr="002539EA">
        <w:t xml:space="preserve">. </w:t>
      </w:r>
      <w:r w:rsidR="00B723C9" w:rsidRPr="002539EA">
        <w:t xml:space="preserve">An integrated approach </w:t>
      </w:r>
      <w:r w:rsidR="008476F1" w:rsidRPr="002539EA">
        <w:t>of</w:t>
      </w:r>
      <w:r w:rsidR="00B723C9" w:rsidRPr="002539EA">
        <w:t xml:space="preserve"> </w:t>
      </w:r>
      <w:r w:rsidR="003A455D" w:rsidRPr="002539EA">
        <w:t xml:space="preserve">RS </w:t>
      </w:r>
      <w:r w:rsidR="00B723C9" w:rsidRPr="002539EA">
        <w:t xml:space="preserve">and </w:t>
      </w:r>
      <w:r w:rsidR="003A455D" w:rsidRPr="002539EA">
        <w:t xml:space="preserve">GIS </w:t>
      </w:r>
      <w:r w:rsidR="00B723C9" w:rsidRPr="002539EA">
        <w:t>was adopted to assess th</w:t>
      </w:r>
      <w:r w:rsidR="0060006D" w:rsidRPr="002539EA">
        <w:t>e groundwater potential in the S</w:t>
      </w:r>
      <w:r w:rsidR="00B723C9" w:rsidRPr="002539EA">
        <w:t>outher</w:t>
      </w:r>
      <w:r w:rsidR="005A233A" w:rsidRPr="002539EA">
        <w:t>n lowland</w:t>
      </w:r>
      <w:r w:rsidR="006D1B7F" w:rsidRPr="002539EA">
        <w:t xml:space="preserve"> of Ethiopia, Moyale-t</w:t>
      </w:r>
      <w:r w:rsidR="00452199" w:rsidRPr="002539EA">
        <w:t>eltele S</w:t>
      </w:r>
      <w:r w:rsidR="00A27375" w:rsidRPr="002539EA">
        <w:t xml:space="preserve">ub-basin of </w:t>
      </w:r>
      <w:r w:rsidR="00B723C9" w:rsidRPr="002539EA">
        <w:t>Ge</w:t>
      </w:r>
      <w:r w:rsidR="001E7DB2" w:rsidRPr="002539EA">
        <w:t>nale-</w:t>
      </w:r>
      <w:r w:rsidR="00B723C9" w:rsidRPr="002539EA">
        <w:t xml:space="preserve">Dawa </w:t>
      </w:r>
      <w:r w:rsidR="00F627C7" w:rsidRPr="002539EA">
        <w:t>R</w:t>
      </w:r>
      <w:r w:rsidR="004B7090" w:rsidRPr="002539EA">
        <w:t xml:space="preserve">iver basin. </w:t>
      </w:r>
      <w:r w:rsidR="00D313B3" w:rsidRPr="002539EA">
        <w:t>The</w:t>
      </w:r>
      <w:r w:rsidR="00B954DE" w:rsidRPr="002539EA">
        <w:t xml:space="preserve"> </w:t>
      </w:r>
      <w:r w:rsidR="00B723C9" w:rsidRPr="002539EA">
        <w:t>lithology, structure, geomorphology, s</w:t>
      </w:r>
      <w:r w:rsidR="00810995" w:rsidRPr="002539EA">
        <w:t xml:space="preserve">lope, </w:t>
      </w:r>
      <w:r w:rsidR="00736659" w:rsidRPr="002539EA">
        <w:t>LU/LC</w:t>
      </w:r>
      <w:r w:rsidR="004C00ED" w:rsidRPr="002539EA">
        <w:t xml:space="preserve"> </w:t>
      </w:r>
      <w:r w:rsidR="007B05FE" w:rsidRPr="002539EA">
        <w:t>and drainage</w:t>
      </w:r>
      <w:r w:rsidR="006A2F59" w:rsidRPr="002539EA">
        <w:t xml:space="preserve"> </w:t>
      </w:r>
      <w:r w:rsidR="004C00ED" w:rsidRPr="002539EA">
        <w:t xml:space="preserve">density </w:t>
      </w:r>
      <w:r w:rsidR="00B954DE" w:rsidRPr="002539EA">
        <w:t xml:space="preserve">were considered for </w:t>
      </w:r>
      <w:r w:rsidR="00F433B4" w:rsidRPr="002539EA">
        <w:t>mapping groundwater potential zone</w:t>
      </w:r>
      <w:r w:rsidR="00A27375" w:rsidRPr="002539EA">
        <w:t xml:space="preserve"> </w:t>
      </w:r>
      <w:r w:rsidR="00650A04" w:rsidRPr="002539EA">
        <w:rPr>
          <w:rStyle w:val="FootnoteReference"/>
          <w:bCs/>
        </w:rPr>
        <w:fldChar w:fldCharType="begin" w:fldLock="1"/>
      </w:r>
      <w:r w:rsidR="00A309A8" w:rsidRPr="002539EA">
        <w:rPr>
          <w:bCs/>
        </w:rPr>
        <w:instrText>ADDIN CSL_CITATION {"citationItems":[{"id":"ITEM-1","itemData":{"author":[{"dropping-particle":"","family":"Mamo","given":"Abiy Getachow","non-dropping-particle":"","parse-names":false,"suffix":""}],"id":"ITEM-1","issued":{"date-parts":[["2007"]]},"publisher":"Addis Abeba University","title":"Integration of Remote Sensing and GIS for groundwater resources assessment in Moyale-Teltele sub-basin, South Ethiopia","type":"thesis"},"uris":["http://www.mendeley.com/documents/?uuid=a4612bda-b9ad-4651-b243-8cc550d350e5","http://www.mendeley.com/documents/?uuid=b21e7646-ce00-4c8e-98e5-626eb5fe2344"]}],"mendeley":{"formattedCitation":"(Mamo, 2007)","plainTextFormattedCitation":"(Mamo, 2007)","previouslyFormattedCitation":"(Mamo, 2007)"},"properties":{"noteIndex":0},"schema":"https://github.com/citation-style-language/schema/raw/master/csl-citation.json"}</w:instrText>
      </w:r>
      <w:r w:rsidR="00650A04" w:rsidRPr="002539EA">
        <w:rPr>
          <w:rStyle w:val="FootnoteReference"/>
          <w:bCs/>
        </w:rPr>
        <w:fldChar w:fldCharType="separate"/>
      </w:r>
      <w:r w:rsidR="00E539F2" w:rsidRPr="002539EA">
        <w:rPr>
          <w:bCs/>
          <w:noProof/>
        </w:rPr>
        <w:t>(Mamo, 2007)</w:t>
      </w:r>
      <w:r w:rsidR="00650A04" w:rsidRPr="002539EA">
        <w:rPr>
          <w:rStyle w:val="FootnoteReference"/>
          <w:bCs/>
        </w:rPr>
        <w:fldChar w:fldCharType="end"/>
      </w:r>
      <w:r w:rsidR="006A2F59" w:rsidRPr="002539EA">
        <w:rPr>
          <w:bCs/>
        </w:rPr>
        <w:t>.</w:t>
      </w:r>
      <w:r w:rsidR="00136B8F" w:rsidRPr="002539EA">
        <w:rPr>
          <w:bCs/>
        </w:rPr>
        <w:t xml:space="preserve"> </w:t>
      </w:r>
    </w:p>
    <w:p w:rsidR="003119E0" w:rsidRDefault="008F001C" w:rsidP="003A024A">
      <w:r w:rsidRPr="002539EA">
        <w:t>The l</w:t>
      </w:r>
      <w:r w:rsidR="008B2852" w:rsidRPr="002539EA">
        <w:t xml:space="preserve">atest study of </w:t>
      </w:r>
      <w:r w:rsidRPr="002539EA">
        <w:t>g</w:t>
      </w:r>
      <w:r w:rsidR="0002189D" w:rsidRPr="002539EA">
        <w:t xml:space="preserve">roundwater potential assessment using </w:t>
      </w:r>
      <w:r w:rsidRPr="002539EA">
        <w:t xml:space="preserve">a </w:t>
      </w:r>
      <w:r w:rsidR="008B2852" w:rsidRPr="002539EA">
        <w:t xml:space="preserve">similar technique </w:t>
      </w:r>
      <w:r w:rsidR="001225EA" w:rsidRPr="002539EA">
        <w:t>were</w:t>
      </w:r>
      <w:r w:rsidR="002167FB" w:rsidRPr="002539EA">
        <w:t xml:space="preserve"> conducted </w:t>
      </w:r>
      <w:r w:rsidR="00F11464" w:rsidRPr="002539EA">
        <w:t xml:space="preserve">by </w:t>
      </w:r>
      <w:r w:rsidR="00F63890" w:rsidRPr="002539EA">
        <w:t>Andualem and</w:t>
      </w:r>
      <w:r w:rsidR="001225EA" w:rsidRPr="002539EA">
        <w:t xml:space="preserve"> Demeke (2019); </w:t>
      </w:r>
      <w:r w:rsidR="00F11464" w:rsidRPr="002539EA">
        <w:t>Gebrie</w:t>
      </w:r>
      <w:r w:rsidR="00974E26" w:rsidRPr="002539EA">
        <w:t xml:space="preserve"> et al</w:t>
      </w:r>
      <w:r w:rsidR="002C21FD" w:rsidRPr="002539EA">
        <w:t>.</w:t>
      </w:r>
      <w:r w:rsidR="00974E26" w:rsidRPr="002539EA">
        <w:t xml:space="preserve"> (20</w:t>
      </w:r>
      <w:r w:rsidR="00F63890" w:rsidRPr="002539EA">
        <w:t>19); Berhanu and</w:t>
      </w:r>
      <w:r w:rsidR="001225EA" w:rsidRPr="002539EA">
        <w:t xml:space="preserve"> Hatiye, (2020) and Gebru et al., (2020). </w:t>
      </w:r>
      <w:r w:rsidR="004C00ED" w:rsidRPr="002539EA">
        <w:t>The studies</w:t>
      </w:r>
      <w:r w:rsidR="00DA7743" w:rsidRPr="002539EA">
        <w:t xml:space="preserve"> consider several </w:t>
      </w:r>
      <w:r w:rsidR="004C00ED" w:rsidRPr="002539EA">
        <w:t>factors including; lithology</w:t>
      </w:r>
      <w:r w:rsidR="00857764" w:rsidRPr="002539EA">
        <w:t>, geological structures, soil, lineament features, slope, d</w:t>
      </w:r>
      <w:r w:rsidR="00F433B4" w:rsidRPr="002539EA">
        <w:t xml:space="preserve">rainage pattern, geomorphology, </w:t>
      </w:r>
      <w:r w:rsidR="001225EA" w:rsidRPr="002539EA">
        <w:t>LU</w:t>
      </w:r>
      <w:r w:rsidR="00ED4E6F" w:rsidRPr="002539EA">
        <w:t>/</w:t>
      </w:r>
      <w:r w:rsidR="001225EA" w:rsidRPr="002539EA">
        <w:t>LC</w:t>
      </w:r>
      <w:r w:rsidR="00F433B4" w:rsidRPr="002539EA">
        <w:t xml:space="preserve">, </w:t>
      </w:r>
      <w:r w:rsidR="009F4981" w:rsidRPr="002539EA">
        <w:t>normalized difference vegetation index (NDVI) and topographic wetness index (T</w:t>
      </w:r>
      <w:r w:rsidR="00F433B4" w:rsidRPr="002539EA">
        <w:t>WI</w:t>
      </w:r>
      <w:r w:rsidR="009F4981" w:rsidRPr="002539EA">
        <w:t>)</w:t>
      </w:r>
      <w:r w:rsidR="00F433B4" w:rsidRPr="002539EA">
        <w:t xml:space="preserve"> to</w:t>
      </w:r>
      <w:r w:rsidR="00BC1298" w:rsidRPr="002539EA">
        <w:t xml:space="preserve"> </w:t>
      </w:r>
      <w:r w:rsidR="008B2852" w:rsidRPr="002539EA">
        <w:t xml:space="preserve">identify </w:t>
      </w:r>
      <w:r w:rsidR="00BC1298" w:rsidRPr="002539EA">
        <w:t xml:space="preserve">the </w:t>
      </w:r>
      <w:r w:rsidR="008B2852" w:rsidRPr="002539EA">
        <w:t>occurrence and movement of groundwater</w:t>
      </w:r>
      <w:r w:rsidR="001225EA" w:rsidRPr="002539EA">
        <w:t>.</w:t>
      </w:r>
      <w:r w:rsidR="00B66DAF" w:rsidRPr="002539EA">
        <w:t xml:space="preserve"> </w:t>
      </w:r>
    </w:p>
    <w:p w:rsidR="00B173DF" w:rsidRPr="002539EA" w:rsidRDefault="00E27743" w:rsidP="003A024A">
      <w:r w:rsidRPr="002539EA">
        <w:t>Even though</w:t>
      </w:r>
      <w:r w:rsidR="004E795F" w:rsidRPr="002539EA">
        <w:t xml:space="preserve"> </w:t>
      </w:r>
      <w:r w:rsidR="0090445B" w:rsidRPr="002539EA">
        <w:t xml:space="preserve">the </w:t>
      </w:r>
      <w:r w:rsidR="004E795F" w:rsidRPr="002539EA">
        <w:t xml:space="preserve">degree of influence will vary depending on the hydrologic, </w:t>
      </w:r>
      <w:r w:rsidR="009B70BE" w:rsidRPr="002539EA">
        <w:t>hydro-geologic</w:t>
      </w:r>
      <w:r w:rsidR="002C21FD" w:rsidRPr="002539EA">
        <w:t xml:space="preserve"> and topographic or </w:t>
      </w:r>
      <w:r w:rsidRPr="002539EA">
        <w:t xml:space="preserve">physiographic </w:t>
      </w:r>
      <w:r w:rsidR="009F272A" w:rsidRPr="002539EA">
        <w:t xml:space="preserve">factors </w:t>
      </w:r>
      <w:r w:rsidRPr="002539EA">
        <w:t>almost</w:t>
      </w:r>
      <w:r w:rsidR="008A10C5" w:rsidRPr="002539EA">
        <w:t xml:space="preserve"> </w:t>
      </w:r>
      <w:r w:rsidRPr="002539EA">
        <w:t>all t</w:t>
      </w:r>
      <w:r w:rsidR="00DA69DC" w:rsidRPr="002539EA">
        <w:t xml:space="preserve">he considered factor </w:t>
      </w:r>
      <w:r w:rsidR="006F340F" w:rsidRPr="002539EA">
        <w:t>influences</w:t>
      </w:r>
      <w:r w:rsidR="00DA69DC" w:rsidRPr="002539EA">
        <w:t xml:space="preserve"> </w:t>
      </w:r>
      <w:r w:rsidR="009F272A" w:rsidRPr="002539EA">
        <w:t xml:space="preserve">the </w:t>
      </w:r>
      <w:r w:rsidR="009B70BE" w:rsidRPr="002539EA">
        <w:t>GWPZ</w:t>
      </w:r>
      <w:r w:rsidR="00850C26" w:rsidRPr="002539EA">
        <w:t>.</w:t>
      </w:r>
      <w:r w:rsidR="008262EF" w:rsidRPr="002539EA">
        <w:t xml:space="preserve"> </w:t>
      </w:r>
      <w:r w:rsidR="006F340F" w:rsidRPr="002539EA">
        <w:t>Therefore,</w:t>
      </w:r>
      <w:r w:rsidR="00A51F7E" w:rsidRPr="002539EA">
        <w:t xml:space="preserve"> in order to obtain </w:t>
      </w:r>
      <w:r w:rsidR="00FC5666" w:rsidRPr="002539EA">
        <w:t>more</w:t>
      </w:r>
      <w:r w:rsidR="00A51F7E" w:rsidRPr="002539EA">
        <w:t xml:space="preserve"> accurate information </w:t>
      </w:r>
      <w:r w:rsidR="00190293" w:rsidRPr="002539EA">
        <w:t xml:space="preserve">about the occurrence and distribution of groundwater increasing the </w:t>
      </w:r>
      <w:r w:rsidR="006F340F" w:rsidRPr="002539EA">
        <w:t>number</w:t>
      </w:r>
      <w:r w:rsidR="00190293" w:rsidRPr="002539EA">
        <w:t xml:space="preserve"> of </w:t>
      </w:r>
      <w:r w:rsidR="00A51F7E" w:rsidRPr="002539EA">
        <w:t xml:space="preserve">parameters </w:t>
      </w:r>
      <w:r w:rsidR="00AE54E6" w:rsidRPr="002539EA">
        <w:t>is mandatory.</w:t>
      </w:r>
      <w:r w:rsidR="00A56122" w:rsidRPr="002539EA">
        <w:t xml:space="preserve"> </w:t>
      </w:r>
      <w:r w:rsidR="00D814C3" w:rsidRPr="002539EA">
        <w:t>To bound the factors in Saaty’s random consistency index (RI) which computed for n ≤ 10 and minimize the complexity of finding the plausible random index for n &gt; 10 some factors which is possible to describe by dominant factor (major factors encompassing the minors) a</w:t>
      </w:r>
      <w:r w:rsidR="003119E0">
        <w:t xml:space="preserve">re merged together. </w:t>
      </w:r>
      <w:r w:rsidR="00D814C3" w:rsidRPr="002539EA">
        <w:t xml:space="preserve">Thus, </w:t>
      </w:r>
      <w:r w:rsidR="00AE54E6" w:rsidRPr="002539EA">
        <w:t xml:space="preserve">in the present study </w:t>
      </w:r>
      <w:r w:rsidR="00D814C3" w:rsidRPr="002539EA">
        <w:t>t</w:t>
      </w:r>
      <w:r w:rsidR="00546E7D" w:rsidRPr="002539EA">
        <w:t xml:space="preserve">he </w:t>
      </w:r>
      <w:r w:rsidR="003D42EC" w:rsidRPr="002539EA">
        <w:t>LU/LC and TPI were considered</w:t>
      </w:r>
      <w:r w:rsidR="00AD0435" w:rsidRPr="002539EA">
        <w:t>,</w:t>
      </w:r>
      <w:r w:rsidR="003D42EC" w:rsidRPr="002539EA">
        <w:t xml:space="preserve"> while neglecting the normalized difference vegetation index and topographic wetness index.</w:t>
      </w:r>
    </w:p>
    <w:p w:rsidR="002C2677" w:rsidRPr="002539EA" w:rsidRDefault="00B45BC0" w:rsidP="003A024A">
      <w:pPr>
        <w:pStyle w:val="Heading4"/>
        <w:numPr>
          <w:ilvl w:val="3"/>
          <w:numId w:val="1"/>
        </w:numPr>
        <w:spacing w:before="120" w:after="120"/>
      </w:pPr>
      <w:r w:rsidRPr="002539EA">
        <w:lastRenderedPageBreak/>
        <w:t>Geomorphology</w:t>
      </w:r>
    </w:p>
    <w:p w:rsidR="003424AA" w:rsidRPr="002539EA" w:rsidRDefault="00F40280" w:rsidP="003A024A">
      <w:pPr>
        <w:autoSpaceDE w:val="0"/>
        <w:autoSpaceDN w:val="0"/>
        <w:adjustRightInd w:val="0"/>
      </w:pPr>
      <w:r w:rsidRPr="002539EA">
        <w:t>The study of landforms is a</w:t>
      </w:r>
      <w:r w:rsidR="00A70180" w:rsidRPr="002539EA">
        <w:t>n</w:t>
      </w:r>
      <w:r w:rsidRPr="002539EA">
        <w:t xml:space="preserve"> important branch of earth science that can be used for the prediction of watershed characteristics (Mokarram et al., 2018).</w:t>
      </w:r>
      <w:r w:rsidR="00A72D3B" w:rsidRPr="002539EA">
        <w:t xml:space="preserve"> </w:t>
      </w:r>
      <w:r w:rsidR="002C2677" w:rsidRPr="002539EA">
        <w:t>The ability to classify the continuous terrain surface into meaningful and discrete features provides a way to describe, analyze and quantify th</w:t>
      </w:r>
      <w:r w:rsidR="00126BC2" w:rsidRPr="002539EA">
        <w:t xml:space="preserve">e characteristics of landscape </w:t>
      </w:r>
      <w:r w:rsidR="002C2677" w:rsidRPr="002539EA">
        <w:fldChar w:fldCharType="begin" w:fldLock="1"/>
      </w:r>
      <w:r w:rsidR="00A309A8" w:rsidRPr="002539EA">
        <w:instrText>ADDIN CSL_CITATION {"citationItems":[{"id":"ITEM-1","itemData":{"ISSN":"00991112","abstract":"The ability to analyze and quantify morphology of the surface of the Earth in terms of landform characteristics is essential for understanding of the physical, chemical, and biological processes that occur within the landscape. However, because of the complexity of taxonomic schema for landforms which include their provenance, composition, and function, these features are difficult to map and quantify using automated methods. The author suggests geographic information systems (GIS) based methods for mapping and classification of the landscape surface into what can be understood as fourth-order-of-relief features and include convex areas and their crests, concave areas and their troughs, open concavities and enclosed basins, and horizontal and sloping flats. The features can then be analyzed statistically, aggregated into higher-order-of-relief forms, and correlated with other aspects of the environment to aid fuller classification of landforms.","author":[{"dropping-particle":"","family":"Blaszczynski","given":"Jacek S.","non-dropping-particle":"","parse-names":false,"suffix":""}],"container-title":"Photogrammetric Engineering and Remote Sensing","id":"ITEM-1","issue":"2","issued":{"date-parts":[["1997"]]},"page":"183-191","title":"Landform characterization with geographic information systems","type":"article-journal","volume":"63"},"uris":["http://www.mendeley.com/documents/?uuid=98f4e680-0ce1-4b93-8859-566514f16270","http://www.mendeley.com/documents/?uuid=6f472daa-a381-4b6b-8ce5-e20c8daaa06a"]}],"mendeley":{"formattedCitation":"(Blaszczynski, 1997)","plainTextFormattedCitation":"(Blaszczynski, 1997)","previouslyFormattedCitation":"(Blaszczynski, 1997)"},"properties":{"noteIndex":0},"schema":"https://github.com/citation-style-language/schema/raw/master/csl-citation.json"}</w:instrText>
      </w:r>
      <w:r w:rsidR="002C2677" w:rsidRPr="002539EA">
        <w:fldChar w:fldCharType="separate"/>
      </w:r>
      <w:r w:rsidR="002C2677" w:rsidRPr="002539EA">
        <w:rPr>
          <w:noProof/>
        </w:rPr>
        <w:t>(Blaszczynski, 1997)</w:t>
      </w:r>
      <w:r w:rsidR="002C2677" w:rsidRPr="002539EA">
        <w:fldChar w:fldCharType="end"/>
      </w:r>
      <w:r w:rsidR="002C2677" w:rsidRPr="002539EA">
        <w:t>. Since the g</w:t>
      </w:r>
      <w:r w:rsidR="00594EC4" w:rsidRPr="002539EA">
        <w:t>eomorphologic landform controls the sub</w:t>
      </w:r>
      <w:r w:rsidR="004A01B3" w:rsidRPr="002539EA">
        <w:t>-</w:t>
      </w:r>
      <w:r w:rsidR="00594EC4" w:rsidRPr="002539EA">
        <w:t>surface movement of groundwater</w:t>
      </w:r>
      <w:r w:rsidR="002C2677" w:rsidRPr="002539EA">
        <w:t xml:space="preserve">, it is </w:t>
      </w:r>
      <w:r w:rsidR="00A70180" w:rsidRPr="002539EA">
        <w:t xml:space="preserve">important factor </w:t>
      </w:r>
      <w:r w:rsidR="002C2677" w:rsidRPr="002539EA">
        <w:t>for analysis of groundwater potential prospect.</w:t>
      </w:r>
      <w:r w:rsidR="0053372F" w:rsidRPr="002539EA">
        <w:t xml:space="preserve"> </w:t>
      </w:r>
    </w:p>
    <w:p w:rsidR="003424AA" w:rsidRPr="002539EA" w:rsidRDefault="00594EC4" w:rsidP="003A024A">
      <w:pPr>
        <w:autoSpaceDE w:val="0"/>
        <w:autoSpaceDN w:val="0"/>
        <w:adjustRightInd w:val="0"/>
      </w:pPr>
      <w:r w:rsidRPr="002539EA">
        <w:t xml:space="preserve">The volcanic terrain of Ethiopia comes in </w:t>
      </w:r>
      <w:r w:rsidR="009171A6" w:rsidRPr="002539EA">
        <w:t xml:space="preserve">a </w:t>
      </w:r>
      <w:r w:rsidRPr="002539EA">
        <w:t xml:space="preserve">variety of landforms that is of significant importance to groundwater occurrence and movement </w:t>
      </w:r>
      <w:r w:rsidRPr="002539EA">
        <w:rPr>
          <w:rStyle w:val="FootnoteReference"/>
        </w:rPr>
        <w:fldChar w:fldCharType="begin" w:fldLock="1"/>
      </w:r>
      <w:r w:rsidR="00A309A8" w:rsidRPr="002539EA">
        <w:instrText>ADDIN CSL_CITATION {"citationItems":[{"id":"ITEM-1","itemData":{"DOI":"10.1007/978-3-642-30391-3","ISBN":"9783642303906","author":[{"dropping-particle":"","family":"Kebede","given":"Seifu","non-dropping-particle":"","parse-names":false,"suffix":""}],"container-title":"springer hydrogeology","id":"ITEM-1","issued":{"date-parts":[["2013"]]},"number-of-pages":"285","publisher":"Springer-Verlag Berlin Heidelberg 2013","publisher-place":"Springer Heidelberg New York Dordrecht London","title":"Groundwater in Ethiopia: features, numbers and opportunities","type":"book"},"uris":["http://www.mendeley.com/documents/?uuid=f82a50ed-31f3-42a6-8bdc-b9dfb41cfd7f","http://www.mendeley.com/documents/?uuid=68668900-1994-451e-8bd8-4a5bbe63bfd6"]}],"mendeley":{"formattedCitation":"(S. Kebede, 2013)","manualFormatting":"(Kebede, 2013)","plainTextFormattedCitation":"(S. Kebede, 2013)","previouslyFormattedCitation":"(S. Kebede, 2013)"},"properties":{"noteIndex":0},"schema":"https://github.com/citation-style-language/schema/raw/master/csl-citation.json"}</w:instrText>
      </w:r>
      <w:r w:rsidRPr="002539EA">
        <w:rPr>
          <w:rStyle w:val="FootnoteReference"/>
        </w:rPr>
        <w:fldChar w:fldCharType="separate"/>
      </w:r>
      <w:r w:rsidR="00446D6D" w:rsidRPr="002539EA">
        <w:rPr>
          <w:noProof/>
        </w:rPr>
        <w:t>(</w:t>
      </w:r>
      <w:r w:rsidR="00A108C4" w:rsidRPr="002539EA">
        <w:rPr>
          <w:noProof/>
        </w:rPr>
        <w:t>Kebede, 2013)</w:t>
      </w:r>
      <w:r w:rsidRPr="002539EA">
        <w:rPr>
          <w:rStyle w:val="FootnoteReference"/>
        </w:rPr>
        <w:fldChar w:fldCharType="end"/>
      </w:r>
      <w:r w:rsidR="00B015AA" w:rsidRPr="002539EA">
        <w:t>. A s</w:t>
      </w:r>
      <w:r w:rsidRPr="002539EA">
        <w:t>tudy conducted</w:t>
      </w:r>
      <w:r w:rsidR="00B015AA" w:rsidRPr="002539EA">
        <w:t xml:space="preserve"> by Gebru et al. (2020) identifies the</w:t>
      </w:r>
      <w:r w:rsidRPr="002539EA">
        <w:t xml:space="preserve"> </w:t>
      </w:r>
      <w:r w:rsidR="009B70BE" w:rsidRPr="002539EA">
        <w:t xml:space="preserve">GWPZ </w:t>
      </w:r>
      <w:r w:rsidRPr="002539EA">
        <w:t xml:space="preserve">of </w:t>
      </w:r>
      <w:r w:rsidR="00B015AA" w:rsidRPr="002539EA">
        <w:t xml:space="preserve">the </w:t>
      </w:r>
      <w:r w:rsidRPr="002539EA">
        <w:t>Golina River Basin, Northern Ethiopia.</w:t>
      </w:r>
      <w:r w:rsidR="003424AA" w:rsidRPr="002539EA">
        <w:t xml:space="preserve"> </w:t>
      </w:r>
      <w:r w:rsidRPr="002539EA">
        <w:t xml:space="preserve">The geomorphological landforms of </w:t>
      </w:r>
      <w:r w:rsidR="00B015AA" w:rsidRPr="002539EA">
        <w:t xml:space="preserve">the </w:t>
      </w:r>
      <w:r w:rsidRPr="002539EA">
        <w:t>area</w:t>
      </w:r>
      <w:r w:rsidR="00B015AA" w:rsidRPr="002539EA">
        <w:t>s</w:t>
      </w:r>
      <w:r w:rsidRPr="002539EA">
        <w:t xml:space="preserve"> classified by topographic position index (TPI) </w:t>
      </w:r>
      <w:r w:rsidR="00A70180" w:rsidRPr="002539EA">
        <w:t xml:space="preserve">techniques </w:t>
      </w:r>
      <w:r w:rsidRPr="002539EA">
        <w:t xml:space="preserve">using SAGA GIS software from the DEM. Accordingly, the geomorphological landforms of </w:t>
      </w:r>
      <w:r w:rsidR="00B015AA" w:rsidRPr="002539EA">
        <w:t xml:space="preserve">the </w:t>
      </w:r>
      <w:r w:rsidRPr="002539EA">
        <w:t>area are classified into</w:t>
      </w:r>
      <w:r w:rsidR="00B015AA" w:rsidRPr="002539EA">
        <w:t xml:space="preserve"> the</w:t>
      </w:r>
      <w:r w:rsidRPr="002539EA">
        <w:t xml:space="preserve"> plain, valley, open slope, upper slope, mid-slope drainage, stream, upland drainage, local ridge, mid-slope ridge, and high ridges. </w:t>
      </w:r>
    </w:p>
    <w:p w:rsidR="00594EC4" w:rsidRPr="002539EA" w:rsidRDefault="00594EC4" w:rsidP="003A024A">
      <w:pPr>
        <w:autoSpaceDE w:val="0"/>
        <w:autoSpaceDN w:val="0"/>
        <w:adjustRightInd w:val="0"/>
      </w:pPr>
      <w:r w:rsidRPr="002539EA">
        <w:t xml:space="preserve">The normalized weight value of plain and valley landforms is higher than the others for groundwater potential. While ridges are lower for groundwater potential </w:t>
      </w:r>
      <w:r w:rsidRPr="002539EA">
        <w:rPr>
          <w:rStyle w:val="FootnoteReference"/>
        </w:rPr>
        <w:fldChar w:fldCharType="begin" w:fldLock="1"/>
      </w:r>
      <w:r w:rsidR="00A309A8" w:rsidRPr="002539EA">
        <w:instrText>ADDIN CSL_CITATION {"citationItems":[{"id":"ITEM-1","itemData":{"author":[{"dropping-particle":"","family":"Gebru","given":"Hindeya","non-dropping-particle":"","parse-names":false,"suffix":""},{"dropping-particle":"","family":"Gebreyohannes","given":"Tesfamichael","non-dropping-particle":"","parse-names":false,"suffix":""},{"dropping-particle":"","family":"Hagos","given":"Ermias","non-dropping-particle":"","parse-names":false,"suffix":""}],"container-title":"International journal of advanced Remote Sensing and GIS","id":"ITEM-1","issue":"1","issued":{"date-parts":[["2020"]]},"page":"3289-3311","title":"Identification of groundwater potential zones using Analytical Hierarchy Process (AHP) and GIS-Remote Sensing integration, the case of Golina River Basin, Northern Ethiopia","type":"article-journal","volume":"9"},"uris":["http://www.mendeley.com/documents/?uuid=3e225bc8-36b1-425b-83b4-94cfacfd37f8","http://www.mendeley.com/documents/?uuid=63c7fd8b-fe9b-4d39-8769-bb3519cffdbe"]}],"mendeley":{"formattedCitation":"(Gebru et al., 2020)","plainTextFormattedCitation":"(Gebru et al., 2020)","previouslyFormattedCitation":"(Gebru et al., 2020)"},"properties":{"noteIndex":0},"schema":"https://github.com/citation-style-language/schema/raw/master/csl-citation.json"}</w:instrText>
      </w:r>
      <w:r w:rsidRPr="002539EA">
        <w:rPr>
          <w:rStyle w:val="FootnoteReference"/>
        </w:rPr>
        <w:fldChar w:fldCharType="separate"/>
      </w:r>
      <w:r w:rsidR="00A108C4" w:rsidRPr="002539EA">
        <w:rPr>
          <w:noProof/>
        </w:rPr>
        <w:t>(Gebru et al., 2020)</w:t>
      </w:r>
      <w:r w:rsidRPr="002539EA">
        <w:rPr>
          <w:rStyle w:val="FootnoteReference"/>
        </w:rPr>
        <w:fldChar w:fldCharType="end"/>
      </w:r>
      <w:r w:rsidR="00EA0353" w:rsidRPr="002539EA">
        <w:t xml:space="preserve">. </w:t>
      </w:r>
      <w:r w:rsidRPr="002539EA">
        <w:t xml:space="preserve">Analysis of landform using TPI shows more logical and realistic landform interpretation associated </w:t>
      </w:r>
      <w:r w:rsidR="00686CAB" w:rsidRPr="002539EA">
        <w:t>with</w:t>
      </w:r>
      <w:r w:rsidRPr="002539EA">
        <w:t xml:space="preserve"> the landform classes</w:t>
      </w:r>
      <w:r w:rsidR="006B0787" w:rsidRPr="002539EA">
        <w:t xml:space="preserve"> </w:t>
      </w:r>
      <w:r w:rsidR="006B0787" w:rsidRPr="002539EA">
        <w:fldChar w:fldCharType="begin" w:fldLock="1"/>
      </w:r>
      <w:r w:rsidR="00A309A8" w:rsidRPr="002539EA">
        <w:instrText>ADDIN CSL_CITATION {"citationItems":[{"id":"ITEM-1","itemData":{"abstract":"Topographic Position Index (TPI) algorithm is useful for landform classification using Digital Elevation Model (DEM) to identify upper, middle and lower parts of the landscape. Topographic slope positions and landform classifications can be automated and measured by employing the Jenness algorithm based on the Set of Rules in the TPI. Adama Wereda in Ethiopia has been selected to study the different landforms classified using DEM (30m resolution) and Landsat 8 OLI data. Spatial statistics and GIS applications were also used to distinguish the geomorphologic properties of DEM. Adama Wereda encompasses 2.15% of the valley, 33.79% of flat lands, 15.85 % of lower slope, 33.07% of average slope, 12.85% of upper slope and 2.24% of ridges. Nine land use and land cover (LULC) classes, specifically rocky terrain, built up area, forests, water bodies, roads, agriculture, barren land, hill/mountain and fallow land have been analyzed. Landforms of Adama Wereda are ranging from large-scale features such as plains and mountain ranges to minor features such as hills and valleys. The built-up area and agriculture are covering most of the landform classes. U shaped valley was observed in water bodies. The various classifications of TPI and landform can be used in precision agriculture, land-use alteration studies, etc.","author":[{"dropping-particle":"","family":"Alemayehu","given":"Daniel","non-dropping-particle":"","parse-names":false,"suffix":""},{"dropping-particle":"","family":"Tadesse","given":"Meseret","non-dropping-particle":"","parse-names":false,"suffix":""},{"dropping-particle":"","family":"Abdul Athick","given":"Mohammed","non-dropping-particle":"","parse-names":false,"suffix":""}],"container-title":"Journal of Geographical Studies","id":"ITEM-1","issue":"2","issued":{"date-parts":[["2018"]]},"page":"100-109","title":"Application of TPI for analysis of landforms and LULC of Adama Wereda, Ethiopia","type":"article-journal","volume":"2"},"uris":["http://www.mendeley.com/documents/?uuid=978e021d-09b1-4425-a728-2faf608c63aa","http://www.mendeley.com/documents/?uuid=cbc4b7a6-ae5f-4d95-9152-e32b1b464c29"]}],"mendeley":{"formattedCitation":"(D. Alemayehu et al., 2018)","manualFormatting":"(Alemayehu et al., 2019)","plainTextFormattedCitation":"(D. Alemayehu et al., 2018)","previouslyFormattedCitation":"(D. Alemayehu et al., 2018)"},"properties":{"noteIndex":0},"schema":"https://github.com/citation-style-language/schema/raw/master/csl-citation.json"}</w:instrText>
      </w:r>
      <w:r w:rsidR="006B0787" w:rsidRPr="002539EA">
        <w:fldChar w:fldCharType="separate"/>
      </w:r>
      <w:r w:rsidR="00D72AAE" w:rsidRPr="002539EA">
        <w:rPr>
          <w:noProof/>
        </w:rPr>
        <w:t>(</w:t>
      </w:r>
      <w:r w:rsidR="006B0787" w:rsidRPr="002539EA">
        <w:rPr>
          <w:noProof/>
        </w:rPr>
        <w:t>Alemayehu et al., 2019)</w:t>
      </w:r>
      <w:r w:rsidR="006B0787" w:rsidRPr="002539EA">
        <w:fldChar w:fldCharType="end"/>
      </w:r>
      <w:r w:rsidRPr="002539EA">
        <w:t xml:space="preserve">. The results of the TPI approach derive accurate results for all selected input datasets in comparison to ground-truth data from a geomorphological field survey </w:t>
      </w:r>
      <w:r w:rsidRPr="002539EA">
        <w:rPr>
          <w:rStyle w:val="FootnoteReference"/>
        </w:rPr>
        <w:fldChar w:fldCharType="begin" w:fldLock="1"/>
      </w:r>
      <w:r w:rsidR="00A309A8" w:rsidRPr="002539EA">
        <w:instrText>ADDIN CSL_CITATION {"citationItems":[{"id":"ITEM-1","itemData":{"DOI":"10.3390/ijgi611036","ISSN":"22209964","abstract":"An accurate geomorphometric description of the Iranian loess plateau landscape will further enhance our understanding of recent and past geomorphological processes in this strongly dissected landscape. Therefore, four different input datasets for four landform classification methods were used in order to derive the most accurate results in comparison to ground-truth data from a geomorphological field survey. The input datasets in 5 m and 10 m pixel resolution were derived from Pléiades stereo satellite imagery and the “Shuttle Radar Topography Mission” (SRTM), and “Advanced Spaceborne Thermal Emission and Reflection Radiometer” (ASTER GDEM) datasets with a spatial resolution of 30 m were additionally applied. The four classification approaches tested with this data include the stepwise approach after Dikau, the geomorphons, the topographical position index (TPI) and the object based approach. The results show that input datasets with higher spatial resolutions produced overall accuracies of greater than 70% for the TPI and geomorphons and greater than 60% for the other approaches. For the lower resolution datasets, only accuracies of about 40% were derived, 20–30% lower than for data derived from higher spatial resolutions. The results of the topographic position index and the geomorphons approach worked best for all selected input datasets.","author":[{"dropping-particle":"","family":"Kramm","given":"Tanja","non-dropping-particle":"","parse-names":false,"suffix":""},{"dropping-particle":"","family":"Hoffmeister","given":"Dirk","non-dropping-particle":"","parse-names":false,"suffix":""},{"dropping-particle":"","family":"Curdt","given":"Constanze","non-dropping-particle":"","parse-names":false,"suffix":""},{"dropping-particle":"","family":"Maleki","given":"Sedigheh","non-dropping-particle":"","parse-names":false,"suffix":""},{"dropping-particle":"","family":"Khormali","given":"Farhad","non-dropping-particle":"","parse-names":false,"suffix":""},{"dropping-particle":"","family":"Kehl","given":"Martin","non-dropping-particle":"","parse-names":false,"suffix":""}],"container-title":"ISPRS International Journal of Geo-Information","id":"ITEM-1","issued":{"date-parts":[["2017"]]},"page":"1-22","title":"Accuracy assessment of landform classification approaches on different spatial scales for the iranian loess plateau","type":"article-journal","volume":"6"},"uris":["http://www.mendeley.com/documents/?uuid=f6d0a645-000f-4355-93cd-ded1df42296f","http://www.mendeley.com/documents/?uuid=352a57a6-ca4b-4c4d-85cc-5324d3e08a95"]}],"mendeley":{"formattedCitation":"(Kramm et al., 2017)","plainTextFormattedCitation":"(Kramm et al., 2017)","previouslyFormattedCitation":"(Kramm et al., 2017)"},"properties":{"noteIndex":0},"schema":"https://github.com/citation-style-language/schema/raw/master/csl-citation.json"}</w:instrText>
      </w:r>
      <w:r w:rsidRPr="002539EA">
        <w:rPr>
          <w:rStyle w:val="FootnoteReference"/>
        </w:rPr>
        <w:fldChar w:fldCharType="separate"/>
      </w:r>
      <w:r w:rsidR="001626FB" w:rsidRPr="002539EA">
        <w:rPr>
          <w:bCs/>
          <w:noProof/>
        </w:rPr>
        <w:t>(Kramm et al., 2017)</w:t>
      </w:r>
      <w:r w:rsidRPr="002539EA">
        <w:rPr>
          <w:rStyle w:val="FootnoteReference"/>
        </w:rPr>
        <w:fldChar w:fldCharType="end"/>
      </w:r>
      <w:r w:rsidR="00686CAB" w:rsidRPr="002539EA">
        <w:t xml:space="preserve">. </w:t>
      </w:r>
      <w:r w:rsidR="00DB700A" w:rsidRPr="002539EA">
        <w:t xml:space="preserve">Several studies assign the </w:t>
      </w:r>
      <w:r w:rsidR="00944A54" w:rsidRPr="002539EA">
        <w:t>highest</w:t>
      </w:r>
      <w:r w:rsidR="00DB700A" w:rsidRPr="002539EA">
        <w:t xml:space="preserve"> weight for the geomor</w:t>
      </w:r>
      <w:r w:rsidR="00FD6617" w:rsidRPr="002539EA">
        <w:t>phological land</w:t>
      </w:r>
      <w:r w:rsidR="00DB700A" w:rsidRPr="002539EA">
        <w:t xml:space="preserve">forms </w:t>
      </w:r>
      <w:r w:rsidR="00944A54" w:rsidRPr="002539EA">
        <w:fldChar w:fldCharType="begin" w:fldLock="1"/>
      </w:r>
      <w:r w:rsidR="00A309A8" w:rsidRPr="002539EA">
        <w:instrText>ADDIN CSL_CITATION {"citationItems":[{"id":"ITEM-1","itemData":{"author":[{"dropping-particle":"","family":"Waikar","given":"M L","non-dropping-particle":"","parse-names":false,"suffix":""},{"dropping-particle":"","family":"Nilawar","given":"Aditya P","non-dropping-particle":"","parse-names":false,"suffix":""}],"id":"ITEM-1","issue":"5","issued":{"date-parts":[["2014"]]},"page":"12163-12174","title":"Identification of Groundwater Potential Zone using Remote Sensing and GIS Technique","type":"article-journal","volume":"3"},"uris":["http://www.mendeley.com/documents/?uuid=51c5ad64-5f50-46bb-a9dd-8718cab47c42"]},{"id":"ITEM-2","itemData":{"author":[{"dropping-particle":"","family":"Doyo","given":"Diriba Worku","non-dropping-particle":"","parse-names":false,"suffix":""}],"id":"ITEM-2","issued":{"date-parts":[["2020"]]},"number-of-pages":"1-84","publisher":"Hawassa University","title":"Groundwater potential mapping using remote sensing and GIS techniques: the case of Meki watershed, Central Rift valley, Ethiopia","type":"thesis"},"uris":["http://www.mendeley.com/documents/?uuid=2751595d-7581-4867-a4a6-8a89444e1e59","http://www.mendeley.com/documents/?uuid=de24f4fb-afa8-4ca2-b379-e72af14d232b","http://www.mendeley.com/documents/?uuid=bf823371-357c-461d-9acf-3a2b29c2be45"]}],"mendeley":{"formattedCitation":"(Doyo, 2020; Waikar &amp; Nilawar, 2014)","plainTextFormattedCitation":"(Doyo, 2020; Waikar &amp; Nilawar, 2014)","previouslyFormattedCitation":"(Doyo, 2020; Waikar &amp; Nilawar, 2014)"},"properties":{"noteIndex":0},"schema":"https://github.com/citation-style-language/schema/raw/master/csl-citation.json"}</w:instrText>
      </w:r>
      <w:r w:rsidR="00944A54" w:rsidRPr="002539EA">
        <w:fldChar w:fldCharType="separate"/>
      </w:r>
      <w:r w:rsidR="00C671D1" w:rsidRPr="002539EA">
        <w:rPr>
          <w:noProof/>
        </w:rPr>
        <w:t>(Doyo, 2020; Waikar and</w:t>
      </w:r>
      <w:r w:rsidR="00944A54" w:rsidRPr="002539EA">
        <w:rPr>
          <w:noProof/>
        </w:rPr>
        <w:t xml:space="preserve"> Nilawar, 2014)</w:t>
      </w:r>
      <w:r w:rsidR="00944A54" w:rsidRPr="002539EA">
        <w:fldChar w:fldCharType="end"/>
      </w:r>
      <w:r w:rsidR="00944A54" w:rsidRPr="002539EA">
        <w:t>.</w:t>
      </w:r>
    </w:p>
    <w:p w:rsidR="00594EC4" w:rsidRPr="002539EA" w:rsidRDefault="00594EC4" w:rsidP="003A024A">
      <w:pPr>
        <w:pStyle w:val="Heading4"/>
        <w:numPr>
          <w:ilvl w:val="3"/>
          <w:numId w:val="1"/>
        </w:numPr>
        <w:spacing w:before="120" w:after="120"/>
      </w:pPr>
      <w:r w:rsidRPr="002539EA">
        <w:t xml:space="preserve">Lineaments </w:t>
      </w:r>
      <w:r w:rsidR="00B45BC0" w:rsidRPr="002539EA">
        <w:t>Density</w:t>
      </w:r>
    </w:p>
    <w:p w:rsidR="003119E0" w:rsidRDefault="00D03081" w:rsidP="003A024A">
      <w:r w:rsidRPr="002539EA">
        <w:t>Lineaments are the structural results of geomorphological and geological processes. It is a linear feature that occurs on the earth’s surface, distinct from the surrounding features and reflects the unseen sub</w:t>
      </w:r>
      <w:r w:rsidR="00E60EB5" w:rsidRPr="002539EA">
        <w:t>-</w:t>
      </w:r>
      <w:r w:rsidRPr="002539EA">
        <w:t xml:space="preserve">surface </w:t>
      </w:r>
      <w:r w:rsidRPr="002539EA">
        <w:fldChar w:fldCharType="begin" w:fldLock="1"/>
      </w:r>
      <w:r w:rsidR="00A309A8" w:rsidRPr="002539EA">
        <w:instrText>ADDIN CSL_CITATION {"citationItems":[{"id":"ITEM-1","itemData":{"abstract":"Lineament extraction from satellite data has been the most widely used applications in geology. Recent developments in digital image processing have made the extraction of lineament in semi-automatic to fully automatic approaches possible. In this study, a fully automatic approach, consisting of a combination of edge-line detection Canny algorithm was used, a grid operator designed for the analysis of potential field data was applied to a digital elevation model for the detection of lineaments using Landsat TM and ASTERGDEM images. At different orientations, by simulating topographic illumination under varied light directions, lineaments can be enhanced and mapped. The lineaments extracted show almost a similar orientation and differences in density. Combinations of four shaded relief images within the four sun azimuth directions of light sources at 0°, 45°, 90° and 135° give N-S, NE-SW, E-W and NW-SE directional trends. The results obtained have been evaluated using both an existing lineament map of the area and a field investigation. The high degree of consistency between the suggested method and the existing tectonic map indicates that lineaments in the study area are largely topographic. Field validation confirmed these findings except in a few well defined situations.","author":[{"dropping-particle":"","family":"Raj","given":"Kiran","non-dropping-particle":"","parse-names":false,"suffix":""},{"dropping-particle":"","family":"Ahmed","given":"Ashfaq Syed","non-dropping-particle":"","parse-names":false,"suffix":""}],"container-title":"International Journal of Computer Applications","id":"ITEM-1","issue":"12","issued":{"date-parts":[["2014"]]},"page":"12-20","title":"Lineament Extraction from Southern Chitradurga Schist Belt using Landsat TM, ASTERGDEM and Geomatics Techniques","type":"article-journal","volume":"93"},"uris":["http://www.mendeley.com/documents/?uuid=36d05531-ffa9-480a-a8e5-fe75ca61392e","http://www.mendeley.com/documents/?uuid=d6d9764f-aa11-479b-991e-d31a714bc81d"]}],"mendeley":{"formattedCitation":"(Raj &amp; Ahmed, 2014)","manualFormatting":"(Raj and Ahmed, 2014)","plainTextFormattedCitation":"(Raj &amp; Ahmed, 2014)","previouslyFormattedCitation":"(Raj &amp; Ahmed, 2014)"},"properties":{"noteIndex":0},"schema":"https://github.com/citation-style-language/schema/raw/master/csl-citation.json"}</w:instrText>
      </w:r>
      <w:r w:rsidRPr="002539EA">
        <w:fldChar w:fldCharType="separate"/>
      </w:r>
      <w:r w:rsidR="00E230CE" w:rsidRPr="002539EA">
        <w:rPr>
          <w:noProof/>
        </w:rPr>
        <w:t>(Raj and</w:t>
      </w:r>
      <w:r w:rsidRPr="002539EA">
        <w:rPr>
          <w:noProof/>
        </w:rPr>
        <w:t xml:space="preserve"> Ahmed, 2014)</w:t>
      </w:r>
      <w:r w:rsidRPr="002539EA">
        <w:fldChar w:fldCharType="end"/>
      </w:r>
      <w:r w:rsidR="00F627C7" w:rsidRPr="002539EA">
        <w:t>. Lineaments can form R</w:t>
      </w:r>
      <w:r w:rsidRPr="002539EA">
        <w:t xml:space="preserve">ivers, dry </w:t>
      </w:r>
      <w:r w:rsidR="00F627C7" w:rsidRPr="002539EA">
        <w:t>R</w:t>
      </w:r>
      <w:r w:rsidRPr="002539EA">
        <w:t>iver beds, val</w:t>
      </w:r>
      <w:r w:rsidR="00031545" w:rsidRPr="002539EA">
        <w:t>leys, ridges, geological faults</w:t>
      </w:r>
      <w:r w:rsidRPr="002539EA">
        <w:t xml:space="preserve"> and fractures in mountain crests </w:t>
      </w:r>
      <w:r w:rsidRPr="002539EA">
        <w:fldChar w:fldCharType="begin" w:fldLock="1"/>
      </w:r>
      <w:r w:rsidR="00A309A8" w:rsidRPr="002539EA">
        <w:instrText>ADDIN CSL_CITATION {"citationItems":[{"id":"ITEM-1","itemData":{"author":[{"dropping-particle":"","family":"Sotoponto","given":"C","non-dropping-particle":"","parse-names":false,"suffix":""},{"dropping-particle":"","family":"ArellanoBaeza","given":"A","non-dropping-particle":"","parse-names":false,"suffix":""},{"dropping-particle":"","family":"Sanchez","given":"G","non-dropping-particle":"","parse-names":false,"suffix":""}],"container-title":"Computers &amp; Geosciences","id":"ITEM-1","issued":{"date-parts":[["2013"]]},"page":"93-103","title":"A new code for the automatic detection and analysis of lineament pattern for geophysical and geological purposes","type":"article-journal","volume":"57"},"uris":["http://www.mendeley.com/documents/?uuid=239e2335-8285-4123-9775-a40956afbac2","http://www.mendeley.com/documents/?uuid=d1eccdbb-1dde-41f2-9a1e-449e922090bb"]}],"mendeley":{"formattedCitation":"(Sotoponto et al., 2013)","plainTextFormattedCitation":"(Sotoponto et al., 2013)","previouslyFormattedCitation":"(Sotoponto et al., 2013)"},"properties":{"noteIndex":0},"schema":"https://github.com/citation-style-language/schema/raw/master/csl-citation.json"}</w:instrText>
      </w:r>
      <w:r w:rsidRPr="002539EA">
        <w:fldChar w:fldCharType="separate"/>
      </w:r>
      <w:r w:rsidR="00424021" w:rsidRPr="002539EA">
        <w:rPr>
          <w:noProof/>
        </w:rPr>
        <w:t>(Sotoponto et al., 2013)</w:t>
      </w:r>
      <w:r w:rsidRPr="002539EA">
        <w:fldChar w:fldCharType="end"/>
      </w:r>
      <w:r w:rsidR="003119E0">
        <w:t xml:space="preserve">. </w:t>
      </w:r>
      <w:r w:rsidRPr="002539EA">
        <w:t>There is a strong relationship between the groundwater regime and its structural framework</w:t>
      </w:r>
      <w:r w:rsidR="00ED7F05" w:rsidRPr="002539EA">
        <w:t>.</w:t>
      </w:r>
      <w:r w:rsidR="005B042D" w:rsidRPr="002539EA">
        <w:t xml:space="preserve"> </w:t>
      </w:r>
    </w:p>
    <w:p w:rsidR="0012241C" w:rsidRPr="002539EA" w:rsidRDefault="00ED7F05" w:rsidP="003A024A">
      <w:r w:rsidRPr="002539EA">
        <w:lastRenderedPageBreak/>
        <w:t>The importance is related to the ability of lineaments to act as conduit sites for water recharge and flow throughout the area</w:t>
      </w:r>
      <w:r w:rsidRPr="002539EA">
        <w:fldChar w:fldCharType="begin" w:fldLock="1"/>
      </w:r>
      <w:r w:rsidR="00A309A8" w:rsidRPr="002539EA">
        <w:instrText>ADDIN CSL_CITATION {"citationItems":[{"id":"ITEM-1","itemData":{"author":[{"dropping-particle":"","family":"Ahmed","given":"Alaa","non-dropping-particle":"","parse-names":false,"suffix":""},{"dropping-particle":"El","family":"Ammawy","given":"Mahmoud","non-dropping-particle":"","parse-names":false,"suffix":""},{"dropping-particle":"","family":"Hewaidy","given":"Abdel Galil","non-dropping-particle":"","parse-names":false,"suffix":""},{"dropping-particle":"","family":"Moussa","given":"Bothaina","non-dropping-particle":"","parse-names":false,"suffix":""},{"dropping-particle":"","family":"Hafz","given":"Nabil Abdel","non-dropping-particle":"","parse-names":false,"suffix":""},{"dropping-particle":"","family":"Sayed","given":"El","non-dropping-particle":"","parse-names":false,"suffix":""},{"dropping-particle":"","family":"Abd","given":"El","non-dropping-particle":"","parse-names":false,"suffix":""}],"id":"ITEM-1","issued":{"date-parts":[["2019"]]},"publisher":"Environmental Monitoring and Assessment","title":"Mapping of lineaments for groundwater assessment in the Desert Fringes East El-Minia , Eastern Desert , Egypt","type":"article-journal"},"uris":["http://www.mendeley.com/documents/?uuid=91157b99-2204-454c-ad54-68dff284a13e"]},{"id":"ITEM-2","itemData":{"author":[{"dropping-particle":"","family":"Banti","given":"Bane Lammesa","non-dropping-particle":"","parse-names":false,"suffix":""}],"id":"ITEM-2","issued":{"date-parts":[["2017"]]},"number-of-pages":"1-66","publisher":"Addis Ababa University","title":"Groundwater potential and Recharge zone mapping by using GIS and Remote sensing Techniques in the case of Middle Awash River Basins, Ethiopia","type":"thesis"},"uris":["http://www.mendeley.com/documents/?uuid=ea6e7cb4-9f80-466b-b132-58c638a0accb","http://www.mendeley.com/documents/?uuid=85aca65d-bd3b-40c0-b3a3-985d9655a5bf"]},{"id":"ITEM-3","itemData":{"ISSN":"22145818","abstract":"Study region: Guna Tana Landscape, Upper Blue Nile Basin, Ethiopia. Study focus: This paper aimed to delineate the groundwater potential zones using GIS and remote sensing. Multi-Criteria Decision Analysis (MCDA) technique is used to develop the groundwater potential prospect zones by integrating different groundwater contributing thematic layers. The thematic layers of land cover, drainage density, lineament density, soil, geology, slope, and geomorphology were prepared and used for groundwater potential map development by assigning weights to each thematic layer and features. The weights of each thematic layer were assigned and normalized based on their characteristic and relationship with groundwater recharge. Finally, the thematic maps were integrated by a weighted sum overlay analysis tool to develop groundwater prospect zones. New hydrological insights for the region: It was found that the downstream parts of the Landscape showed excellent groundwater potential covering about 833.49 km2 area with a flat and lacustrine sediment characteristic. About 469.12 km2 of the landscape showed very good groundwater potential zone. Northern, northeastern and southeastern parts of the area presented very poor groundwater prospect covering about 553.68 km2 area. The groundwater potential map was validated using the existing pumping wells and it indicated a good prediction accuracy of 70.5%. Thus, the potential zones identified in the study area by the MCDA technique are reliable.","author":[{"dropping-particle":"","family":"Andualem","given":"Tesfa Gebrie","non-dropping-particle":"","parse-names":false,"suffix":""},{"dropping-particle":"","family":"Demeke","given":"Girum Getachew","non-dropping-particle":"","parse-names":false,"suffix":""}],"container-title":"Journal of Hydrology: Regional Studies","id":"ITEM-3","issue":"5","issued":{"date-parts":[["2019"]]},"page":"100610","publisher":"Elsevier","title":"Groundwater potential assessment using GIS and remote sensing: A case study of Guna tana landscape, upper blue Nile Basin, Ethiopia","type":"article-journal","volume":"24"},"uris":["http://www.mendeley.com/documents/?uuid=b572f48d-0752-4d04-b82e-d8016090b501","http://www.mendeley.com/documents/?uuid=c3391aab-dc3c-44d1-bb8e-df52d4cbb589"]}],"mendeley":{"formattedCitation":"(Ahmed et al., 2019; Andualem &amp; Demeke, 2019; Banti, 2017)","plainTextFormattedCitation":"(Ahmed et al., 2019; Andualem &amp; Demeke, 2019; Banti, 2017)","previouslyFormattedCitation":"(Ahmed et al., 2019; Andualem &amp; Demeke, 2019; Banti, 2017)"},"properties":{"noteIndex":0},"schema":"https://github.com/citation-style-language/schema/raw/master/csl-citation.json"}</w:instrText>
      </w:r>
      <w:r w:rsidRPr="002539EA">
        <w:fldChar w:fldCharType="separate"/>
      </w:r>
      <w:r w:rsidR="00C671D1" w:rsidRPr="002539EA">
        <w:rPr>
          <w:noProof/>
        </w:rPr>
        <w:t>(Ahmed et al., 2019; Andualem and</w:t>
      </w:r>
      <w:r w:rsidRPr="002539EA">
        <w:rPr>
          <w:noProof/>
        </w:rPr>
        <w:t xml:space="preserve"> Demeke, 2019; Banti, 2017)</w:t>
      </w:r>
      <w:r w:rsidRPr="002539EA">
        <w:fldChar w:fldCharType="end"/>
      </w:r>
      <w:r w:rsidRPr="002539EA">
        <w:t>.</w:t>
      </w:r>
      <w:r w:rsidR="00544305" w:rsidRPr="002539EA">
        <w:t xml:space="preserve"> </w:t>
      </w:r>
      <w:r w:rsidR="00D03081" w:rsidRPr="002539EA">
        <w:t xml:space="preserve">It has become prominent throughout the last few years to use lineaments studies in the assessment of </w:t>
      </w:r>
      <w:r w:rsidR="00E90870" w:rsidRPr="002539EA">
        <w:t>GWPZ</w:t>
      </w:r>
      <w:r w:rsidR="00D03081" w:rsidRPr="002539EA">
        <w:t xml:space="preserve">. The degree of fracturing in these rocks is the determinant of the storage potential of the rocks. </w:t>
      </w:r>
      <w:r w:rsidR="00E90870" w:rsidRPr="002539EA">
        <w:t xml:space="preserve">High lineament density implies a high permeable zone which results in a high rate of infiltration. Hence, the </w:t>
      </w:r>
      <w:r w:rsidR="00D03081" w:rsidRPr="002539EA">
        <w:t xml:space="preserve"> area characterized by relatively high lineament density and intersection can be taken as an indicator of high specific capacity and shallow groundwater table</w:t>
      </w:r>
      <w:r w:rsidR="002E12B3" w:rsidRPr="002539EA">
        <w:t xml:space="preserve"> </w:t>
      </w:r>
      <w:r w:rsidR="002E12B3" w:rsidRPr="002539EA">
        <w:fldChar w:fldCharType="begin" w:fldLock="1"/>
      </w:r>
      <w:r w:rsidR="00A309A8" w:rsidRPr="002539EA">
        <w:instrText>ADDIN CSL_CITATION {"citationItems":[{"id":"ITEM-1","itemData":{"author":[{"dropping-particle":"","family":"Ahmed","given":"Alaa","non-dropping-particle":"","parse-names":false,"suffix":""},{"dropping-particle":"El","family":"Ammawy","given":"Mahmoud","non-dropping-particle":"","parse-names":false,"suffix":""},{"dropping-particle":"","family":"Hewaidy","given":"Abdel Galil","non-dropping-particle":"","parse-names":false,"suffix":""},{"dropping-particle":"","family":"Moussa","given":"Bothaina","non-dropping-particle":"","parse-names":false,"suffix":""},{"dropping-particle":"","family":"Hafz","given":"Nabil Abdel","non-dropping-particle":"","parse-names":false,"suffix":""},{"dropping-particle":"","family":"Sayed","given":"El","non-dropping-particle":"","parse-names":false,"suffix":""},{"dropping-particle":"","family":"Abd","given":"El","non-dropping-particle":"","parse-names":false,"suffix":""}],"id":"ITEM-1","issued":{"date-parts":[["2019"]]},"publisher":"Environmental Monitoring and Assessment","title":"Mapping of lineaments for groundwater assessment in the Desert Fringes East El-Minia , Eastern Desert , Egypt","type":"article-journal"},"uris":["http://www.mendeley.com/documents/?uuid=91157b99-2204-454c-ad54-68dff284a13e"]}],"mendeley":{"formattedCitation":"(Ahmed et al., 2019)","plainTextFormattedCitation":"(Ahmed et al., 2019)","previouslyFormattedCitation":"(Ahmed et al., 2019)"},"properties":{"noteIndex":0},"schema":"https://github.com/citation-style-language/schema/raw/master/csl-citation.json"}</w:instrText>
      </w:r>
      <w:r w:rsidR="002E12B3" w:rsidRPr="002539EA">
        <w:fldChar w:fldCharType="separate"/>
      </w:r>
      <w:r w:rsidR="002E12B3" w:rsidRPr="002539EA">
        <w:rPr>
          <w:noProof/>
        </w:rPr>
        <w:t>(Ahmed et al., 2019)</w:t>
      </w:r>
      <w:r w:rsidR="002E12B3" w:rsidRPr="002539EA">
        <w:fldChar w:fldCharType="end"/>
      </w:r>
      <w:r w:rsidR="002E12B3" w:rsidRPr="002539EA">
        <w:t>.</w:t>
      </w:r>
    </w:p>
    <w:p w:rsidR="00D03081" w:rsidRPr="002539EA" w:rsidRDefault="00D03081" w:rsidP="003A024A">
      <w:r w:rsidRPr="002539EA">
        <w:t xml:space="preserve">The lineament maps plotted from satellite data are useful for groundwater potential studies, while, the field studies help to detect the nature of structures and correlate lineament interpretation with geological structures. The major rock units of Weyib </w:t>
      </w:r>
      <w:r w:rsidR="00452199" w:rsidRPr="002539EA">
        <w:t>S</w:t>
      </w:r>
      <w:r w:rsidRPr="002539EA">
        <w:t xml:space="preserve">ub-basin found in the Asella map sheet area are composed of fractured volcanic rocks, jointed ignimbrite, and basalts. The rocks are permeable formation facilitating rate of infiltration, storage, and movement of groundwater </w:t>
      </w:r>
      <w:r w:rsidR="002E12B3" w:rsidRPr="002539EA">
        <w:fldChar w:fldCharType="begin" w:fldLock="1"/>
      </w:r>
      <w:r w:rsidR="00A309A8" w:rsidRPr="002539EA">
        <w:instrText>ADDIN CSL_CITATION {"citationItems":[{"id":"ITEM-1","itemData":{"author":[{"dropping-particle":"","family":"Kiflu","given":"Astatke","non-dropping-particle":"","parse-names":false,"suffix":""},{"dropping-particle":"","family":"Tafa","given":"Yosef","non-dropping-particle":"","parse-names":false,"suffix":""},{"dropping-particle":"","family":"Mulugeta","given":"Yonas","non-dropping-particle":"","parse-names":false,"suffix":""}],"id":"ITEM-1","issued":{"date-parts":[["2009"]]},"number-of-pages":"1-74","publisher-place":"Addis Abeba, Ethiopia","title":"Hydrogeological mapping of part of Asela map sheet (NB 37-3) South eastern high land of Ethiopia","type":"report"},"uris":["http://www.mendeley.com/documents/?uuid=00ac486c-3b45-4648-a467-648ee30a24fa","http://www.mendeley.com/documents/?uuid=b3043dd7-ee9c-4f47-9f3e-21b95483fb89"]}],"mendeley":{"formattedCitation":"(Kiflu et al., 2009)","plainTextFormattedCitation":"(Kiflu et al., 2009)","previouslyFormattedCitation":"(Kiflu et al., 2009)"},"properties":{"noteIndex":0},"schema":"https://github.com/citation-style-language/schema/raw/master/csl-citation.json"}</w:instrText>
      </w:r>
      <w:r w:rsidR="002E12B3" w:rsidRPr="002539EA">
        <w:fldChar w:fldCharType="separate"/>
      </w:r>
      <w:r w:rsidR="002E12B3" w:rsidRPr="002539EA">
        <w:rPr>
          <w:noProof/>
        </w:rPr>
        <w:t>(Kiflu et al., 2009)</w:t>
      </w:r>
      <w:r w:rsidR="002E12B3" w:rsidRPr="002539EA">
        <w:fldChar w:fldCharType="end"/>
      </w:r>
      <w:r w:rsidR="002E12B3" w:rsidRPr="002539EA">
        <w:t xml:space="preserve">. </w:t>
      </w:r>
      <w:r w:rsidRPr="002539EA">
        <w:t>Berihun (2018) assign a maximum weight of 27 % for lineament density next to l</w:t>
      </w:r>
      <w:r w:rsidR="00BB3DA0" w:rsidRPr="002539EA">
        <w:t>ithology and soil thematic map.</w:t>
      </w:r>
    </w:p>
    <w:p w:rsidR="00D81776" w:rsidRPr="002539EA" w:rsidRDefault="00D81776" w:rsidP="003A024A">
      <w:pPr>
        <w:pStyle w:val="Heading4"/>
        <w:numPr>
          <w:ilvl w:val="3"/>
          <w:numId w:val="1"/>
        </w:numPr>
        <w:spacing w:before="120" w:after="120"/>
      </w:pPr>
      <w:r w:rsidRPr="002539EA">
        <w:t>Geology</w:t>
      </w:r>
    </w:p>
    <w:p w:rsidR="00477A0C" w:rsidRPr="002539EA" w:rsidRDefault="00166AF2" w:rsidP="003A024A">
      <w:r w:rsidRPr="002539EA">
        <w:t>The g</w:t>
      </w:r>
      <w:r w:rsidR="00D81776" w:rsidRPr="002539EA">
        <w:t xml:space="preserve">eological </w:t>
      </w:r>
      <w:r w:rsidR="002D3863" w:rsidRPr="002539EA">
        <w:t>formation</w:t>
      </w:r>
      <w:r w:rsidR="00D81776" w:rsidRPr="002539EA">
        <w:t xml:space="preserve"> of an area influences groundwater movement, storage and subsequently, potential </w:t>
      </w:r>
      <w:r w:rsidR="00D81776" w:rsidRPr="002539EA">
        <w:rPr>
          <w:rStyle w:val="FootnoteReference"/>
        </w:rPr>
        <w:fldChar w:fldCharType="begin" w:fldLock="1"/>
      </w:r>
      <w:r w:rsidR="00A309A8" w:rsidRPr="002539EA">
        <w:instrText>ADDIN CSL_CITATION {"citationItems":[{"id":"ITEM-1","itemData":{"abstract":"This study was focused on determining groundwater recharge and groundwater potential for Mhinga area in South Africa, which is a rural area that depends mainly on groundwater for domestic water supply. Numerical modelling was used to simulate the groundwater behaviour in the aquifer and estimate groundwater recharge. MIKE SHE and MIKE 11 models were coupled and used to estimate groundwater recharge within calibration and validation periods of 2007/07/01 to 2009/12/31 and 2010/01/01 to 2013/05/21, respectively. Due to limited data availability for Mhinga, modelling was carried out at quaternary scale and then localised to Mhinga area. Remotely sensed data (satellite images, shapefiles and maps) was used to produce the groundwater potential map for Mhinga. The data were assigned with weights using Saaty’s Analytical Hierarchy Process and overlain on ArcGIS platform. Borehole drilling statistics of the boreholes in A91H quaternary catchment were used to validate the groundwater potential map. In streamflow modelling using MIKE 11, values of Nash- Sutcliffe efficiency (NSE), correlation coefficient (R), root mean square error (RMSE) and mean absolute error (MAE) were 0.51-0.89, 0.73-0.97, 3.61-7.96 and 1.13-2.75, respectively. In integrated groundwater modelling using MIKE SHE, values of NSE, R, RMSE and MAE were 0.72-0.84, 0.87- 0.93, 0.18-0.32 and 0.13-0.26, respectively. These values showed that MIKE SHE and MIKE 11 models had satisfactory performances. Groundwater recharge estimates were generally very low ranging from 0 to 2.75 mm/year, which constituted 0 – 0.42 % of Mean Annual Precipitation (MAP) for the A91H quaternary catchment. This was associated with high evapotranspiration (mean of approximately 4 mm/day) compared to the low precipitation levels (MAP of 656 mm/year). Moreover, in the low lying areas, with gentle slopes, low recharge between 0.2 – 0.4 mm was observed. The groundwater potential (GWP) map produced revealed that Mhinga is predominantly covered by regions of very low and low groundwater potential, which was associated with the type of geology. Area coverages of 34.47 % had very low, 51.39 % had low, 7.66 % had moderate and 6.48 % had high groundwater potential. Moderate to high groundwater potential zones were located along the geologic fault zones. In A91H, 112 unsuccessful boreholes were drilled, 69 (61.6 %) fell in the very low GWP zones, 16 (14.3 %) fell in the low GWP zones, 17 (15.2 %) fell in moderate GWP zones and 10 (8.9 %…","author":[{"dropping-particle":"","family":"Shamuyarira","given":"K k","non-dropping-particle":"","parse-names":false,"suffix":""}],"id":"ITEM-1","issued":{"date-parts":[["2017"]]},"number-of-pages":"94","publisher":"University of Venda","title":"Determination of recharge and groundwater potential zones in Mhinga area, South Africa","type":"thesis"},"uris":["http://www.mendeley.com/documents/?uuid=4b662cb6-4beb-48d9-b0db-5319f617f313","http://www.mendeley.com/documents/?uuid=d4ee3d44-cace-44fb-9290-e1427c829be8"]}],"mendeley":{"formattedCitation":"(Shamuyarira, 2017)","plainTextFormattedCitation":"(Shamuyarira, 2017)","previouslyFormattedCitation":"(Shamuyarira, 2017)"},"properties":{"noteIndex":0},"schema":"https://github.com/citation-style-language/schema/raw/master/csl-citation.json"}</w:instrText>
      </w:r>
      <w:r w:rsidR="00D81776" w:rsidRPr="002539EA">
        <w:rPr>
          <w:rStyle w:val="FootnoteReference"/>
        </w:rPr>
        <w:fldChar w:fldCharType="separate"/>
      </w:r>
      <w:r w:rsidR="00D81776" w:rsidRPr="002539EA">
        <w:rPr>
          <w:noProof/>
        </w:rPr>
        <w:t>(Shamuyarira, 2017)</w:t>
      </w:r>
      <w:r w:rsidR="00D81776" w:rsidRPr="002539EA">
        <w:rPr>
          <w:rStyle w:val="FootnoteReference"/>
        </w:rPr>
        <w:fldChar w:fldCharType="end"/>
      </w:r>
      <w:r w:rsidR="00D81776" w:rsidRPr="002539EA">
        <w:t xml:space="preserve">. Types of rocks determine </w:t>
      </w:r>
      <w:r w:rsidR="00FD6617" w:rsidRPr="002539EA">
        <w:t xml:space="preserve">the </w:t>
      </w:r>
      <w:r w:rsidR="00D81776" w:rsidRPr="002539EA">
        <w:t>peculiarities of cross-section structures hydrological property</w:t>
      </w:r>
      <w:r w:rsidR="00FD6617" w:rsidRPr="002539EA">
        <w:t xml:space="preserve"> </w:t>
      </w:r>
      <w:r w:rsidR="00D81776" w:rsidRPr="002539EA">
        <w:rPr>
          <w:rStyle w:val="FootnoteReference"/>
        </w:rPr>
        <w:fldChar w:fldCharType="begin" w:fldLock="1"/>
      </w:r>
      <w:r w:rsidR="00A309A8" w:rsidRPr="002539EA">
        <w:instrText>ADDIN CSL_CITATION {"citationItems":[{"id":"ITEM-1","itemData":{"author":[{"dropping-particle":"","family":"Kidanu","given":"Kindeya","non-dropping-particle":"","parse-names":false,"suffix":""}],"id":"ITEM-1","issued":{"date-parts":[["2018"]]},"publisher":"Addis Ababa University","title":"Identification of Groundwater potential zone mapping using Remote Sensing and GIS techniques, incase of Inderta district, Ethiopia","type":"thesis"},"uris":["http://www.mendeley.com/documents/?uuid=a3b470d3-baa9-419d-9bf7-4738ac8431da","http://www.mendeley.com/documents/?uuid=ef694525-eeef-49eb-b41e-c594d5d81815"]}],"mendeley":{"formattedCitation":"(Kidanu, 2018)","plainTextFormattedCitation":"(Kidanu, 2018)","previouslyFormattedCitation":"(Kidanu, 2018)"},"properties":{"noteIndex":0},"schema":"https://github.com/citation-style-language/schema/raw/master/csl-citation.json"}</w:instrText>
      </w:r>
      <w:r w:rsidR="00D81776" w:rsidRPr="002539EA">
        <w:rPr>
          <w:rStyle w:val="FootnoteReference"/>
        </w:rPr>
        <w:fldChar w:fldCharType="separate"/>
      </w:r>
      <w:r w:rsidR="00D81776" w:rsidRPr="002539EA">
        <w:rPr>
          <w:noProof/>
        </w:rPr>
        <w:t>(Kidanu, 2018)</w:t>
      </w:r>
      <w:r w:rsidR="00D81776" w:rsidRPr="002539EA">
        <w:rPr>
          <w:rStyle w:val="FootnoteReference"/>
        </w:rPr>
        <w:fldChar w:fldCharType="end"/>
      </w:r>
      <w:r w:rsidR="003B2E15" w:rsidRPr="002539EA">
        <w:t>. The quaternary eluvial</w:t>
      </w:r>
      <w:r w:rsidR="00D81776" w:rsidRPr="002539EA">
        <w:t xml:space="preserve"> sediment </w:t>
      </w:r>
      <w:r w:rsidR="00ED4CD2" w:rsidRPr="002539EA">
        <w:t>which</w:t>
      </w:r>
      <w:r w:rsidR="00D81776" w:rsidRPr="002539EA">
        <w:t xml:space="preserve"> formed by weathering of </w:t>
      </w:r>
      <w:r w:rsidRPr="002539EA">
        <w:t>bedrocks</w:t>
      </w:r>
      <w:r w:rsidR="00B90D87" w:rsidRPr="002539EA">
        <w:t xml:space="preserve"> is</w:t>
      </w:r>
      <w:r w:rsidR="003B2E15" w:rsidRPr="002539EA">
        <w:t xml:space="preserve"> characterized by </w:t>
      </w:r>
      <w:r w:rsidR="00D81776" w:rsidRPr="002539EA">
        <w:t xml:space="preserve"> poor groundwater yield </w:t>
      </w:r>
      <w:r w:rsidR="00D81776" w:rsidRPr="002539EA">
        <w:rPr>
          <w:rStyle w:val="FootnoteReference"/>
        </w:rPr>
        <w:fldChar w:fldCharType="begin" w:fldLock="1"/>
      </w:r>
      <w:r w:rsidR="00A309A8" w:rsidRPr="002539EA">
        <w:instrText>ADDIN CSL_CITATION {"citationItems":[{"id":"ITEM-1","itemData":{"ISBN":"978-80-260-0334-2","ISSN":"1098-6596","PMID":"25246403","author":[{"dropping-particle":"","family":"Zewdie","given":"Getachew","non-dropping-particle":"","parse-names":false,"suffix":""}],"container-title":"AQUATEST","edition":"1st editio","editor":[{"dropping-particle":"","family":"Sima","given":"Jiri","non-dropping-particle":"","parse-names":false,"suffix":""}],"id":"ITEM-1","issued":{"date-parts":[["2011"]]},"number-of-pages":"1-113","publisher":"AQUATEST","publisher-place":"prague 5, Czech Republic","title":"Hydrogeological and Hydrochemical maps of Negele NB 37-11","type":"book"},"uris":["http://www.mendeley.com/documents/?uuid=64d0d57d-19f5-4ff8-aa89-0fe3a24a45eb","http://www.mendeley.com/documents/?uuid=b0b592c2-4272-4087-9d46-ff98d94bf955"]},{"id":"ITEM-2","itemData":{"author":[{"dropping-particle":"","family":"Mamo","given":"Abiy Getachow","non-dropping-particle":"","parse-names":false,"suffix":""}],"id":"ITEM-2","issued":{"date-parts":[["2007"]]},"publisher":"Addis Abeba University","title":"Integration of Remote Sensing and GIS for groundwater resources assessment in Moyale-Teltele sub-basin, South Ethiopia","type":"thesis"},"uris":["http://www.mendeley.com/documents/?uuid=a4612bda-b9ad-4651-b243-8cc550d350e5","http://www.mendeley.com/documents/?uuid=b21e7646-ce00-4c8e-98e5-626eb5fe2344"]}],"mendeley":{"formattedCitation":"(Mamo, 2007; Zewdie, 2011)","plainTextFormattedCitation":"(Mamo, 2007; Zewdie, 2011)","previouslyFormattedCitation":"(Mamo, 2007; Zewdie, 2011)"},"properties":{"noteIndex":0},"schema":"https://github.com/citation-style-language/schema/raw/master/csl-citation.json"}</w:instrText>
      </w:r>
      <w:r w:rsidR="00D81776" w:rsidRPr="002539EA">
        <w:rPr>
          <w:rStyle w:val="FootnoteReference"/>
        </w:rPr>
        <w:fldChar w:fldCharType="separate"/>
      </w:r>
      <w:r w:rsidR="00ED4CD2" w:rsidRPr="002539EA">
        <w:rPr>
          <w:noProof/>
        </w:rPr>
        <w:t>(Mamo, 2007; Zewdie, 2011)</w:t>
      </w:r>
      <w:r w:rsidR="00D81776" w:rsidRPr="002539EA">
        <w:rPr>
          <w:rStyle w:val="FootnoteReference"/>
        </w:rPr>
        <w:fldChar w:fldCharType="end"/>
      </w:r>
      <w:r w:rsidR="000E76A0" w:rsidRPr="002539EA">
        <w:t>. T</w:t>
      </w:r>
      <w:r w:rsidR="005F769D" w:rsidRPr="002539EA">
        <w:t xml:space="preserve">he </w:t>
      </w:r>
      <w:r w:rsidR="00D81776" w:rsidRPr="002539EA">
        <w:t>fracture</w:t>
      </w:r>
      <w:r w:rsidR="00404822" w:rsidRPr="002539EA">
        <w:t xml:space="preserve"> </w:t>
      </w:r>
      <w:r w:rsidR="00D81776" w:rsidRPr="002539EA">
        <w:t xml:space="preserve">type permeability aquifer of </w:t>
      </w:r>
      <w:r w:rsidR="000E76A0" w:rsidRPr="002539EA">
        <w:t>Ginnir basalt and the tertiary volcanic of Nazret series</w:t>
      </w:r>
      <w:r w:rsidR="00A84A84" w:rsidRPr="002539EA">
        <w:t xml:space="preserve"> </w:t>
      </w:r>
      <w:r w:rsidR="000E76A0" w:rsidRPr="002539EA">
        <w:t xml:space="preserve">contribute </w:t>
      </w:r>
      <w:r w:rsidR="00D81776" w:rsidRPr="002539EA">
        <w:t xml:space="preserve">moderate </w:t>
      </w:r>
      <w:r w:rsidR="000E76A0" w:rsidRPr="002539EA">
        <w:t>and high yield</w:t>
      </w:r>
      <w:r w:rsidR="00D81776" w:rsidRPr="002539EA">
        <w:t xml:space="preserve"> </w:t>
      </w:r>
      <w:r w:rsidR="00D81776" w:rsidRPr="002539EA">
        <w:rPr>
          <w:rStyle w:val="FootnoteReference"/>
        </w:rPr>
        <w:fldChar w:fldCharType="begin" w:fldLock="1"/>
      </w:r>
      <w:r w:rsidR="00A309A8" w:rsidRPr="002539EA">
        <w:instrText>ADDIN CSL_CITATION {"citationItems":[{"id":"ITEM-1","itemData":{"abstract":"Hydrogeological mapping of Ginner map sheet is carried out on the upper Wabi Shebele and some part of upper Genale Dawa river shades which is situated about 530 km east of Addis Ababa at the eastern part of Ethiopia. Considerable elevation difference (500-2685 m.a.s.l) and physiographic diversities such as highlands, lowlands and rugged areas, river valleys, deep gorges and plateaus characterize the area. Though the duration, amount and spatial distribution of the rain fall varies in the plateaus and low lands, bi- modal type of rain fall regime is generally observed. The annual mean rainfall in the low lands and high lands vary between 300 – 1200 mm and Potential evapotranspiration (PET) is estimated empirically 3.9 mm/day for the area. Rock units of the area are Tertiary and Quaternary Volcanics such as; Ginner Basalt, Arsi-Bale basalts and lower flood basalt and Mesozoic sedimentary formations such as: Amba Aradam, Korahe, Gabredare, Urandab and Hamanle formations successively under lain from young to old. In addition, superficial deposits and weathering remnants such as alluvium and elluvium cover the area. Nearly NE–SW and NW– SE trending faults and lineaments affect the area. The aquifer systems are defined based on hydrogeological characteristics /aquifer productivity and permeability/ of the lithological units. Seven hydrogeological units /aquifers systems/ are identified in the map sheet and then hydrogeological map at a scale 1:250,000 is produced. The chemical analysis result of water samples in the study area shows that bicarbonate and transitional and basic water type is predominant. The general trend of EC and TDS increases from relatively highland plateau to lowland where rain fall is low and evapotranspiration is high. Groundwater of the study area is generally suitable for Drinking water supply and irrigation. Generally, the area has ground water resources thus intensive sustainable water resources development is recommended by drilling deeper wells more than 150m depth on the lowlands and Springs development on the high land plateaus. Productive wells can also be drilled at the high land plateaus along faults and lineaments. In addition to water supply, large scale irrigation can be possible at the plateaus by using ground water resource.","author":[{"dropping-particle":"","family":"Mulugeta","given":"Yonas","non-dropping-particle":"","parse-names":false,"suffix":""},{"dropping-particle":"","family":"Tafa","given":"Yosef","non-dropping-particle":"","parse-names":false,"suffix":""}],"id":"ITEM-1","issued":{"date-parts":[["2010"]]},"number-of-pages":"1-84","publisher-place":"Addis Abeba, Ethiopia","title":"Integrated hydrogeological mapping of Ginnir map sheet (NB-37-4) South Eastern low land and adjacent high land of Ethiopia","type":"report"},"uris":["http://www.mendeley.com/documents/?uuid=e9c5b3e5-3d16-4cb5-a46e-712fee7da124","http://www.mendeley.com/documents/?uuid=1b87b89f-6151-4701-b983-9da2e8363ad4"]}],"mendeley":{"formattedCitation":"(Mulugeta &amp; Tafa, 2010)","manualFormatting":"(Mulugeta and Tafa, 2010)","plainTextFormattedCitation":"(Mulugeta &amp; Tafa, 2010)","previouslyFormattedCitation":"(Mulugeta &amp; Tafa, 2010)"},"properties":{"noteIndex":0},"schema":"https://github.com/citation-style-language/schema/raw/master/csl-citation.json"}</w:instrText>
      </w:r>
      <w:r w:rsidR="00D81776" w:rsidRPr="002539EA">
        <w:rPr>
          <w:rStyle w:val="FootnoteReference"/>
        </w:rPr>
        <w:fldChar w:fldCharType="separate"/>
      </w:r>
      <w:r w:rsidR="00E230CE" w:rsidRPr="002539EA">
        <w:rPr>
          <w:noProof/>
        </w:rPr>
        <w:t>(Mulugeta and</w:t>
      </w:r>
      <w:r w:rsidR="00A108C4" w:rsidRPr="002539EA">
        <w:rPr>
          <w:noProof/>
        </w:rPr>
        <w:t xml:space="preserve"> Tafa, 2010)</w:t>
      </w:r>
      <w:r w:rsidR="00D81776" w:rsidRPr="002539EA">
        <w:rPr>
          <w:rStyle w:val="FootnoteReference"/>
        </w:rPr>
        <w:fldChar w:fldCharType="end"/>
      </w:r>
      <w:r w:rsidRPr="002539EA">
        <w:t xml:space="preserve">. </w:t>
      </w:r>
      <w:r w:rsidR="00D81776" w:rsidRPr="002539EA">
        <w:t xml:space="preserve">Alkali trachyte flows </w:t>
      </w:r>
      <w:r w:rsidRPr="002539EA">
        <w:t>are</w:t>
      </w:r>
      <w:r w:rsidR="00D81776" w:rsidRPr="002539EA">
        <w:t xml:space="preserve"> the units with fracture pe</w:t>
      </w:r>
      <w:r w:rsidR="001C08A8" w:rsidRPr="002539EA">
        <w:t>r</w:t>
      </w:r>
      <w:r w:rsidR="00404822" w:rsidRPr="002539EA">
        <w:t xml:space="preserve">meability and low productivity </w:t>
      </w:r>
      <w:r w:rsidR="00D81776" w:rsidRPr="002539EA">
        <w:rPr>
          <w:rStyle w:val="FootnoteReference"/>
        </w:rPr>
        <w:fldChar w:fldCharType="begin" w:fldLock="1"/>
      </w:r>
      <w:r w:rsidR="00A309A8" w:rsidRPr="002539EA">
        <w:instrText>ADDIN CSL_CITATION {"citationItems":[{"id":"ITEM-1","itemData":{"author":[{"dropping-particle":"","family":"Kiflu","given":"Astatke","non-dropping-particle":"","parse-names":false,"suffix":""},{"dropping-particle":"","family":"Tafa","given":"Yosef","non-dropping-particle":"","parse-names":false,"suffix":""},{"dropping-particle":"","family":"Mulugeta","given":"Yonas","non-dropping-particle":"","parse-names":false,"suffix":""}],"id":"ITEM-1","issued":{"date-parts":[["2009"]]},"number-of-pages":"1-74","publisher-place":"Addis Abeba, Ethiopia","title":"Hydrogeological mapping of part of Asela map sheet (NB 37-3) South eastern high land of Ethiopia","type":"report"},"uris":["http://www.mendeley.com/documents/?uuid=00ac486c-3b45-4648-a467-648ee30a24fa","http://www.mendeley.com/documents/?uuid=b3043dd7-ee9c-4f47-9f3e-21b95483fb89"]}],"mendeley":{"formattedCitation":"(Kiflu et al., 2009)","plainTextFormattedCitation":"(Kiflu et al., 2009)","previouslyFormattedCitation":"(Kiflu et al., 2009)"},"properties":{"noteIndex":0},"schema":"https://github.com/citation-style-language/schema/raw/master/csl-citation.json"}</w:instrText>
      </w:r>
      <w:r w:rsidR="00D81776" w:rsidRPr="002539EA">
        <w:rPr>
          <w:rStyle w:val="FootnoteReference"/>
        </w:rPr>
        <w:fldChar w:fldCharType="separate"/>
      </w:r>
      <w:r w:rsidR="00A108C4" w:rsidRPr="002539EA">
        <w:rPr>
          <w:noProof/>
        </w:rPr>
        <w:t>(Kiflu et al., 2009)</w:t>
      </w:r>
      <w:r w:rsidR="00D81776" w:rsidRPr="002539EA">
        <w:rPr>
          <w:rStyle w:val="FootnoteReference"/>
        </w:rPr>
        <w:fldChar w:fldCharType="end"/>
      </w:r>
      <w:r w:rsidR="004025FE" w:rsidRPr="002539EA">
        <w:t xml:space="preserve">. </w:t>
      </w:r>
    </w:p>
    <w:p w:rsidR="005B042D" w:rsidRPr="002539EA" w:rsidRDefault="004025FE" w:rsidP="008E129A">
      <w:r w:rsidRPr="002539EA">
        <w:t xml:space="preserve">Aphyric basalt </w:t>
      </w:r>
      <w:r w:rsidR="00D81776" w:rsidRPr="002539EA">
        <w:t xml:space="preserve">is the dominant rock type </w:t>
      </w:r>
      <w:r w:rsidR="000B6174" w:rsidRPr="002539EA">
        <w:t xml:space="preserve">of jointed, fractured and porous aquifer of medium to the high productivity </w:t>
      </w:r>
      <w:r w:rsidR="000B6174" w:rsidRPr="002539EA">
        <w:fldChar w:fldCharType="begin" w:fldLock="1"/>
      </w:r>
      <w:r w:rsidR="00A309A8" w:rsidRPr="002539EA">
        <w:instrText>ADDIN CSL_CITATION {"citationItems":[{"id":"ITEM-1","itemData":{"abstract":"The Dodola area is partially underlain by Precambrian crystalline basement rocks. Mesozoic sedimentary and Cenozoic volcanic rocks unconformably overlying the Precambrian cover large areas. The precambrian basement is divided into two major groups, low-grade and high-grade metamorphic rocks. Plutons of Precambrian age are also present. These rocks were affected by two main deformational events designated Dl and D2. . The Dl event affected the high-grade gneisses only, while both the high-grade and low- grade rocks were subjected to the D2 event. The precambrian rocks of the area were subjected to the M1 and M2 metamorphic episodes that accompanied Dl and D2' respectively. The high-grade rocks were metamorphosed to middle amphibolite facies (M1), the low-grade rocks to greenschist facies (M2). Four Mesozoic sedimentary map units, both sandstones and limestones, were identified. Eight Cenozoic volcanic map units were delineated in the area. Seven of these are of Tertiary age, the eighth of Quaternary age. Intrusive alkali-feldspar syenites are also present. Quaternary eluvial and alluvial sediments cover parts of the area. Placer gold in the southwestern part of the area and iron ore in unit pga (metagabbro) are the main types of mineralization in the map area. viii","author":[{"dropping-particle":"","family":"Gobena","given":"Hambisa","non-dropping-particle":"","parse-names":false,"suffix":""},{"dropping-particle":"","family":"Belayneh","given":"Mandefro","non-dropping-particle":"","parse-names":false,"suffix":""},{"dropping-particle":"","family":"Kebede","given":"Tesfaye","non-dropping-particle":"","parse-names":false,"suffix":""},{"dropping-particle":"","family":"Tesfaye","given":"Samson","non-dropping-particle":"","parse-names":false,"suffix":""},{"dropping-particle":"","family":"Abraham","given":"Amenti","non-dropping-particle":"","parse-names":false,"suffix":""}],"id":"ITEM-1","issued":{"date-parts":[["1997"]]},"number-of-pages":"1-150","publisher":"Geological survey of Ethiopia","publisher-place":"Addis Abeba, Ethiopia","title":"Geology of the Dodola area memoir 10","type":"thesis"},"uris":["http://www.mendeley.com/documents/?uuid=b840fa1f-1773-4952-a482-26e12eb52c1d","http://www.mendeley.com/documents/?uuid=c79ad758-07cb-4295-b419-a4c7d1b0c8f2"]},{"id":"ITEM-2","itemData":{"abstract":"Dodola map sheet (NB37-7) is covering parts of south eastern Ethiopian plateau and associated low lands. It is located at 430 km from Addis Ababa within Oromia and SNNP Regional states and bounded in between 6o 00’ to 7 o 00’ N Latitude and 39o00’ to 40o30’ E Longitude. The main and principal objective of the project is to produce hydrogeological and hydrochemical map of Dodola map sheet in 1:250,000 scale with accompanying report. Different materials like geological map, topographic map, GPS, PH meter, EC meter etc and appropriate software were used to achieve the objective. Geologically Dodolla map sheet is covered by Precambrian crystalline basement rocks, Mesozoic Sedimentary units at the middle, Cenozoic volcanic rocks at the top with a very few recent sediment deposit. Based on hydrodynamic properties of rocks and their hydraulic characteristics all Mesozoic sedimentary units are classified under high productive aquifer except upper sand stone which is local and low productive aquifer. Within the Cenozoic volcanic rocks, Ankaramite and syanite are massive, slightly weathered and can be characterized as low productive, where as the rest of volcanic rocks in the area possess moderate to high productive characteristics. The highly sheared, foliated and weathered high grade basement rocks of the area classified as low to moderate productive. Low grade basement rocks, mainly intrusives and metasedimentary units are massive and fresh without water points and classified as medium of very low water holding and transmitting capacity/Aquifuge. From topographic set up and ground water table map , the general ground water flow direction in the area is towards south and mainly south east (sedimentary covering low land) and the minimum mean recharge of the area from precipitation is estimated as 1127.2 mm/year. From the collected 97 water samples about 78 water samples are within the permissible level of water quality standard of WHO and good for drinking purpose. The Sodium Adsorption Ratio (SAR) value of the water in the area is &lt;5, which is within excellent range for irrigation, but TDS irrigation suitability criteria shows 87 water samples are excellent, 7 are suitable and the rest are unsuitable. Most of analyzed water samples show the ground water quality of the area is also suitable for Dairy, Sugar, Food processing and Tanning industries. Shallow well of Dello Mena town (dshw_4) and dDw_11 of Dodola area shows harmful (high) concentration of NO3 and sho…","author":[{"dropping-particle":"","family":"Kifle","given":"Astatike","non-dropping-particle":"","parse-names":false,"suffix":""},{"dropping-particle":"","family":"Hailemriam","given":"Mulugeta","non-dropping-particle":"","parse-names":false,"suffix":""}],"id":"ITEM-2","issued":{"date-parts":[["2010"]]},"number-of-pages":"1-104","publisher-place":"Addis Abeba, Ethiopia","title":"Integrated hydrogeological mapping of Dodola map sheet (NB 37-7) South Eastern Ethiopia high lands with associated low lands","type":"report"},"uris":["http://www.mendeley.com/documents/?uuid=a08bf45a-48bd-4814-bf25-2789c5c1d393","http://www.mendeley.com/documents/?uuid=0265e2e7-316d-4ea6-8541-27380974830d"]}],"mendeley":{"formattedCitation":"(Gobena et al., 1997; Kifle &amp; Hailemriam, 2010)","plainTextFormattedCitation":"(Gobena et al., 1997; Kifle &amp; Hailemriam, 2010)","previouslyFormattedCitation":"(Gobena et al., 1997; Kifle &amp; Hailemriam, 2010)"},"properties":{"noteIndex":0},"schema":"https://github.com/citation-style-language/schema/raw/master/csl-citation.json"}</w:instrText>
      </w:r>
      <w:r w:rsidR="000B6174" w:rsidRPr="002539EA">
        <w:fldChar w:fldCharType="separate"/>
      </w:r>
      <w:r w:rsidR="00C671D1" w:rsidRPr="002539EA">
        <w:rPr>
          <w:noProof/>
        </w:rPr>
        <w:t xml:space="preserve">(Gobena et al., 1997; Kifle and </w:t>
      </w:r>
      <w:r w:rsidR="000B6174" w:rsidRPr="002539EA">
        <w:rPr>
          <w:noProof/>
        </w:rPr>
        <w:t>Hailemriam, 2010)</w:t>
      </w:r>
      <w:r w:rsidR="000B6174" w:rsidRPr="002539EA">
        <w:fldChar w:fldCharType="end"/>
      </w:r>
      <w:r w:rsidR="000B6174" w:rsidRPr="002539EA">
        <w:t>.</w:t>
      </w:r>
      <w:r w:rsidR="00C42752" w:rsidRPr="002539EA">
        <w:t xml:space="preserve"> </w:t>
      </w:r>
      <w:r w:rsidR="00D81776" w:rsidRPr="002539EA">
        <w:t>Alaji f</w:t>
      </w:r>
      <w:r w:rsidR="000B6174" w:rsidRPr="002539EA">
        <w:t xml:space="preserve">ormation </w:t>
      </w:r>
      <w:r w:rsidR="006450B0" w:rsidRPr="002539EA">
        <w:t xml:space="preserve">is the </w:t>
      </w:r>
      <w:r w:rsidR="00D81776" w:rsidRPr="002539EA">
        <w:t xml:space="preserve">moderately productive fractured volcanic aquifer </w:t>
      </w:r>
      <w:r w:rsidR="00D81776" w:rsidRPr="002539EA">
        <w:rPr>
          <w:rStyle w:val="FootnoteReference"/>
        </w:rPr>
        <w:fldChar w:fldCharType="begin" w:fldLock="1"/>
      </w:r>
      <w:r w:rsidR="00A309A8" w:rsidRPr="002539EA">
        <w:instrText>ADDIN CSL_CITATION {"citationItems":[{"id":"ITEM-1","itemData":{"author":[{"dropping-particle":"","family":"Kebede","given":"Mintesnot","non-dropping-particle":"","parse-names":false,"suffix":""},{"dropping-particle":"","family":"Mulugeta","given":"Yonas","non-dropping-particle":"","parse-names":false,"suffix":""}],"id":"ITEM-1","issued":{"date-parts":[["2011"]]},"publisher-place":"Addis Abeba, Ethiopia","title":"Hydrogeological map of Megallo map sheet (NB 37-8)","type":"report"},"uris":["http://www.mendeley.com/documents/?uuid=1e17384d-a269-4745-b57a-3cfb8caa3508","http://www.mendeley.com/documents/?uuid=840f342e-829f-4f6d-87d4-a6e206ab7aa8"]}],"mendeley":{"formattedCitation":"(M. Kebede &amp; Mulugeta, 2011)","manualFormatting":"(Kebede and Mulugeta, 2011)","plainTextFormattedCitation":"(M. Kebede &amp; Mulugeta, 2011)","previouslyFormattedCitation":"(M. Kebede &amp; Mulugeta, 2011)"},"properties":{"noteIndex":0},"schema":"https://github.com/citation-style-language/schema/raw/master/csl-citation.json"}</w:instrText>
      </w:r>
      <w:r w:rsidR="00D81776" w:rsidRPr="002539EA">
        <w:rPr>
          <w:rStyle w:val="FootnoteReference"/>
        </w:rPr>
        <w:fldChar w:fldCharType="separate"/>
      </w:r>
      <w:r w:rsidR="00446D6D" w:rsidRPr="002539EA">
        <w:rPr>
          <w:noProof/>
        </w:rPr>
        <w:t>(</w:t>
      </w:r>
      <w:r w:rsidR="00E230CE" w:rsidRPr="002539EA">
        <w:rPr>
          <w:noProof/>
        </w:rPr>
        <w:t>Kebede and</w:t>
      </w:r>
      <w:r w:rsidR="00A108C4" w:rsidRPr="002539EA">
        <w:rPr>
          <w:noProof/>
        </w:rPr>
        <w:t xml:space="preserve"> Mulugeta, 2011)</w:t>
      </w:r>
      <w:r w:rsidR="00D81776" w:rsidRPr="002539EA">
        <w:rPr>
          <w:rStyle w:val="FootnoteReference"/>
        </w:rPr>
        <w:fldChar w:fldCharType="end"/>
      </w:r>
      <w:r w:rsidR="006450B0" w:rsidRPr="002539EA">
        <w:t>. The</w:t>
      </w:r>
      <w:r w:rsidR="00D81776" w:rsidRPr="002539EA">
        <w:t xml:space="preserve"> Lower Korahe is </w:t>
      </w:r>
      <w:r w:rsidR="006450B0" w:rsidRPr="002539EA">
        <w:t xml:space="preserve">an intergranular sedimentary sandstone formation </w:t>
      </w:r>
      <w:r w:rsidR="00D81776" w:rsidRPr="002539EA">
        <w:t>aquifer of low productivity</w:t>
      </w:r>
      <w:r w:rsidR="00A86A4D" w:rsidRPr="002539EA">
        <w:t>.</w:t>
      </w:r>
      <w:r w:rsidR="003B7DE3" w:rsidRPr="002539EA">
        <w:t xml:space="preserve"> </w:t>
      </w:r>
      <w:r w:rsidR="00AE5C1F" w:rsidRPr="002539EA">
        <w:t>The moderate permeability and productivity upper Gabredarre formation</w:t>
      </w:r>
      <w:r w:rsidR="00D81776" w:rsidRPr="002539EA">
        <w:t xml:space="preserve"> </w:t>
      </w:r>
      <w:r w:rsidR="00AE5C1F" w:rsidRPr="002539EA">
        <w:t>form a</w:t>
      </w:r>
      <w:r w:rsidR="00D81776" w:rsidRPr="002539EA">
        <w:t xml:space="preserve"> </w:t>
      </w:r>
      <w:r w:rsidR="004B37BA" w:rsidRPr="002539EA">
        <w:t xml:space="preserve">moderately jointed </w:t>
      </w:r>
      <w:r w:rsidR="00D81776" w:rsidRPr="002539EA">
        <w:t>limestone cliffs</w:t>
      </w:r>
      <w:r w:rsidR="004B37BA" w:rsidRPr="002539EA">
        <w:t xml:space="preserve"> </w:t>
      </w:r>
      <w:r w:rsidR="00A86A4D" w:rsidRPr="002539EA">
        <w:fldChar w:fldCharType="begin" w:fldLock="1"/>
      </w:r>
      <w:r w:rsidR="00A309A8" w:rsidRPr="002539EA">
        <w:instrText>ADDIN CSL_CITATION {"citationItems":[{"id":"ITEM-1","itemData":{"author":[{"dropping-particle":"","family":"Kebede","given":"Mintesnot","non-dropping-particle":"","parse-names":false,"suffix":""},{"dropping-particle":"","family":"Mulugeta","given":"Yonas","non-dropping-particle":"","parse-names":false,"suffix":""}],"id":"ITEM-1","issued":{"date-parts":[["2011"]]},"publisher-place":"Addis Abeba, Ethiopia","title":"Hydrogeological map of Megallo map sheet (NB 37-8)","type":"report"},"uris":["http://www.mendeley.com/documents/?uuid=1e17384d-a269-4745-b57a-3cfb8caa3508","http://www.mendeley.com/documents/?uuid=840f342e-829f-4f6d-87d4-a6e206ab7aa8"]}],"mendeley":{"formattedCitation":"(M. Kebede &amp; Mulugeta, 2011)","manualFormatting":"(Kebede and Mulugeta, 2011)","plainTextFormattedCitation":"(M. Kebede &amp; Mulugeta, 2011)","previouslyFormattedCitation":"(M. Kebede &amp; Mulugeta, 2011)"},"properties":{"noteIndex":0},"schema":"https://github.com/citation-style-language/schema/raw/master/csl-citation.json"}</w:instrText>
      </w:r>
      <w:r w:rsidR="00A86A4D" w:rsidRPr="002539EA">
        <w:fldChar w:fldCharType="separate"/>
      </w:r>
      <w:r w:rsidR="00E230CE" w:rsidRPr="002539EA">
        <w:rPr>
          <w:noProof/>
        </w:rPr>
        <w:t>(Kebede and</w:t>
      </w:r>
      <w:r w:rsidR="00A86A4D" w:rsidRPr="002539EA">
        <w:rPr>
          <w:noProof/>
        </w:rPr>
        <w:t xml:space="preserve"> Mulugeta, 2011)</w:t>
      </w:r>
      <w:r w:rsidR="00A86A4D" w:rsidRPr="002539EA">
        <w:fldChar w:fldCharType="end"/>
      </w:r>
      <w:r w:rsidR="00A86A4D" w:rsidRPr="002539EA">
        <w:t xml:space="preserve">. </w:t>
      </w:r>
    </w:p>
    <w:p w:rsidR="00D81776" w:rsidRPr="002539EA" w:rsidRDefault="00D81776" w:rsidP="008E129A">
      <w:r w:rsidRPr="002539EA">
        <w:lastRenderedPageBreak/>
        <w:t xml:space="preserve">While considering various factors influencing groundwater </w:t>
      </w:r>
      <w:r w:rsidR="001730B1" w:rsidRPr="002539EA">
        <w:t>potential, researchers assign</w:t>
      </w:r>
      <w:r w:rsidRPr="002539EA">
        <w:t xml:space="preserve"> </w:t>
      </w:r>
      <w:r w:rsidR="001730B1" w:rsidRPr="002539EA">
        <w:t xml:space="preserve">the </w:t>
      </w:r>
      <w:r w:rsidRPr="002539EA">
        <w:t>maximum weight</w:t>
      </w:r>
      <w:r w:rsidR="005B042D" w:rsidRPr="002539EA">
        <w:t xml:space="preserve"> for geological thematic layer. </w:t>
      </w:r>
      <w:r w:rsidRPr="002539EA">
        <w:t xml:space="preserve">Andualem </w:t>
      </w:r>
      <w:r w:rsidR="00E230CE" w:rsidRPr="002539EA">
        <w:t>and</w:t>
      </w:r>
      <w:r w:rsidRPr="002539EA">
        <w:t xml:space="preserve"> Demeke (2019) </w:t>
      </w:r>
      <w:r w:rsidR="00E335DD" w:rsidRPr="002539EA">
        <w:t xml:space="preserve">assign the </w:t>
      </w:r>
      <w:r w:rsidRPr="002539EA">
        <w:t xml:space="preserve">normalized weight of 24 % for </w:t>
      </w:r>
      <w:r w:rsidR="001730B1" w:rsidRPr="002539EA">
        <w:t xml:space="preserve">the </w:t>
      </w:r>
      <w:r w:rsidRPr="002539EA">
        <w:t>ge</w:t>
      </w:r>
      <w:r w:rsidR="001730B1" w:rsidRPr="002539EA">
        <w:t>ology</w:t>
      </w:r>
      <w:r w:rsidR="00E335DD" w:rsidRPr="002539EA">
        <w:t xml:space="preserve">. </w:t>
      </w:r>
      <w:r w:rsidR="001730B1" w:rsidRPr="002539EA">
        <w:t>This finding</w:t>
      </w:r>
      <w:r w:rsidR="00912D3F" w:rsidRPr="002539EA">
        <w:t>s</w:t>
      </w:r>
      <w:r w:rsidRPr="002539EA">
        <w:t xml:space="preserve"> </w:t>
      </w:r>
      <w:r w:rsidR="00912D3F" w:rsidRPr="002539EA">
        <w:t>were</w:t>
      </w:r>
      <w:r w:rsidRPr="002539EA">
        <w:t xml:space="preserve"> consistent with </w:t>
      </w:r>
      <w:r w:rsidRPr="002539EA">
        <w:rPr>
          <w:rStyle w:val="FootnoteReference"/>
          <w:vertAlign w:val="baseline"/>
        </w:rPr>
        <w:fldChar w:fldCharType="begin" w:fldLock="1"/>
      </w:r>
      <w:r w:rsidR="00A309A8" w:rsidRPr="002539EA">
        <w:instrText>ADDIN CSL_CITATION {"citationItems":[{"id":"ITEM-1","itemData":{"ISSN":"16821750","abstract":"Groundwater quality in Gujarat state is highly variable and due to multiplicity of factors viz. influenced by direct sea water encroachment, inherent sediment salinity, water logging, overexploitation leading to overall deterioration in ground water quality, coupled with domestic and industrial pollution etc. The groundwater scenario in the state is not very encouraging due to imbalance between recharge and groundwater exploitation. Further, the demand for water has increased manifold owing to agricultural, industrial and domestic requirement and this has led to water scarcity in many parts of the state, which is likely to become more severe in coming future due to both natural and manmade factors. Therefore, sustainable development of groundwater resource requires precise quantitative assessment based on reasonably valid scientific principles. Hence, delineation of groundwater potential zones (GWPZ), has acquired great significance. The present study focuses on the integrated Geospatial and Multi-Criteria Decision Making (MCDM) techniques to determine the most important contributing factors that affect the groundwater resources and also to delineate the potential zones for groundwater recharge. The multiple thematic layers of influencing parameters viz. geology, geomorphology, soil, slope, drainage density and land use, weightages were assigned to the each factor according to their relative importance as per subject experts opinion owing to the natural setup of the region. The Analytical Hierarchy Process (AHP) was applied to these factors and potential recharge zones were identified. The study area for the assessment of groundwater recharge potential zones is Mahi-Narmada inter-stream region of Gujarat state. The study shows that around 28% region has the excellent suitability of the ground water recharge.","author":[{"dropping-particle":"","family":"Dabral","given":"Sumit","non-dropping-particle":"","parse-names":false,"suffix":""},{"dropping-particle":"","family":"Bhatt","given":"Bindu","non-dropping-particle":"","parse-names":false,"suffix":""},{"dropping-particle":"","family":"Joshi","given":"Janak P.","non-dropping-particle":"","parse-names":false,"suffix":""},{"dropping-particle":"","family":"Sharma","given":"N.","non-dropping-particle":"","parse-names":false,"suffix":""}],"container-title":"International Archives of the Photogrammetry, Remote Sensing and Spatial Information Sciences - ISPRS Archives","id":"ITEM-1","issued":{"date-parts":[["2014"]]},"page":"347-353","publisher-place":"Hyderabad, India","title":"Groundwater suitability recharge zones modelling - A gis application","type":"article-journal","volume":"8"},"uris":["http://www.mendeley.com/documents/?uuid=e1cd6583-ac5a-4ded-b61a-d48b859b53ce","http://www.mendeley.com/documents/?uuid=887036af-3e88-4b43-bbeb-37e1a1b6f984"]},{"id":"ITEM-2","itemData":{"abstract":"A systematic evaluation of groundwater is essential for the proper utilization and management of this precious natural resource. Integrated GIS and remote sensing are efficient techniques in groundwater studies; in facilitate better data analysis and their interpretations of groundwater potential controlling parameters. In the present study, an attempt had been made to delineate and classify possible groundwater potential zones in the Bilate River catchment using integrated remote sensing and GIS techniques. The thematic layers considered in this study are lithology, geomorphology, drainage density, lineament density, rainfall, soil, slope and land use/ land cover were prepared using the Landsat ETM+ imagery and ArcGIS software. All the thematic layers were then assigned weights according to their relative importance in groundwater occurrence and the corresponding normalized weights were obtained based on the Saaty's analytical hierarchy process. These weights were applied in linear summation equation to obtain a unified weight map containing due weights of all input variables. The thematic layers were finally integrated using ArcGIS and IDRIS software to produce a groundwater potential zone map. Thus, four different groundwater potential zones were identified, namely 'high, 'moderate',' low' and 'poor'. The high potential zones correspond to alluvial plains, lacustrine sediments, the fracture valleys, and valley fills, which coincide with the low slope and high lineaments density areas .The eastern portion and valley escarpment of the study area fall under moderate groundwater potential zone. The low zones mainly comprise structural hills and an escarpment which contributes high run-off .On the other hand; Poor groundwater potential zones are present in the mountain peaks, plateaus and escarpments with steep cliff.","author":[{"dropping-particle":"","family":"Gintamo","given":"Tesfaye Tessema","non-dropping-particle":"","parse-names":false,"suffix":""}],"container-title":"American Scientific Research Journal for Engineering, Technology, and Sciences (ASRJETS) ISSN (Print)","id":"ITEM-2","issued":{"date-parts":[["2015"]]},"page":"2313-4410","title":"Ground Water Potential Evaluation Based on Integrated GIS and Remote Sensing Techniques, in Bilate River Catchment: South Rift Valley of Ethiopia","type":"article-journal"},"uris":["http://www.mendeley.com/documents/?uuid=f6a33ffd-3cd3-40ba-ac19-7301494d8da8"]},{"id":"ITEM-3","itemData":{"author":[{"dropping-particle":"","family":"Mamo","given":"Abiy Getachow","non-dropping-particle":"","parse-names":false,"suffix":""}],"id":"ITEM-3","issued":{"date-parts":[["2007"]]},"publisher":"Addis Abeba University","title":"Integration of Remote Sensing and GIS for groundwater resources assessment in Moyale-Teltele sub-basin, South Ethiopia","type":"thesis"},"uris":["http://www.mendeley.com/documents/?uuid=a4612bda-b9ad-4651-b243-8cc550d350e5","http://www.mendeley.com/documents/?uuid=b21e7646-ce00-4c8e-98e5-626eb5fe2344"]},{"id":"ITEM-4","itemData":{"author":[{"dropping-particle":"","family":"Kidanu","given":"Kindeya","non-dropping-particle":"","parse-names":false,"suffix":""}],"id":"ITEM-4","issued":{"date-parts":[["2018"]]},"publisher":"Addis Ababa University","title":"Identification of Groundwater potential zone mapping using Remote Sensing and GIS techniques, incase of Inderta district, Ethiopia","type":"thesis"},"uris":["http://www.mendeley.com/documents/?uuid=a3b470d3-baa9-419d-9bf7-4738ac8431da","http://www.mendeley.com/documents/?uuid=ef694525-eeef-49eb-b41e-c594d5d81815","http://www.mendeley.com/documents/?uuid=47eff72c-e288-46d6-a3d7-e755c8ae8728"]},{"id":"ITEM-5","itemData":{"abstract":"This study was focused on determining groundwater recharge and groundwater potential for Mhinga area in South Africa, which is a rural area that depends mainly on groundwater for domestic water supply. Numerical modelling was used to simulate the groundwater behaviour in the aquifer and estimate groundwater recharge. MIKE SHE and MIKE 11 models were coupled and used to estimate groundwater recharge within calibration and validation periods of 2007/07/01 to 2009/12/31 and 2010/01/01 to 2013/05/21, respectively. Due to limited data availability for Mhinga, modelling was carried out at quaternary scale and then localised to Mhinga area. Remotely sensed data (satellite images, shapefiles and maps) was used to produce the groundwater potential map for Mhinga. The data were assigned with weights using Saaty’s Analytical Hierarchy Process and overlain on ArcGIS platform. Borehole drilling statistics of the boreholes in A91H quaternary catchment were used to validate the groundwater potential map. In streamflow modelling using MIKE 11, values of Nash- Sutcliffe efficiency (NSE), correlation coefficient (R), root mean square error (RMSE) and mean absolute error (MAE) were 0.51-0.89, 0.73-0.97, 3.61-7.96 and 1.13-2.75, respectively. In integrated groundwater modelling using MIKE SHE, values of NSE, R, RMSE and MAE were 0.72-0.84, 0.87- 0.93, 0.18-0.32 and 0.13-0.26, respectively. These values showed that MIKE SHE and MIKE 11 models had satisfactory performances. Groundwater recharge estimates were generally very low ranging from 0 to 2.75 mm/year, which constituted 0 – 0.42 % of Mean Annual Precipitation (MAP) for the A91H quaternary catchment. This was associated with high evapotranspiration (mean of approximately 4 mm/day) compared to the low precipitation levels (MAP of 656 mm/year). Moreover, in the low lying areas, with gentle slopes, low recharge between 0.2 – 0.4 mm was observed. The groundwater potential (GWP) map produced revealed that Mhinga is predominantly covered by regions of very low and low groundwater potential, which was associated with the type of geology. Area coverages of 34.47 % had very low, 51.39 % had low, 7.66 % had moderate and 6.48 % had high groundwater potential. Moderate to high groundwater potential zones were located along the geologic fault zones. In A91H, 112 unsuccessful boreholes were drilled, 69 (61.6 %) fell in the very low GWP zones, 16 (14.3 %) fell in the low GWP zones, 17 (15.2 %) fell in moderate GWP zones and 10 (8.9 %…","author":[{"dropping-particle":"","family":"Shamuyarira","given":"K k","non-dropping-particle":"","parse-names":false,"suffix":""}],"id":"ITEM-5","issued":{"date-parts":[["2017"]]},"number-of-pages":"94","publisher":"University of Venda","title":"Determination of recharge and groundwater potential zones in Mhinga area, South Africa","type":"thesis"},"uris":["http://www.mendeley.com/documents/?uuid=d4ee3d44-cace-44fb-9290-e1427c829be8","http://www.mendeley.com/documents/?uuid=4b662cb6-4beb-48d9-b0db-5319f617f313","http://www.mendeley.com/documents/?uuid=88b78b7c-dfaf-4711-aa69-601e01cae740"]}],"mendeley":{"formattedCitation":"(Dabral et al., 2014; Gintamo, 2015; Kidanu, 2018; Mamo, 2007; Shamuyarira, 2017)","manualFormatting":"Dabral et al. (2014); Kidanu (2018); Mamo (2007) and Shamuyarira (2017)","plainTextFormattedCitation":"(Dabral et al., 2014; Gintamo, 2015; Kidanu, 2018; Mamo, 2007; Shamuyarira, 2017)","previouslyFormattedCitation":"(Dabral et al., 2014; Gintamo, 2015; Kidanu, 2018; Mamo, 2007; Shamuyarira, 2017)"},"properties":{"noteIndex":0},"schema":"https://github.com/citation-style-language/schema/raw/master/csl-citation.json"}</w:instrText>
      </w:r>
      <w:r w:rsidRPr="002539EA">
        <w:rPr>
          <w:rStyle w:val="FootnoteReference"/>
          <w:vertAlign w:val="baseline"/>
        </w:rPr>
        <w:fldChar w:fldCharType="separate"/>
      </w:r>
      <w:r w:rsidR="00912D3F" w:rsidRPr="002539EA">
        <w:rPr>
          <w:bCs/>
          <w:noProof/>
        </w:rPr>
        <w:t>Dabral et al.</w:t>
      </w:r>
      <w:r w:rsidR="00620371" w:rsidRPr="002539EA">
        <w:rPr>
          <w:bCs/>
          <w:noProof/>
        </w:rPr>
        <w:t xml:space="preserve"> </w:t>
      </w:r>
      <w:r w:rsidR="00912D3F" w:rsidRPr="002539EA">
        <w:rPr>
          <w:bCs/>
          <w:noProof/>
        </w:rPr>
        <w:t>(</w:t>
      </w:r>
      <w:r w:rsidR="00620371" w:rsidRPr="002539EA">
        <w:rPr>
          <w:bCs/>
          <w:noProof/>
        </w:rPr>
        <w:t>2014</w:t>
      </w:r>
      <w:r w:rsidR="00912D3F" w:rsidRPr="002539EA">
        <w:rPr>
          <w:bCs/>
          <w:noProof/>
        </w:rPr>
        <w:t>)</w:t>
      </w:r>
      <w:r w:rsidR="00BF7AF8" w:rsidRPr="002539EA">
        <w:rPr>
          <w:bCs/>
          <w:noProof/>
        </w:rPr>
        <w:t xml:space="preserve">; </w:t>
      </w:r>
      <w:r w:rsidR="00620371" w:rsidRPr="002539EA">
        <w:rPr>
          <w:bCs/>
          <w:noProof/>
        </w:rPr>
        <w:t>Kidanu</w:t>
      </w:r>
      <w:r w:rsidR="00912D3F" w:rsidRPr="002539EA">
        <w:rPr>
          <w:bCs/>
          <w:noProof/>
        </w:rPr>
        <w:t xml:space="preserve"> (</w:t>
      </w:r>
      <w:r w:rsidR="00620371" w:rsidRPr="002539EA">
        <w:rPr>
          <w:bCs/>
          <w:noProof/>
        </w:rPr>
        <w:t>2018</w:t>
      </w:r>
      <w:r w:rsidR="00912D3F" w:rsidRPr="002539EA">
        <w:rPr>
          <w:bCs/>
          <w:noProof/>
        </w:rPr>
        <w:t>)</w:t>
      </w:r>
      <w:r w:rsidR="00620371" w:rsidRPr="002539EA">
        <w:rPr>
          <w:bCs/>
          <w:noProof/>
        </w:rPr>
        <w:t>; Mamo</w:t>
      </w:r>
      <w:r w:rsidR="00912D3F" w:rsidRPr="002539EA">
        <w:rPr>
          <w:bCs/>
          <w:noProof/>
        </w:rPr>
        <w:t xml:space="preserve"> (</w:t>
      </w:r>
      <w:r w:rsidR="00620371" w:rsidRPr="002539EA">
        <w:rPr>
          <w:bCs/>
          <w:noProof/>
        </w:rPr>
        <w:t>2007</w:t>
      </w:r>
      <w:r w:rsidR="00912D3F" w:rsidRPr="002539EA">
        <w:rPr>
          <w:bCs/>
          <w:noProof/>
        </w:rPr>
        <w:t>) and Shamuyarira (</w:t>
      </w:r>
      <w:r w:rsidR="00620371" w:rsidRPr="002539EA">
        <w:rPr>
          <w:bCs/>
          <w:noProof/>
        </w:rPr>
        <w:t>2017)</w:t>
      </w:r>
      <w:r w:rsidRPr="002539EA">
        <w:rPr>
          <w:rStyle w:val="FootnoteReference"/>
          <w:vertAlign w:val="baseline"/>
        </w:rPr>
        <w:fldChar w:fldCharType="end"/>
      </w:r>
      <w:r w:rsidR="00912D3F" w:rsidRPr="002539EA">
        <w:t>.</w:t>
      </w:r>
    </w:p>
    <w:p w:rsidR="0072672B" w:rsidRPr="002539EA" w:rsidRDefault="0072672B" w:rsidP="008E129A">
      <w:pPr>
        <w:pStyle w:val="Heading4"/>
        <w:numPr>
          <w:ilvl w:val="3"/>
          <w:numId w:val="1"/>
        </w:numPr>
        <w:spacing w:before="120" w:after="120"/>
      </w:pPr>
      <w:r w:rsidRPr="002539EA">
        <w:t xml:space="preserve">Rainfall </w:t>
      </w:r>
      <w:r w:rsidR="00B45BC0" w:rsidRPr="002539EA">
        <w:t>Distribution</w:t>
      </w:r>
    </w:p>
    <w:p w:rsidR="003119E0" w:rsidRDefault="0072672B" w:rsidP="003A024A">
      <w:r w:rsidRPr="002539EA">
        <w:t xml:space="preserve">Rainfall is the </w:t>
      </w:r>
      <w:r w:rsidR="00C92B02" w:rsidRPr="002539EA">
        <w:t>an</w:t>
      </w:r>
      <w:r w:rsidRPr="002539EA">
        <w:t xml:space="preserve"> important factor</w:t>
      </w:r>
      <w:r w:rsidR="001730B1" w:rsidRPr="002539EA">
        <w:t xml:space="preserve"> for the formation of ground</w:t>
      </w:r>
      <w:r w:rsidRPr="002539EA">
        <w:t>water potential</w:t>
      </w:r>
      <w:r w:rsidR="009B0394" w:rsidRPr="002539EA">
        <w:t xml:space="preserve"> </w:t>
      </w:r>
      <w:r w:rsidR="009B0394" w:rsidRPr="002539EA">
        <w:fldChar w:fldCharType="begin" w:fldLock="1"/>
      </w:r>
      <w:r w:rsidR="00A309A8" w:rsidRPr="002539EA">
        <w:instrText>ADDIN CSL_CITATION {"citationItems":[{"id":"ITEM-1","itemData":{"author":[{"dropping-particle":"","family":"Kidanu","given":"Kindeya","non-dropping-particle":"","parse-names":false,"suffix":""}],"id":"ITEM-1","issued":{"date-parts":[["2018"]]},"publisher":"Addis Ababa University","title":"Identification of Groundwater potential zone mapping using Remote Sensing and GIS techniques, incase of Inderta district, Ethiopia","type":"thesis"},"uris":["http://www.mendeley.com/documents/?uuid=a3b470d3-baa9-419d-9bf7-4738ac8431da","http://www.mendeley.com/documents/?uuid=ef694525-eeef-49eb-b41e-c594d5d81815"]}],"mendeley":{"formattedCitation":"(Kidanu, 2018)","plainTextFormattedCitation":"(Kidanu, 2018)","previouslyFormattedCitation":"(Kidanu, 2018)"},"properties":{"noteIndex":0},"schema":"https://github.com/citation-style-language/schema/raw/master/csl-citation.json"}</w:instrText>
      </w:r>
      <w:r w:rsidR="009B0394" w:rsidRPr="002539EA">
        <w:fldChar w:fldCharType="separate"/>
      </w:r>
      <w:r w:rsidR="009B0394" w:rsidRPr="002539EA">
        <w:rPr>
          <w:noProof/>
        </w:rPr>
        <w:t>(Kidanu, 2018)</w:t>
      </w:r>
      <w:r w:rsidR="009B0394" w:rsidRPr="002539EA">
        <w:fldChar w:fldCharType="end"/>
      </w:r>
      <w:r w:rsidR="009B0394" w:rsidRPr="002539EA">
        <w:t xml:space="preserve">. </w:t>
      </w:r>
      <w:r w:rsidR="001730B1" w:rsidRPr="002539EA">
        <w:t xml:space="preserve">The spatial distribution of rainfall in Ethiopia is significantly influenced by the topographical variability of the country </w:t>
      </w:r>
      <w:r w:rsidR="001B6882" w:rsidRPr="002539EA">
        <w:fldChar w:fldCharType="begin" w:fldLock="1"/>
      </w:r>
      <w:r w:rsidR="00A309A8" w:rsidRPr="002539EA">
        <w:instrText>ADDIN CSL_CITATION {"citationItems":[{"id":"ITEM-1","itemData":{"author":[{"dropping-particle":"","family":"Camberlin","given":"Pierre","non-dropping-particle":"","parse-names":false,"suffix":""}],"container-title":"Journal of Climate","id":"ITEM-1","issued":{"date-parts":[["1996"]]},"page":"1380–1392","title":"Rainfall anomalies in the source region of the Nile and their connection with the Indian summer monsoon","type":"article-journal","volume":"10"},"uris":["http://www.mendeley.com/documents/?uuid=6b30f4b8-e350-4a15-94fc-fd87abd591c8","http://www.mendeley.com/documents/?uuid=3cef43a3-09b2-47ee-acfc-d8fc832044f2"]}],"mendeley":{"formattedCitation":"(Camberlin, 1996)","plainTextFormattedCitation":"(Camberlin, 1996)","previouslyFormattedCitation":"(Camberlin, 1996)"},"properties":{"noteIndex":0},"schema":"https://github.com/citation-style-language/schema/raw/master/csl-citation.json"}</w:instrText>
      </w:r>
      <w:r w:rsidR="001B6882" w:rsidRPr="002539EA">
        <w:fldChar w:fldCharType="separate"/>
      </w:r>
      <w:r w:rsidR="001E2B96" w:rsidRPr="002539EA">
        <w:rPr>
          <w:noProof/>
        </w:rPr>
        <w:t>(Camberlin, 1996)</w:t>
      </w:r>
      <w:r w:rsidR="001B6882" w:rsidRPr="002539EA">
        <w:fldChar w:fldCharType="end"/>
      </w:r>
      <w:r w:rsidR="001B6882" w:rsidRPr="002539EA">
        <w:t>.</w:t>
      </w:r>
      <w:r w:rsidRPr="002539EA">
        <w:t xml:space="preserve"> This makes the rainfall system of the country more complex</w:t>
      </w:r>
      <w:r w:rsidR="00902DA7" w:rsidRPr="002539EA">
        <w:t xml:space="preserve"> </w:t>
      </w:r>
      <w:r w:rsidR="00650A04" w:rsidRPr="002539EA">
        <w:rPr>
          <w:rStyle w:val="FootnoteReference"/>
        </w:rPr>
        <w:fldChar w:fldCharType="begin" w:fldLock="1"/>
      </w:r>
      <w:r w:rsidR="00A309A8" w:rsidRPr="002539EA">
        <w:instrText>ADDIN CSL_CITATION {"citationItems":[{"id":"ITEM-1","itemData":{"DOI":"10.1007/978-3-319-02720-3_6,","ISBN":"9783319027203","abstract":"The book provides a comprehensive overview of the hydrology of the Nile River, especially the ecohydrological degradation and challenges the basin is facing, the impact of climate change on water availability and the transboundary water management issues. The book includes analysis and approaches that will help provide different insights into the hydrology of this complex basin, which covers 11 countries and is home to over 300 million people. The need for water-sharing agreements that reflect the current situations of riparian countries and are based on equitable water- sharing principles is stressed in many chapters. This book explores water resource availability and quality and their trends in the basin, soil erosion and watershed degradation at different scales, water and health, land use and climate change impact, transboundary issues and water management, dams, reservoirs and lakes. The link between watershed and river water quantity and quality is discussed pointing out the importance of watershed protection for better water resource management, water accessibility, institutional set-up and policy, water demand and management. The book also presents the water sharing sticking points in relation to historical treaties and the emerging water demands of the upstream riparian countries. The need for collaboration and identification of common ground to resolve the transboundary water management issues and secure a win-win is also indicated.","author":[{"dropping-particle":"","family":"Berhanu","given":"Belete","non-dropping-particle":"","parse-names":false,"suffix":""},{"dropping-particle":"","family":"Seleshi","given":"Yilma","non-dropping-particle":"","parse-names":false,"suffix":""},{"dropping-particle":"","family":"Melesse","given":"Assefa M","non-dropping-particle":"","parse-names":false,"suffix":""}],"chapter-number":"6","id":"ITEM-1","issued":{"date-parts":[["2014"]]},"page":"97-117","publisher":"Springer international publishing","publisher-place":"Switzerland","title":"Surface water and Groundwater resources of Ethiopia: potentials and challenges of water resources development","type":"chapter"},"uris":["http://www.mendeley.com/documents/?uuid=6ff971e5-4bb9-41c6-b53b-6468c625e9e0","http://www.mendeley.com/documents/?uuid=5d3ddda0-bb7b-4851-be8b-76c2d54dfb16"]}],"mendeley":{"formattedCitation":"(B. Berhanu et al., 2014)","manualFormatting":"(Berhanu et al., 2014)","plainTextFormattedCitation":"(B. Berhanu et al., 2014)","previouslyFormattedCitation":"(B. Berhanu et al., 2014)"},"properties":{"noteIndex":0},"schema":"https://github.com/citation-style-language/schema/raw/master/csl-citation.json"}</w:instrText>
      </w:r>
      <w:r w:rsidR="00650A04" w:rsidRPr="002539EA">
        <w:rPr>
          <w:rStyle w:val="FootnoteReference"/>
        </w:rPr>
        <w:fldChar w:fldCharType="separate"/>
      </w:r>
      <w:r w:rsidR="00B54F65" w:rsidRPr="002539EA">
        <w:rPr>
          <w:noProof/>
        </w:rPr>
        <w:t>(</w:t>
      </w:r>
      <w:r w:rsidR="009370A3" w:rsidRPr="002539EA">
        <w:rPr>
          <w:noProof/>
        </w:rPr>
        <w:t>Berhanu et al., 2014)</w:t>
      </w:r>
      <w:r w:rsidR="00650A04" w:rsidRPr="002539EA">
        <w:rPr>
          <w:rStyle w:val="FootnoteReference"/>
        </w:rPr>
        <w:fldChar w:fldCharType="end"/>
      </w:r>
      <w:r w:rsidR="00C92B02" w:rsidRPr="002539EA">
        <w:t xml:space="preserve">. </w:t>
      </w:r>
      <w:r w:rsidRPr="002539EA">
        <w:t>Major natural recharge to the aquif</w:t>
      </w:r>
      <w:r w:rsidR="0099734F" w:rsidRPr="002539EA">
        <w:t xml:space="preserve">er system of </w:t>
      </w:r>
      <w:r w:rsidR="001730B1" w:rsidRPr="002539EA">
        <w:t xml:space="preserve">the </w:t>
      </w:r>
      <w:r w:rsidR="0099734F" w:rsidRPr="002539EA">
        <w:t xml:space="preserve">Genale-Dawa </w:t>
      </w:r>
      <w:r w:rsidR="00F627C7" w:rsidRPr="002539EA">
        <w:t>R</w:t>
      </w:r>
      <w:r w:rsidR="0099734F" w:rsidRPr="002539EA">
        <w:t>iver b</w:t>
      </w:r>
      <w:r w:rsidRPr="002539EA">
        <w:t>asin is believed to occur at elevated regions due to percolation from the major precipitation.</w:t>
      </w:r>
      <w:r w:rsidR="00D1035C" w:rsidRPr="002539EA">
        <w:t xml:space="preserve"> </w:t>
      </w:r>
    </w:p>
    <w:p w:rsidR="0072672B" w:rsidRPr="002539EA" w:rsidRDefault="00C3019F" w:rsidP="003A024A">
      <w:r w:rsidRPr="002539EA">
        <w:rPr>
          <w:rFonts w:eastAsia="Times New Roman"/>
        </w:rPr>
        <w:t xml:space="preserve">A research was conducted on the average rainfall estimation methods performance comparison in the Brazilian Semi-Arid area. </w:t>
      </w:r>
      <w:r w:rsidR="0016663A" w:rsidRPr="002539EA">
        <w:rPr>
          <w:rFonts w:eastAsia="Times New Roman"/>
        </w:rPr>
        <w:t>Study compares</w:t>
      </w:r>
      <w:r w:rsidRPr="002539EA">
        <w:rPr>
          <w:rFonts w:eastAsia="Times New Roman"/>
        </w:rPr>
        <w:t xml:space="preserve"> some methods indirectly by analyzing the data requiring each one to reach better results given in the best spatial data scenario. The results indicate that Thiessen polygon methods are to be applied with satisfaction to obtain the average rainfall value over an area </w:t>
      </w:r>
      <w:r w:rsidRPr="002539EA">
        <w:rPr>
          <w:rFonts w:eastAsia="Times New Roman"/>
        </w:rPr>
        <w:fldChar w:fldCharType="begin" w:fldLock="1"/>
      </w:r>
      <w:r w:rsidR="00A309A8" w:rsidRPr="002539EA">
        <w:rPr>
          <w:rFonts w:eastAsia="Times New Roman"/>
        </w:rPr>
        <w:instrText>ADDIN CSL_CITATION {"citationItems":[{"id":"ITEM-1","itemData":{"ISSN":"1945-3094","abstract":"Considering the rainfall’s importance in hydrological\\r\\nmodeling, the objective of this study was the performance comparison, in\\r\\nconvergence terms, of techniques often used to estimate the average rainfall\\r\\nover an area: Thiessen Polygon (TP) Method; Reciprocal Distance Squared (RDS)\\r\\nMethod; Kriging Method (KM) and Multiquadric Equations (ME) Method. The\\r\\ncomparison was done indirectly, using GORE and BALANCE index to assess the\\r\\nconvergence results from each method by increasing the rain gauges density in a\\r\\nregion, through six scenarios. The Coremas/Mae D’água Watershed\\r\\nemployed as study area, with an area of 8385 km2, is situated\\r\\non Brazilian semi-arid. The results showed the TP, as RDS and ME techniques to\\r\\nbe employed successfully to obtain the average rainfall over an area,\\r\\nhighlighting the MEM. On the other hand, KM, using two variograms models, had\\r\\nan unstable behavior, pointing the prior study of data and variogram’s choice\\r\\nas a need to practical applying.","author":[{"dropping-particle":"","family":"Barbalho","given":"Fernando D.","non-dropping-particle":"","parse-names":false,"suffix":""},{"dropping-particle":"","family":"DaSilva","given":"Gabriela F. N.","non-dropping-particle":"","parse-names":false,"suffix":""},{"dropping-particle":"","family":"Formiga","given":"Klebber T. M.","non-dropping-particle":"","parse-names":false,"suffix":""}],"container-title":"Journal of Water Resource and Protection","id":"ITEM-1","issue":"2","issued":{"date-parts":[["2014"]]},"page":"97-103","title":"Average rainfall estimation: Methods performance comparison in the Brazilian Semi-Arid","type":"article-journal","volume":"6"},"uris":["http://www.mendeley.com/documents/?uuid=acd6f5ce-82eb-42a0-b592-8b1ec26aecdf","http://www.mendeley.com/documents/?uuid=fcdf275b-3c8c-4fbc-be1d-a01eb3f6248d"]}],"mendeley":{"formattedCitation":"(Barbalho et al., 2014)","plainTextFormattedCitation":"(Barbalho et al., 2014)","previouslyFormattedCitation":"(Barbalho et al., 2014)"},"properties":{"noteIndex":0},"schema":"https://github.com/citation-style-language/schema/raw/master/csl-citation.json"}</w:instrText>
      </w:r>
      <w:r w:rsidRPr="002539EA">
        <w:rPr>
          <w:rFonts w:eastAsia="Times New Roman"/>
        </w:rPr>
        <w:fldChar w:fldCharType="separate"/>
      </w:r>
      <w:r w:rsidRPr="002539EA">
        <w:rPr>
          <w:rFonts w:eastAsia="Times New Roman"/>
          <w:bCs/>
          <w:noProof/>
        </w:rPr>
        <w:t>(Barbalho et al., 2014)</w:t>
      </w:r>
      <w:r w:rsidRPr="002539EA">
        <w:rPr>
          <w:rFonts w:eastAsia="Times New Roman"/>
        </w:rPr>
        <w:fldChar w:fldCharType="end"/>
      </w:r>
      <w:r w:rsidR="00141531" w:rsidRPr="002539EA">
        <w:rPr>
          <w:rFonts w:eastAsia="Times New Roman"/>
        </w:rPr>
        <w:t xml:space="preserve">. </w:t>
      </w:r>
      <w:r w:rsidR="0072672B" w:rsidRPr="002539EA">
        <w:t xml:space="preserve">Even though the weight assigned for each </w:t>
      </w:r>
      <w:r w:rsidR="006F340F" w:rsidRPr="002539EA">
        <w:t>factor</w:t>
      </w:r>
      <w:r w:rsidR="0072672B" w:rsidRPr="002539EA">
        <w:t xml:space="preserve"> var</w:t>
      </w:r>
      <w:r w:rsidR="001730B1" w:rsidRPr="002539EA">
        <w:t>ies</w:t>
      </w:r>
      <w:r w:rsidR="0072672B" w:rsidRPr="002539EA">
        <w:t xml:space="preserve"> depending on the respective study areas, various study </w:t>
      </w:r>
      <w:r w:rsidR="006F340F" w:rsidRPr="002539EA">
        <w:t>gives</w:t>
      </w:r>
      <w:r w:rsidR="0072672B" w:rsidRPr="002539EA">
        <w:t xml:space="preserve"> the maximum weight for rainfall. </w:t>
      </w:r>
      <w:r w:rsidR="00714F2E" w:rsidRPr="002539EA">
        <w:t xml:space="preserve">Zeinolabedini </w:t>
      </w:r>
      <w:r w:rsidR="00F63890" w:rsidRPr="002539EA">
        <w:t>and</w:t>
      </w:r>
      <w:r w:rsidR="00714F2E" w:rsidRPr="002539EA">
        <w:t xml:space="preserve"> Esmaeily (2015) </w:t>
      </w:r>
      <w:r w:rsidR="0072672B" w:rsidRPr="002539EA">
        <w:t>assign 38%, whil</w:t>
      </w:r>
      <w:r w:rsidR="00F40DB4" w:rsidRPr="002539EA">
        <w:t xml:space="preserve">e </w:t>
      </w:r>
      <w:r w:rsidR="00F40DB4" w:rsidRPr="002539EA">
        <w:rPr>
          <w:noProof/>
        </w:rPr>
        <w:t>Banti</w:t>
      </w:r>
      <w:r w:rsidR="00F40DB4" w:rsidRPr="002539EA">
        <w:t xml:space="preserve"> </w:t>
      </w:r>
      <w:r w:rsidR="0072672B" w:rsidRPr="002539EA">
        <w:t xml:space="preserve">(2017) and </w:t>
      </w:r>
      <w:r w:rsidR="006A18D7" w:rsidRPr="002539EA">
        <w:t>Tadesse (</w:t>
      </w:r>
      <w:r w:rsidR="0072672B" w:rsidRPr="002539EA">
        <w:t xml:space="preserve">2019) give </w:t>
      </w:r>
      <w:r w:rsidR="001730B1" w:rsidRPr="002539EA">
        <w:t xml:space="preserve">the </w:t>
      </w:r>
      <w:r w:rsidR="0072672B" w:rsidRPr="002539EA">
        <w:t xml:space="preserve">maximum weight of 32 % for rainfall distribution. </w:t>
      </w:r>
    </w:p>
    <w:p w:rsidR="00C231C5" w:rsidRPr="002539EA" w:rsidRDefault="00C231C5" w:rsidP="003A024A">
      <w:pPr>
        <w:pStyle w:val="Heading4"/>
        <w:numPr>
          <w:ilvl w:val="3"/>
          <w:numId w:val="1"/>
        </w:numPr>
        <w:spacing w:before="120" w:after="120"/>
      </w:pPr>
      <w:r w:rsidRPr="002539EA">
        <w:t xml:space="preserve">Drainage </w:t>
      </w:r>
      <w:r w:rsidR="00B45BC0" w:rsidRPr="002539EA">
        <w:t>Density</w:t>
      </w:r>
    </w:p>
    <w:p w:rsidR="007639F7" w:rsidRPr="002539EA" w:rsidRDefault="00C231C5" w:rsidP="003A024A">
      <w:r w:rsidRPr="002539EA">
        <w:t xml:space="preserve">The analysis of drainage characteristics of </w:t>
      </w:r>
      <w:r w:rsidR="00682034" w:rsidRPr="002539EA">
        <w:t xml:space="preserve">the </w:t>
      </w:r>
      <w:r w:rsidRPr="002539EA">
        <w:t xml:space="preserve">basin is important in any hydrological investigation </w:t>
      </w:r>
      <w:r w:rsidRPr="002539EA">
        <w:rPr>
          <w:rStyle w:val="FootnoteReference"/>
        </w:rPr>
        <w:fldChar w:fldCharType="begin" w:fldLock="1"/>
      </w:r>
      <w:r w:rsidR="00A309A8" w:rsidRPr="002539EA">
        <w:instrText>ADDIN CSL_CITATION {"citationItems":[{"id":"ITEM-1","itemData":{"author":[{"dropping-particle":"","family":"Gaikwad","given":"RD.","non-dropping-particle":"","parse-names":false,"suffix":""},{"dropping-particle":"","family":"Bhagat","given":"VS.","non-dropping-particle":"","parse-names":false,"suffix":""}],"container-title":"Hydrosp Anal","id":"ITEM-1","issue":"1","issued":{"date-parts":[["2017"]]},"page":"41-61","title":"Multi-criteria watershed prioritization of Kas Basin in Maharashtra (India): AHP and influence approaches","type":"article-journal","volume":"1"},"uris":["http://www.mendeley.com/documents/?uuid=940e25c0-4859-46be-84c2-22536a4eef5d","http://www.mendeley.com/documents/?uuid=4169888e-7f20-42ed-a48a-7a74e6b4175d"]}],"mendeley":{"formattedCitation":"(Gaikwad &amp; Bhagat, 2017)","manualFormatting":"(Gaikwad and Bhagat, 2017)","plainTextFormattedCitation":"(Gaikwad &amp; Bhagat, 2017)","previouslyFormattedCitation":"(Gaikwad &amp; Bhagat, 2017)"},"properties":{"noteIndex":0},"schema":"https://github.com/citation-style-language/schema/raw/master/csl-citation.json"}</w:instrText>
      </w:r>
      <w:r w:rsidRPr="002539EA">
        <w:rPr>
          <w:rStyle w:val="FootnoteReference"/>
        </w:rPr>
        <w:fldChar w:fldCharType="separate"/>
      </w:r>
      <w:r w:rsidR="00E230CE" w:rsidRPr="002539EA">
        <w:rPr>
          <w:bCs/>
          <w:noProof/>
        </w:rPr>
        <w:t>(Gaikwad and</w:t>
      </w:r>
      <w:r w:rsidR="00A108C4" w:rsidRPr="002539EA">
        <w:rPr>
          <w:bCs/>
          <w:noProof/>
        </w:rPr>
        <w:t xml:space="preserve"> Bhagat, 2017)</w:t>
      </w:r>
      <w:r w:rsidRPr="002539EA">
        <w:rPr>
          <w:rStyle w:val="FootnoteReference"/>
        </w:rPr>
        <w:fldChar w:fldCharType="end"/>
      </w:r>
      <w:r w:rsidRPr="002539EA">
        <w:t>. Drainage in an area depends on the topography, slope and sub</w:t>
      </w:r>
      <w:r w:rsidR="00E60EB5" w:rsidRPr="002539EA">
        <w:t>-</w:t>
      </w:r>
      <w:r w:rsidRPr="002539EA">
        <w:t xml:space="preserve">surface characteristics </w:t>
      </w:r>
      <w:r w:rsidRPr="002539EA">
        <w:rPr>
          <w:rStyle w:val="FootnoteReference"/>
        </w:rPr>
        <w:fldChar w:fldCharType="begin" w:fldLock="1"/>
      </w:r>
      <w:r w:rsidR="00A309A8" w:rsidRPr="002539EA">
        <w:instrText>ADDIN CSL_CITATION {"citationItems":[{"id":"ITEM-1","itemData":{"DOI":"10.1007/s13201-015-0327-6","ISSN":"2190-5495","author":[{"dropping-particle":"","family":"Elango","given":"S P Rajaveni K Brindha L","non-dropping-particle":"","parse-names":false,"suffix":""}],"container-title":"Applied Water Science","id":"ITEM-1","issue":"3","issued":{"date-parts":[["2017"]]},"page":"1377-1389","publisher":"Springer Berlin Heidelberg","title":"Geological and geomorphological controls on groundwater occurrence in a hard rock region","type":"article-journal","volume":"7"},"uris":["http://www.mendeley.com/documents/?uuid=02a5c78d-d739-405a-af0c-0ab25b532736"]}],"mendeley":{"formattedCitation":"(Elango, 2017)","plainTextFormattedCitation":"(Elango, 2017)","previouslyFormattedCitation":"(Elango, 2017)"},"properties":{"noteIndex":0},"schema":"https://github.com/citation-style-language/schema/raw/master/csl-citation.json"}</w:instrText>
      </w:r>
      <w:r w:rsidRPr="002539EA">
        <w:rPr>
          <w:rStyle w:val="FootnoteReference"/>
        </w:rPr>
        <w:fldChar w:fldCharType="separate"/>
      </w:r>
      <w:r w:rsidR="00A309A8" w:rsidRPr="002539EA">
        <w:rPr>
          <w:bCs/>
          <w:noProof/>
        </w:rPr>
        <w:t>(Elango, 2017)</w:t>
      </w:r>
      <w:r w:rsidRPr="002539EA">
        <w:rPr>
          <w:rStyle w:val="FootnoteReference"/>
        </w:rPr>
        <w:fldChar w:fldCharType="end"/>
      </w:r>
      <w:r w:rsidRPr="002539EA">
        <w:t xml:space="preserve">. Drainage characteristics of a basin provided an indirect clue to the hydrogeological characteristics of the area and are useful for groundwater resources assessment </w:t>
      </w:r>
      <w:r w:rsidRPr="002539EA">
        <w:rPr>
          <w:rStyle w:val="FootnoteReference"/>
        </w:rPr>
        <w:fldChar w:fldCharType="begin" w:fldLock="1"/>
      </w:r>
      <w:r w:rsidR="00A309A8" w:rsidRPr="002539EA">
        <w:instrText>ADDIN CSL_CITATION {"citationItems":[{"id":"ITEM-1","itemData":{"DOI":"10.1007/978-90-481-8799-7_14","abstract":"Singhal, B. B. S., &amp; Gupta, R. P. (2010). Applied hydrogeology of fractured rocks: Second edition. Applied Hydrogeology of Fractured Rocks: Second Edition (pp. 1–408). Springer Netherlands. https://doi.org/10.1007/978-90-481-8799-7","author":[{"dropping-particle":"","family":"Singhal","given":"B.B.S.","non-dropping-particle":"","parse-names":false,"suffix":""},{"dropping-particle":"","family":"Gupta","given":"R.P.","non-dropping-particle":"","parse-names":false,"suffix":""}],"edition":"second edi","id":"ITEM-1","issued":{"date-parts":[["1999"]]},"publisher":"Springer Science+Business B.V. Media 2010","publisher-place":"London New York","title":"Applied hydrogeology of fractured rocks","type":"book"},"uris":["http://www.mendeley.com/documents/?uuid=fa7f3ae9-c39d-4e63-8dcc-5e44eaff87c6","http://www.mendeley.com/documents/?uuid=6b03571a-e4d4-48c3-9144-31a0fe7366c5"]}],"mendeley":{"formattedCitation":"(Singhal &amp; Gupta, 1999)","manualFormatting":"(Singhal and Gupta, 1999)","plainTextFormattedCitation":"(Singhal &amp; Gupta, 1999)","previouslyFormattedCitation":"(Singhal &amp; Gupta, 1999)"},"properties":{"noteIndex":0},"schema":"https://github.com/citation-style-language/schema/raw/master/csl-citation.json"}</w:instrText>
      </w:r>
      <w:r w:rsidRPr="002539EA">
        <w:rPr>
          <w:rStyle w:val="FootnoteReference"/>
        </w:rPr>
        <w:fldChar w:fldCharType="separate"/>
      </w:r>
      <w:r w:rsidR="00E230CE" w:rsidRPr="002539EA">
        <w:rPr>
          <w:noProof/>
        </w:rPr>
        <w:t>(Singhal and</w:t>
      </w:r>
      <w:r w:rsidR="00A108C4" w:rsidRPr="002539EA">
        <w:rPr>
          <w:noProof/>
        </w:rPr>
        <w:t xml:space="preserve"> Gupta, 1999)</w:t>
      </w:r>
      <w:r w:rsidRPr="002539EA">
        <w:rPr>
          <w:rStyle w:val="FootnoteReference"/>
        </w:rPr>
        <w:fldChar w:fldCharType="end"/>
      </w:r>
      <w:r w:rsidRPr="002539EA">
        <w:t xml:space="preserve">. The main drainage characteristics are drainage patterns and drainage density. </w:t>
      </w:r>
      <w:r w:rsidR="00275094" w:rsidRPr="002539EA">
        <w:t>The d</w:t>
      </w:r>
      <w:r w:rsidRPr="002539EA">
        <w:t xml:space="preserve">rainage pattern is the design formed by the aggregate of drainage ways in an area regardless of whether they are occupied by permanent streams </w:t>
      </w:r>
      <w:r w:rsidRPr="002539EA">
        <w:fldChar w:fldCharType="begin" w:fldLock="1"/>
      </w:r>
      <w:r w:rsidR="00A309A8" w:rsidRPr="002539EA">
        <w:instrText>ADDIN CSL_CITATION {"citationItems":[{"id":"ITEM-1","itemData":{"abstract":"… vulnerability assessment using the delineated vulnerable zones for contaminations for … thematically focusing on groundwater vulnerability, the requirements of groundwater … and water quality, downstream and hydrology; accordingly groundwater table has risen due to …","author":[{"dropping-particle":"","family":"Nuru","given":"Adem Berihun","non-dropping-particle":"","parse-names":false,"suffix":""}],"id":"ITEM-1","issued":{"date-parts":[["2018"]]},"publisher":"Addis Ababa University","title":"Assessment of potential groundwater zone using integrated GIS and remote sensing techniques in Sekota Wereda, Northern Ethiopia.","type":"thesis"},"uris":["http://www.mendeley.com/documents/?uuid=063088eb-4196-4c5a-a41b-436d4a9ae6e5","http://www.mendeley.com/documents/?uuid=7f9999ea-be6a-4ff4-824a-9f0c28e1d981"]}],"mendeley":{"formattedCitation":"(Nuru, 2018)","plainTextFormattedCitation":"(Nuru, 2018)","previouslyFormattedCitation":"(Nuru, 2018)"},"properties":{"noteIndex":0},"schema":"https://github.com/citation-style-language/schema/raw/master/csl-citation.json"}</w:instrText>
      </w:r>
      <w:r w:rsidRPr="002539EA">
        <w:fldChar w:fldCharType="separate"/>
      </w:r>
      <w:r w:rsidRPr="002539EA">
        <w:rPr>
          <w:noProof/>
        </w:rPr>
        <w:t>(Nuru, 2018)</w:t>
      </w:r>
      <w:r w:rsidRPr="002539EA">
        <w:fldChar w:fldCharType="end"/>
      </w:r>
      <w:r w:rsidRPr="002539EA">
        <w:t xml:space="preserve">. </w:t>
      </w:r>
      <w:r w:rsidR="008F7490" w:rsidRPr="002539EA">
        <w:t>Drainage density is the total length of streams of all orders per drainage area.</w:t>
      </w:r>
    </w:p>
    <w:p w:rsidR="00C231C5" w:rsidRPr="002539EA" w:rsidRDefault="00C231C5" w:rsidP="003A024A">
      <w:r w:rsidRPr="002539EA">
        <w:lastRenderedPageBreak/>
        <w:t>Almo</w:t>
      </w:r>
      <w:r w:rsidR="00F627C7" w:rsidRPr="002539EA">
        <w:t>st all stream</w:t>
      </w:r>
      <w:r w:rsidR="00D01CDC" w:rsidRPr="002539EA">
        <w:t>s</w:t>
      </w:r>
      <w:r w:rsidR="00F627C7" w:rsidRPr="002539EA">
        <w:t xml:space="preserve"> in the Weyib R</w:t>
      </w:r>
      <w:r w:rsidRPr="002539EA">
        <w:t xml:space="preserve">iver basin and its tributaries follows dendritic stream patterns </w:t>
      </w:r>
      <w:r w:rsidRPr="002539EA">
        <w:rPr>
          <w:rStyle w:val="FootnoteReference"/>
        </w:rPr>
        <w:fldChar w:fldCharType="begin" w:fldLock="1"/>
      </w:r>
      <w:r w:rsidR="00A309A8" w:rsidRPr="002539EA">
        <w:instrText>ADDIN CSL_CITATION {"citationItems":[{"id":"ITEM-1","itemData":{"abstract":"Hydrogeological mapping of Ginner map sheet is carried out on the upper Wabi Shebele and some part of upper Genale Dawa river shades which is situated about 530 km east of Addis Ababa at the eastern part of Ethiopia. Considerable elevation difference (500-2685 m.a.s.l) and physiographic diversities such as highlands, lowlands and rugged areas, river valleys, deep gorges and plateaus characterize the area. Though the duration, amount and spatial distribution of the rain fall varies in the plateaus and low lands, bi- modal type of rain fall regime is generally observed. The annual mean rainfall in the low lands and high lands vary between 300 – 1200 mm and Potential evapotranspiration (PET) is estimated empirically 3.9 mm/day for the area. Rock units of the area are Tertiary and Quaternary Volcanics such as; Ginner Basalt, Arsi-Bale basalts and lower flood basalt and Mesozoic sedimentary formations such as: Amba Aradam, Korahe, Gabredare, Urandab and Hamanle formations successively under lain from young to old. In addition, superficial deposits and weathering remnants such as alluvium and elluvium cover the area. Nearly NE–SW and NW– SE trending faults and lineaments affect the area. The aquifer systems are defined based on hydrogeological characteristics /aquifer productivity and permeability/ of the lithological units. Seven hydrogeological units /aquifers systems/ are identified in the map sheet and then hydrogeological map at a scale 1:250,000 is produced. The chemical analysis result of water samples in the study area shows that bicarbonate and transitional and basic water type is predominant. The general trend of EC and TDS increases from relatively highland plateau to lowland where rain fall is low and evapotranspiration is high. Groundwater of the study area is generally suitable for Drinking water supply and irrigation. Generally, the area has ground water resources thus intensive sustainable water resources development is recommended by drilling deeper wells more than 150m depth on the lowlands and Springs development on the high land plateaus. Productive wells can also be drilled at the high land plateaus along faults and lineaments. In addition to water supply, large scale irrigation can be possible at the plateaus by using ground water resource.","author":[{"dropping-particle":"","family":"Mulugeta","given":"Yonas","non-dropping-particle":"","parse-names":false,"suffix":""},{"dropping-particle":"","family":"Tafa","given":"Yosef","non-dropping-particle":"","parse-names":false,"suffix":""}],"id":"ITEM-1","issued":{"date-parts":[["2010"]]},"number-of-pages":"1-84","publisher-place":"Addis Abeba, Ethiopia","title":"Integrated hydrogeological mapping of Ginnir map sheet (NB-37-4) South Eastern low land and adjacent high land of Ethiopia","type":"report"},"uris":["http://www.mendeley.com/documents/?uuid=e9c5b3e5-3d16-4cb5-a46e-712fee7da124","http://www.mendeley.com/documents/?uuid=1b87b89f-6151-4701-b983-9da2e8363ad4"]}],"mendeley":{"formattedCitation":"(Mulugeta &amp; Tafa, 2010)","manualFormatting":"(Mulugeta and Tafa, 2010)","plainTextFormattedCitation":"(Mulugeta &amp; Tafa, 2010)","previouslyFormattedCitation":"(Mulugeta &amp; Tafa, 2010)"},"properties":{"noteIndex":0},"schema":"https://github.com/citation-style-language/schema/raw/master/csl-citation.json"}</w:instrText>
      </w:r>
      <w:r w:rsidRPr="002539EA">
        <w:rPr>
          <w:rStyle w:val="FootnoteReference"/>
        </w:rPr>
        <w:fldChar w:fldCharType="separate"/>
      </w:r>
      <w:r w:rsidR="00E230CE" w:rsidRPr="002539EA">
        <w:rPr>
          <w:noProof/>
        </w:rPr>
        <w:t>(Mulugeta and</w:t>
      </w:r>
      <w:r w:rsidR="00A108C4" w:rsidRPr="002539EA">
        <w:rPr>
          <w:noProof/>
        </w:rPr>
        <w:t xml:space="preserve"> Tafa, 2010)</w:t>
      </w:r>
      <w:r w:rsidRPr="002539EA">
        <w:rPr>
          <w:rStyle w:val="FootnoteReference"/>
        </w:rPr>
        <w:fldChar w:fldCharType="end"/>
      </w:r>
      <w:r w:rsidRPr="002539EA">
        <w:t>. Dendritic stream pattern resembles spreading branc</w:t>
      </w:r>
      <w:r w:rsidR="007639F7" w:rsidRPr="002539EA">
        <w:t>hes of</w:t>
      </w:r>
      <w:r w:rsidR="005B042D" w:rsidRPr="002539EA">
        <w:t xml:space="preserve"> a tree (Howard 1967). </w:t>
      </w:r>
      <w:r w:rsidRPr="002539EA">
        <w:t>Irregular branching in all direction</w:t>
      </w:r>
      <w:r w:rsidR="00275094" w:rsidRPr="002539EA">
        <w:t>s with tributaries joining main</w:t>
      </w:r>
      <w:r w:rsidRPr="002539EA">
        <w:t xml:space="preserve">stream at all angles (Zernitz 1932). This arrangement indicates the homogeneity of the lithology of the area which is dominated </w:t>
      </w:r>
      <w:r w:rsidR="00275094" w:rsidRPr="002539EA">
        <w:t>by</w:t>
      </w:r>
      <w:r w:rsidRPr="002539EA">
        <w:t xml:space="preserve"> a variety of basalt formations </w:t>
      </w:r>
      <w:r w:rsidRPr="002539EA">
        <w:rPr>
          <w:rStyle w:val="FootnoteReference"/>
        </w:rPr>
        <w:fldChar w:fldCharType="begin" w:fldLock="1"/>
      </w:r>
      <w:r w:rsidR="00A309A8" w:rsidRPr="002539EA">
        <w:instrText>ADDIN CSL_CITATION {"citationItems":[{"id":"ITEM-1","itemData":{"author":[{"dropping-particle":"","family":"Gebru","given":"Hindeya","non-dropping-particle":"","parse-names":false,"suffix":""},{"dropping-particle":"","family":"Gebreyohannes","given":"Tesfamichael","non-dropping-particle":"","parse-names":false,"suffix":""},{"dropping-particle":"","family":"Hagos","given":"Ermias","non-dropping-particle":"","parse-names":false,"suffix":""}],"container-title":"International journal of advanced Remote Sensing and GIS","id":"ITEM-1","issue":"1","issued":{"date-parts":[["2020"]]},"page":"3289-3311","title":"Identification of groundwater potential zones using Analytical Hierarchy Process (AHP) and GIS-Remote Sensing integration, the case of Golina River Basin, Northern Ethiopia","type":"article-journal","volume":"9"},"uris":["http://www.mendeley.com/documents/?uuid=3e225bc8-36b1-425b-83b4-94cfacfd37f8","http://www.mendeley.com/documents/?uuid=63c7fd8b-fe9b-4d39-8769-bb3519cffdbe"]}],"mendeley":{"formattedCitation":"(Gebru et al., 2020)","plainTextFormattedCitation":"(Gebru et al., 2020)","previouslyFormattedCitation":"(Gebru et al., 2020)"},"properties":{"noteIndex":0},"schema":"https://github.com/citation-style-language/schema/raw/master/csl-citation.json"}</w:instrText>
      </w:r>
      <w:r w:rsidRPr="002539EA">
        <w:rPr>
          <w:rStyle w:val="FootnoteReference"/>
        </w:rPr>
        <w:fldChar w:fldCharType="separate"/>
      </w:r>
      <w:r w:rsidR="00A108C4" w:rsidRPr="002539EA">
        <w:rPr>
          <w:noProof/>
        </w:rPr>
        <w:t>(Gebru et al., 2020)</w:t>
      </w:r>
      <w:r w:rsidRPr="002539EA">
        <w:rPr>
          <w:rStyle w:val="FootnoteReference"/>
        </w:rPr>
        <w:fldChar w:fldCharType="end"/>
      </w:r>
      <w:r w:rsidRPr="002539EA">
        <w:t>. For large-scale catchment evaluation</w:t>
      </w:r>
      <w:r w:rsidR="00275094" w:rsidRPr="002539EA">
        <w:t>,</w:t>
      </w:r>
      <w:r w:rsidRPr="002539EA">
        <w:t xml:space="preserve"> the use of GIS, spatial information and DEM affords h</w:t>
      </w:r>
      <w:r w:rsidR="00275094" w:rsidRPr="002539EA">
        <w:t>igher outcomes. A powerful tool</w:t>
      </w:r>
      <w:r w:rsidRPr="002539EA">
        <w:t xml:space="preserve"> used expertise for understanding the status of landform, drainage management for the develop</w:t>
      </w:r>
      <w:r w:rsidR="007639F7" w:rsidRPr="002539EA">
        <w:t xml:space="preserve">ment of groundwater capability </w:t>
      </w:r>
      <w:r w:rsidRPr="002539EA">
        <w:t xml:space="preserve">and water resource planning and management </w:t>
      </w:r>
      <w:r w:rsidRPr="002539EA">
        <w:rPr>
          <w:rStyle w:val="FootnoteReference"/>
        </w:rPr>
        <w:fldChar w:fldCharType="begin" w:fldLock="1"/>
      </w:r>
      <w:r w:rsidR="00A309A8" w:rsidRPr="002539EA">
        <w:instrText>ADDIN CSL_CITATION {"citationItems":[{"id":"ITEM-1","itemData":{"ISBN":"0123456789","ISSN":"23636211","abstract":"The stages of landscape brought by Wainganga river cycle of erosion are precisely characterized and determined by progressive returns of maximum relief ratio (above 70%), maximum amount of slope (40–100%), high dissection index (above 30%) high hypsometric integral (above 60%), high percentage of unconsumed upland (above 30%), and low circularity index. A total number of streams are 9472 in which 6502 are first-order, 2190 are second-order, 605 are third-order, 153 are fourth-order, 17 are fifth-order, and 4 are sixth-order streams. Bifurcation values range from 2.97 to 9.00 and the average bifurcation value is 3.97. The elongation ratios are 0.12. The values reveal that the basin is strongly elongated and it is composed of highly permeable homogenous geologic materials. The drainage density of the river basin is 0.66. With the advancement of the cyclic landscape, the trend of hypsometric integrals, relief ratio, amount of slope, dissection index, and percentage of unconsumed upland trends to decrease to a minimum, while circularity index increases. The penultimate stage of the landscape finally achieves maximum circularity with minimum returns of other variables progressively. The study recommends that the river basin needs a hydrogeological and geophysical study in the future for proper water management and choice of artificial recharge structures for recharge of groundwater in the area under consideration.","author":[{"dropping-particle":"","family":"Kudnar","given":"Nanabhau S.","non-dropping-particle":"","parse-names":false,"suffix":""},{"dropping-particle":"","family":"Rajasekhar","given":"M.","non-dropping-particle":"","parse-names":false,"suffix":""}],"container-title":"Modeling Earth Systems and Environment","id":"ITEM-1","issue":"1","issued":{"date-parts":[["2019"]]},"page":"311-327","publisher":"Springer International Publishing","title":"A study of the morphometric analysis and cycle of erosion in Waingangā Basin, India","type":"article-journal","volume":"6"},"uris":["http://www.mendeley.com/documents/?uuid=482d2a31-7dcd-4d24-9fd7-7008db006b79","http://www.mendeley.com/documents/?uuid=f6c1079f-a4af-40cd-a063-3e77fc7be461"]}],"mendeley":{"formattedCitation":"(Kudnar &amp; Rajasekhar, 2019)","manualFormatting":"(Kudnar and Rajasekhar, 2019)","plainTextFormattedCitation":"(Kudnar &amp; Rajasekhar, 2019)","previouslyFormattedCitation":"(Kudnar &amp; Rajasekhar, 2019)"},"properties":{"noteIndex":0},"schema":"https://github.com/citation-style-language/schema/raw/master/csl-citation.json"}</w:instrText>
      </w:r>
      <w:r w:rsidRPr="002539EA">
        <w:rPr>
          <w:rStyle w:val="FootnoteReference"/>
        </w:rPr>
        <w:fldChar w:fldCharType="separate"/>
      </w:r>
      <w:r w:rsidR="00F63890" w:rsidRPr="002539EA">
        <w:rPr>
          <w:noProof/>
        </w:rPr>
        <w:t>(Kudnar and</w:t>
      </w:r>
      <w:r w:rsidR="00A108C4" w:rsidRPr="002539EA">
        <w:rPr>
          <w:noProof/>
        </w:rPr>
        <w:t xml:space="preserve"> Rajasekhar, 2019)</w:t>
      </w:r>
      <w:r w:rsidRPr="002539EA">
        <w:rPr>
          <w:rStyle w:val="FootnoteReference"/>
        </w:rPr>
        <w:fldChar w:fldCharType="end"/>
      </w:r>
      <w:r w:rsidRPr="002539EA">
        <w:t>.</w:t>
      </w:r>
    </w:p>
    <w:p w:rsidR="00C231C5" w:rsidRPr="002539EA" w:rsidRDefault="00C231C5" w:rsidP="003A024A">
      <w:pPr>
        <w:pStyle w:val="Heading4"/>
        <w:numPr>
          <w:ilvl w:val="3"/>
          <w:numId w:val="1"/>
        </w:numPr>
        <w:spacing w:before="120" w:after="120"/>
      </w:pPr>
      <w:r w:rsidRPr="002539EA">
        <w:t>Slope</w:t>
      </w:r>
    </w:p>
    <w:p w:rsidR="006072E6" w:rsidRPr="002539EA" w:rsidRDefault="00C231C5" w:rsidP="003A024A">
      <w:r w:rsidRPr="002539EA">
        <w:t xml:space="preserve">The slope gradient directly influences the infiltration of surface water </w:t>
      </w:r>
      <w:r w:rsidRPr="002539EA">
        <w:rPr>
          <w:rStyle w:val="FootnoteReference"/>
        </w:rPr>
        <w:fldChar w:fldCharType="begin" w:fldLock="1"/>
      </w:r>
      <w:r w:rsidR="00A309A8" w:rsidRPr="002539EA">
        <w:instrText>ADDIN CSL_CITATION {"citationItems":[{"id":"ITEM-1","itemData":{"DOI":"10.1016/j.gsf.2015.03.002","ISSN":"1674-9871","author":[{"dropping-particle":"","family":"Senanayake","given":"I P","non-dropping-particle":"","parse-names":false,"suffix":""},{"dropping-particle":"","family":"Dissanayake","given":"D M D O K","non-dropping-particle":"","parse-names":false,"suffix":""},{"dropping-particle":"","family":"Mayadunna","given":"B B","non-dropping-particle":"","parse-names":false,"suffix":""},{"dropping-particle":"","family":"Weerasekera","given":"W L","non-dropping-particle":"","parse-names":false,"suffix":""}],"container-title":"Geoscience Frontiers","id":"ITEM-1","issue":"1","issued":{"date-parts":[["2016"]]},"page":"115-124","publisher":"Elsevier Ltd","title":"Geoscience Frontiers An approach to delineate groundwater recharge potential sites in Ambalantota , Sri Lanka using GIS techniques","type":"article-journal","volume":"7"},"uris":["http://www.mendeley.com/documents/?uuid=8fadf6ae-2912-44c4-8d2e-198c890b205a"]}],"mendeley":{"formattedCitation":"(Senanayake et al., 2016)","plainTextFormattedCitation":"(Senanayake et al., 2016)","previouslyFormattedCitation":"(Senanayake et al., 2016)"},"properties":{"noteIndex":0},"schema":"https://github.com/citation-style-language/schema/raw/master/csl-citation.json"}</w:instrText>
      </w:r>
      <w:r w:rsidRPr="002539EA">
        <w:rPr>
          <w:rStyle w:val="FootnoteReference"/>
        </w:rPr>
        <w:fldChar w:fldCharType="separate"/>
      </w:r>
      <w:r w:rsidR="001626FB" w:rsidRPr="002539EA">
        <w:rPr>
          <w:bCs/>
          <w:noProof/>
        </w:rPr>
        <w:t>(Senanayake et al., 2016)</w:t>
      </w:r>
      <w:r w:rsidRPr="002539EA">
        <w:rPr>
          <w:rStyle w:val="FootnoteReference"/>
        </w:rPr>
        <w:fldChar w:fldCharType="end"/>
      </w:r>
      <w:r w:rsidRPr="002539EA">
        <w:t xml:space="preserve">. Low levels of recharging can be observed on steep slopes as water flows rapidly downwards providing insufficient time to infiltrate. Thus, the presence of </w:t>
      </w:r>
      <w:r w:rsidR="00EA304F" w:rsidRPr="002539EA">
        <w:t xml:space="preserve">a </w:t>
      </w:r>
      <w:r w:rsidRPr="002539EA">
        <w:t xml:space="preserve">steep slope indicates low groundwater potential </w:t>
      </w:r>
      <w:r w:rsidRPr="002539EA">
        <w:fldChar w:fldCharType="begin" w:fldLock="1"/>
      </w:r>
      <w:r w:rsidR="00A309A8" w:rsidRPr="002539EA">
        <w:instrText>ADDIN CSL_CITATION {"citationItems":[{"id":"ITEM-1","itemData":{"author":[{"dropping-particle":"","family":"Fashae","given":"O.A.","non-dropping-particle":"","parse-names":false,"suffix":""},{"dropping-particle":"","family":"Tijani","given":"M.N.","non-dropping-particle":"","parse-names":false,"suffix":""},{"dropping-particle":"","family":"Talabi","given":"A.O.","non-dropping-particle":"","parse-names":false,"suffix":""},{"dropping-particle":"","family":"Adedeji","given":"O.I.","non-dropping-particle":"","parse-names":false,"suffix":""}],"container-title":"Applied Water Science","id":"ITEM-1","issue":"1","issued":{"date-parts":[["2013"]]},"page":"19-38","title":"Delineation of groundwater potential zones in the crystalline basement terrain of SW-Nigeria: an integrated GIS and remote sensing approach.","type":"article-journal","volume":"4"},"uris":["http://www.mendeley.com/documents/?uuid=c1795afb-3ebd-43b6-95d4-a113383e14e4","http://www.mendeley.com/documents/?uuid=c44b2eb2-9eec-4752-9bd2-8f9eef993e56"]}],"mendeley":{"formattedCitation":"(Fashae et al., 2013)","plainTextFormattedCitation":"(Fashae et al., 2013)","previouslyFormattedCitation":"(Fashae et al., 2013)"},"properties":{"noteIndex":0},"schema":"https://github.com/citation-style-language/schema/raw/master/csl-citation.json"}</w:instrText>
      </w:r>
      <w:r w:rsidRPr="002539EA">
        <w:fldChar w:fldCharType="separate"/>
      </w:r>
      <w:r w:rsidR="001626FB" w:rsidRPr="002539EA">
        <w:rPr>
          <w:noProof/>
        </w:rPr>
        <w:t>(Fashae et al., 2013)</w:t>
      </w:r>
      <w:r w:rsidRPr="002539EA">
        <w:fldChar w:fldCharType="end"/>
      </w:r>
      <w:r w:rsidRPr="002539EA">
        <w:t>. On t</w:t>
      </w:r>
      <w:r w:rsidR="00EA304F" w:rsidRPr="002539EA">
        <w:t>he other hand, flat</w:t>
      </w:r>
      <w:r w:rsidRPr="002539EA">
        <w:t>lands and/or valleys facilitate groundwater recharge. The high residence time of rainwater perm</w:t>
      </w:r>
      <w:r w:rsidR="00EA304F" w:rsidRPr="002539EA">
        <w:t>its extensive retention of rain</w:t>
      </w:r>
      <w:r w:rsidRPr="002539EA">
        <w:t xml:space="preserve">water to form pools and infiltrate than to surface runoff </w:t>
      </w:r>
      <w:r w:rsidRPr="002539EA">
        <w:fldChar w:fldCharType="begin" w:fldLock="1"/>
      </w:r>
      <w:r w:rsidR="00A309A8" w:rsidRPr="002539EA">
        <w:instrText>ADDIN CSL_CITATION {"citationItems":[{"id":"ITEM-1","itemData":{"author":[{"dropping-particle":"","family":"Krishnamurthy","given":"J.","non-dropping-particle":"","parse-names":false,"suffix":""},{"dropping-particle":"","family":"Venkatesa Kumar","given":"N.","non-dropping-particle":"","parse-names":false,"suffix":""},{"dropping-particle":"","family":"Jayaraman","given":"V.","non-dropping-particle":"","parse-names":false,"suffix":""},{"dropping-particle":"","family":"Manivel","given":"M.","non-dropping-particle":"","parse-names":false,"suffix":""}],"container-title":"International Journal of Remote Sensing","id":"ITEM-1","issued":{"date-parts":[["1996"]]},"page":"1867- 1884","title":"An approach to demarcate groundwater potential zones through remote sensing and geographical information system","type":"article-journal","volume":"17"},"uris":["http://www.mendeley.com/documents/?uuid=41457603-a415-4866-923a-539d8e41a276","http://www.mendeley.com/documents/?uuid=44aa0ddc-ba96-4c39-8170-d013a15aae86"]}],"mendeley":{"formattedCitation":"(Krishnamurthy et al., 1996)","plainTextFormattedCitation":"(Krishnamurthy et al., 1996)","previouslyFormattedCitation":"(Krishnamurthy et al., 1996)"},"properties":{"noteIndex":0},"schema":"https://github.com/citation-style-language/schema/raw/master/csl-citation.json"}</w:instrText>
      </w:r>
      <w:r w:rsidRPr="002539EA">
        <w:fldChar w:fldCharType="separate"/>
      </w:r>
      <w:r w:rsidR="001626FB" w:rsidRPr="002539EA">
        <w:rPr>
          <w:noProof/>
        </w:rPr>
        <w:t>(Krishnamurthy et al., 1996)</w:t>
      </w:r>
      <w:r w:rsidRPr="002539EA">
        <w:fldChar w:fldCharType="end"/>
      </w:r>
      <w:r w:rsidRPr="002539EA">
        <w:t xml:space="preserve">. </w:t>
      </w:r>
    </w:p>
    <w:p w:rsidR="00C231C5" w:rsidRPr="002539EA" w:rsidRDefault="00C231C5" w:rsidP="003A024A">
      <w:r w:rsidRPr="002539EA">
        <w:t>The vector form closely spaced contours represent steeper slopes and sparse contours exhibit gentle slope. The lower slope valu</w:t>
      </w:r>
      <w:r w:rsidR="001B79BA" w:rsidRPr="002539EA">
        <w:t xml:space="preserve">es indicate the flatter terrain </w:t>
      </w:r>
      <w:r w:rsidRPr="002539EA">
        <w:t xml:space="preserve">and higher slope values correspond to </w:t>
      </w:r>
      <w:r w:rsidR="00EA304F" w:rsidRPr="002539EA">
        <w:t xml:space="preserve">the </w:t>
      </w:r>
      <w:r w:rsidRPr="002539EA">
        <w:t xml:space="preserve">steeper slope of the terrain </w:t>
      </w:r>
      <w:r w:rsidRPr="002539EA">
        <w:rPr>
          <w:rStyle w:val="FootnoteReference"/>
        </w:rPr>
        <w:fldChar w:fldCharType="begin" w:fldLock="1"/>
      </w:r>
      <w:r w:rsidR="00A309A8" w:rsidRPr="002539EA">
        <w:instrText>ADDIN CSL_CITATION {"citationItems":[{"id":"ITEM-1","itemData":{"author":[{"dropping-particle":"","family":"Waikar","given":"M L","non-dropping-particle":"","parse-names":false,"suffix":""},{"dropping-particle":"","family":"Nilawar","given":"Aditya P","non-dropping-particle":"","parse-names":false,"suffix":""}],"id":"ITEM-1","issue":"5","issued":{"date-parts":[["2014"]]},"page":"12163-12174","title":"Identification of Groundwater Potential Zone using Remote Sensing and GIS Technique","type":"article-journal","volume":"3"},"uris":["http://www.mendeley.com/documents/?uuid=51c5ad64-5f50-46bb-a9dd-8718cab47c42"]}],"mendeley":{"formattedCitation":"(Waikar &amp; Nilawar, 2014)","manualFormatting":"(Waikar and Nilawar, 2014)","plainTextFormattedCitation":"(Waikar &amp; Nilawar, 2014)","previouslyFormattedCitation":"(Waikar &amp; Nilawar, 2014)"},"properties":{"noteIndex":0},"schema":"https://github.com/citation-style-language/schema/raw/master/csl-citation.json"}</w:instrText>
      </w:r>
      <w:r w:rsidRPr="002539EA">
        <w:rPr>
          <w:rStyle w:val="FootnoteReference"/>
        </w:rPr>
        <w:fldChar w:fldCharType="separate"/>
      </w:r>
      <w:r w:rsidR="00E230CE" w:rsidRPr="002539EA">
        <w:rPr>
          <w:noProof/>
        </w:rPr>
        <w:t>(Waikar and</w:t>
      </w:r>
      <w:r w:rsidR="00A108C4" w:rsidRPr="002539EA">
        <w:rPr>
          <w:noProof/>
        </w:rPr>
        <w:t xml:space="preserve"> Nilawar, 2014)</w:t>
      </w:r>
      <w:r w:rsidRPr="002539EA">
        <w:rPr>
          <w:rStyle w:val="FootnoteReference"/>
        </w:rPr>
        <w:fldChar w:fldCharType="end"/>
      </w:r>
      <w:r w:rsidRPr="002539EA">
        <w:t xml:space="preserve">. Slope gradient was considered </w:t>
      </w:r>
      <w:r w:rsidR="001B79BA" w:rsidRPr="002539EA">
        <w:t xml:space="preserve">in determining the </w:t>
      </w:r>
      <w:r w:rsidRPr="002539EA">
        <w:t>factor</w:t>
      </w:r>
      <w:r w:rsidR="001B79BA" w:rsidRPr="002539EA">
        <w:t xml:space="preserve">s affecting </w:t>
      </w:r>
      <w:r w:rsidRPr="002539EA">
        <w:t>groundwater potential</w:t>
      </w:r>
      <w:r w:rsidR="001B79BA" w:rsidRPr="002539EA">
        <w:t xml:space="preserve"> </w:t>
      </w:r>
      <w:r w:rsidR="00A96DB9" w:rsidRPr="002539EA">
        <w:t xml:space="preserve">of Baro basin. </w:t>
      </w:r>
      <w:r w:rsidRPr="002539EA">
        <w:t xml:space="preserve">The slope thematic map has been classified into five categories. In assigning rank, the first two group’s i.e. flat and gentle slope </w:t>
      </w:r>
      <w:r w:rsidR="00EA304F" w:rsidRPr="002539EA">
        <w:t>was</w:t>
      </w:r>
      <w:r w:rsidRPr="002539EA">
        <w:t xml:space="preserve"> considered favorable classes for groundwater potential. The maximum factor weight of 23.3% was assigned for slope thematic layers </w:t>
      </w:r>
      <w:r w:rsidRPr="002539EA">
        <w:rPr>
          <w:rStyle w:val="FootnoteReference"/>
        </w:rPr>
        <w:fldChar w:fldCharType="begin" w:fldLock="1"/>
      </w:r>
      <w:r w:rsidR="00A309A8" w:rsidRPr="002539EA">
        <w:instrText>ADDIN CSL_CITATION {"citationItems":[{"id":"ITEM-1","itemData":{"author":[{"dropping-particle":"","family":"Tegegn","given":"Kassa","non-dropping-particle":"","parse-names":false,"suffix":""}],"id":"ITEM-1","issued":{"date-parts":[["2015"]]},"title":"Assessment of groundwater potential zones in Baro Basin using GIS and Remote sensing","type":"article-journal"},"uris":["http://www.mendeley.com/documents/?uuid=4832f842-a1d9-4084-a40b-bdff4a0bf1a3"]}],"mendeley":{"formattedCitation":"(Tegegn, 2015)","plainTextFormattedCitation":"(Tegegn, 2015)","previouslyFormattedCitation":"(Tegegn, 2015)"},"properties":{"noteIndex":0},"schema":"https://github.com/citation-style-language/schema/raw/master/csl-citation.json"}</w:instrText>
      </w:r>
      <w:r w:rsidRPr="002539EA">
        <w:rPr>
          <w:rStyle w:val="FootnoteReference"/>
        </w:rPr>
        <w:fldChar w:fldCharType="separate"/>
      </w:r>
      <w:r w:rsidRPr="002539EA">
        <w:rPr>
          <w:noProof/>
        </w:rPr>
        <w:t>(Tegegn, 2015)</w:t>
      </w:r>
      <w:r w:rsidRPr="002539EA">
        <w:rPr>
          <w:rStyle w:val="FootnoteReference"/>
        </w:rPr>
        <w:fldChar w:fldCharType="end"/>
      </w:r>
      <w:r w:rsidRPr="002539EA">
        <w:t>.</w:t>
      </w:r>
    </w:p>
    <w:p w:rsidR="006D6CD5" w:rsidRPr="002539EA" w:rsidRDefault="006D6CD5" w:rsidP="003A024A">
      <w:pPr>
        <w:pStyle w:val="Heading4"/>
        <w:numPr>
          <w:ilvl w:val="3"/>
          <w:numId w:val="1"/>
        </w:numPr>
        <w:spacing w:before="120" w:after="120"/>
        <w:rPr>
          <w:rFonts w:eastAsia="Calibri"/>
        </w:rPr>
      </w:pPr>
      <w:r w:rsidRPr="002539EA">
        <w:rPr>
          <w:rFonts w:eastAsia="Calibri"/>
        </w:rPr>
        <w:t xml:space="preserve">Elevation </w:t>
      </w:r>
    </w:p>
    <w:p w:rsidR="005B042D" w:rsidRPr="002539EA" w:rsidRDefault="006D6CD5" w:rsidP="003A024A">
      <w:r w:rsidRPr="002539EA">
        <w:t>Water tends to store at lower topography rathe</w:t>
      </w:r>
      <w:r w:rsidR="00970740" w:rsidRPr="002539EA">
        <w:t xml:space="preserve">r than at the higher topography </w:t>
      </w:r>
      <w:r w:rsidR="00970740" w:rsidRPr="002539EA">
        <w:fldChar w:fldCharType="begin" w:fldLock="1"/>
      </w:r>
      <w:r w:rsidR="00A309A8" w:rsidRPr="002539EA">
        <w:instrText>ADDIN CSL_CITATION {"citationItems":[{"id":"ITEM-1","itemData":{"abstract":"Water has a significant role in day to day life of people to fulfill their requirements. Although, study area is a part of Blue Nile basin but it has great water scarcity because of its topographic and geological nature. It has been observed during the field visit that people are travelling long to get the water from remote areas. Productivity through groundwater is quite high as compared to surface water, but groundwater resources have not yet been properly exploited. The present study attempts to identify Groundwater Potential (GWP) zones in the Sede River Watershed of the Blue Nile Basin using an integrated remote sensing and GIS techniques employed Satty's Analytical Hierarchy Process (AHP). The thematic layers were integrated using weighted overlay analysis method to delineate GWP map of the study area. Study highlighted the different potential sites where the water could accumulate and resist long time. Geology and lineament are the mainly control for the occurrence and movement of groundwater in the study area. Normalized Differentiate Water Index (NDWI) results showed the positive value less than 0.09 which highlights no existence of water where the community struggling a lot. Finally extracted pixels (&gt;0.20) of NDMI and resulted groundwater potential sites has been validated by existing borehole data. Interestingly, study found very close relationships between them and out of 58 boreholes, approximately 15 were found under very good and good ground water potential zones and vicinity of extracted moisture pixels of NDMI.","author":[{"dropping-particle":"","family":"Sewnet","given":"Demeke","non-dropping-particle":"","parse-names":false,"suffix":""},{"dropping-particle":"","family":"Raja Naqvi","given":"Hasan","non-dropping-particle":"","parse-names":false,"suffix":""},{"dropping-particle":"","family":"Mohammed","given":"A S","non-dropping-particle":"","parse-names":false,"suffix":""},{"dropping-particle":"","family":"Athick","given":"Abdul","non-dropping-particle":"","parse-names":false,"suffix":""}],"id":"ITEM-1","issued":{"date-parts":[["2016"]]},"number-of-pages":"1-13","title":"Zonation of Potential Groundwater and Its Spatial Correlation with Indices and Boreholes: Western Region of Blue Nile Basin, Ethiopia","type":"report"},"uris":["http://www.mendeley.com/documents/?uuid=067c5ff0-3321-362b-826d-6d232d306a22"]},{"id":"ITEM-2","itemData":{"author":[{"dropping-particle":"","family":"Ramu","given":"Mahalingam B.","non-dropping-particle":"","parse-names":false,"suffix":""},{"dropping-particle":"","family":"Vinay","given":"M.","non-dropping-particle":"","parse-names":false,"suffix":""}],"container-title":"International Journal of Geomatics and Geosciences","id":"ITEM-2","issue":"3","issued":{"date-parts":[["2014"]]},"title":"Identification of groundwater potential zones using GIS and remote sensing techniques: A case study of Mysore taluk - Karnataka","type":"article-journal","volume":"5"},"uris":["http://www.mendeley.com/documents/?uuid=93586df8-2543-4d00-a7ae-d30becb0cbcf","http://www.mendeley.com/documents/?uuid=63fc33f1-5926-4933-9b1d-b20d1b47b25f"]}],"mendeley":{"formattedCitation":"(Ramu &amp; Vinay, 2014; Sewnet et al., 2016)","manualFormatting":"(Ramu and Vinay, 2014; Sewnet et al., 2016)","plainTextFormattedCitation":"(Ramu &amp; Vinay, 2014; Sewnet et al., 2016)","previouslyFormattedCitation":"(Ramu &amp; Vinay, 2014; Sewnet et al., 2016)"},"properties":{"noteIndex":0},"schema":"https://github.com/citation-style-language/schema/raw/master/csl-citation.json"}</w:instrText>
      </w:r>
      <w:r w:rsidR="00970740" w:rsidRPr="002539EA">
        <w:fldChar w:fldCharType="separate"/>
      </w:r>
      <w:r w:rsidR="00970740" w:rsidRPr="002539EA">
        <w:rPr>
          <w:noProof/>
        </w:rPr>
        <w:t>(Ramu and Vinay, 2014; Sewnet et al., 2016)</w:t>
      </w:r>
      <w:r w:rsidR="00970740" w:rsidRPr="002539EA">
        <w:fldChar w:fldCharType="end"/>
      </w:r>
      <w:r w:rsidR="00970740" w:rsidRPr="002539EA">
        <w:t>.</w:t>
      </w:r>
      <w:r w:rsidRPr="002539EA">
        <w:t xml:space="preserve"> Hence elevation should be considered in the factors affecting gr</w:t>
      </w:r>
      <w:r w:rsidR="005B042D" w:rsidRPr="002539EA">
        <w:t xml:space="preserve">oundwater potential of an area. </w:t>
      </w:r>
      <w:r w:rsidRPr="002539EA">
        <w:t xml:space="preserve">Naturally topographical high lands can generally be considered recharge areas and topographically low areas can be considered discharge areas </w:t>
      </w:r>
      <w:r w:rsidRPr="002539EA">
        <w:fldChar w:fldCharType="begin" w:fldLock="1"/>
      </w:r>
      <w:r w:rsidR="00A309A8" w:rsidRPr="002539EA">
        <w:instrText>ADDIN CSL_CITATION {"citationItems":[{"id":"ITEM-1","itemData":{"author":[{"dropping-particle":"","family":"Kiflu","given":"Astatke","non-dropping-particle":"","parse-names":false,"suffix":""},{"dropping-particle":"","family":"Tafa","given":"Yosef","non-dropping-particle":"","parse-names":false,"suffix":""},{"dropping-particle":"","family":"Mulugeta","given":"Yonas","non-dropping-particle":"","parse-names":false,"suffix":""}],"id":"ITEM-1","issued":{"date-parts":[["2009"]]},"number-of-pages":"1-74","publisher-place":"Addis Abeba, Ethiopia","title":"Hydrogeological mapping of part of Asela map sheet (NB 37-3) South eastern high land of Ethiopia","type":"report"},"uris":["http://www.mendeley.com/documents/?uuid=00ac486c-3b45-4648-a467-648ee30a24fa","http://www.mendeley.com/documents/?uuid=b3043dd7-ee9c-4f47-9f3e-21b95483fb89"]}],"mendeley":{"formattedCitation":"(Kiflu et al., 2009)","plainTextFormattedCitation":"(Kiflu et al., 2009)","previouslyFormattedCitation":"(Kiflu et al., 2009)"},"properties":{"noteIndex":0},"schema":"https://github.com/citation-style-language/schema/raw/master/csl-citation.json"}</w:instrText>
      </w:r>
      <w:r w:rsidRPr="002539EA">
        <w:fldChar w:fldCharType="separate"/>
      </w:r>
      <w:r w:rsidR="00A108C4" w:rsidRPr="002539EA">
        <w:rPr>
          <w:noProof/>
        </w:rPr>
        <w:t>(Kiflu et al., 2009)</w:t>
      </w:r>
      <w:r w:rsidRPr="002539EA">
        <w:fldChar w:fldCharType="end"/>
      </w:r>
      <w:r w:rsidRPr="002539EA">
        <w:t xml:space="preserve">. </w:t>
      </w:r>
    </w:p>
    <w:p w:rsidR="006D6CD5" w:rsidRPr="002539EA" w:rsidRDefault="006D6CD5" w:rsidP="003A024A">
      <w:r w:rsidRPr="002539EA">
        <w:lastRenderedPageBreak/>
        <w:t>Therefore, the higher the e</w:t>
      </w:r>
      <w:r w:rsidR="0020290D" w:rsidRPr="002539EA">
        <w:t>levation, the lesser the ground</w:t>
      </w:r>
      <w:r w:rsidRPr="002539EA">
        <w:t xml:space="preserve">water potential and vice versa </w:t>
      </w:r>
      <w:r w:rsidRPr="002539EA">
        <w:rPr>
          <w:rStyle w:val="FootnoteReference"/>
        </w:rPr>
        <w:fldChar w:fldCharType="begin" w:fldLock="1"/>
      </w:r>
      <w:r w:rsidR="00A309A8" w:rsidRPr="002539EA">
        <w:instrText>ADDIN CSL_CITATION {"citationItems":[{"id":"ITEM-1","itemData":{"ISSN":"22145818","abstract":"Study Region: Part of the Lake Tana sub-basin of the Blue Nile, Ethiopia Study focus: This study is aimed to identify and locate the groundwater potential zones of Megech watershed using geographic information system (GIS) and remote sensing. Lithology, lineament density, slope, geomorphology, soil, land use and land cover, rainfall, drainage density and elevation were used as proxy data to map the groundwater potential zones of the watershed. Weights were assigned for each thematic layer and thematic layer classes using the PriEsT Analytical Hierarchy Process (AHP) tool. Suitably ArcGIS overlay analysis was conducted to obtain the groundwater potential map. Geology, lineament density, slope and geomorphology were found to be the dominant and sensitive factors for groundwater zoning as portrayed in the map removal analysis. New hydrological insights for the region: Three groundwater potential zones were identified in the study area namely low, moderate and high. These groundwater potential zones were compared with an independent set of groundwater inventory data to validate the results. The validation analysis showed 78.5 % agreement between the groundwater inventory data and the qualitative results. Use of proxy data can serve as a credible source of information for groundwater potential zoning and could greatly help in the groundwater development and management of a region.","author":[{"dropping-particle":"","family":"Berhanu","given":"Kibrit Gedam","non-dropping-particle":"","parse-names":false,"suffix":""},{"dropping-particle":"","family":"Hatiye","given":"Samuel Dagalo","non-dropping-particle":"","parse-names":false,"suffix":""}],"container-title":"Journal of Hydrology: Regional Studies","id":"ITEM-1","issue":"2","issued":{"date-parts":[["2020"]]},"page":"1-20","publisher":"Elsevier","title":"Identification of Groundwater Potential Zones Using Proxy Data: Case study of Megech Watershed, Ethiopia","type":"article-journal","volume":"28"},"uris":["http://www.mendeley.com/documents/?uuid=3490be92-453d-4041-a8ee-a20a1819fce5","http://www.mendeley.com/documents/?uuid=eb26e103-6c48-4c4c-ba99-ee12644d8c83"]}],"mendeley":{"formattedCitation":"(K. G. Berhanu &amp; Hatiye, 2020)","manualFormatting":"(Berhanu and Hatiye, 2020)","plainTextFormattedCitation":"(K. G. Berhanu &amp; Hatiye, 2020)","previouslyFormattedCitation":"(K. G. Berhanu &amp; Hatiye, 2020)"},"properties":{"noteIndex":0},"schema":"https://github.com/citation-style-language/schema/raw/master/csl-citation.json"}</w:instrText>
      </w:r>
      <w:r w:rsidRPr="002539EA">
        <w:rPr>
          <w:rStyle w:val="FootnoteReference"/>
        </w:rPr>
        <w:fldChar w:fldCharType="separate"/>
      </w:r>
      <w:r w:rsidR="00E230CE" w:rsidRPr="002539EA">
        <w:rPr>
          <w:noProof/>
        </w:rPr>
        <w:t>(Berhanu and</w:t>
      </w:r>
      <w:r w:rsidR="000E27E7" w:rsidRPr="002539EA">
        <w:rPr>
          <w:noProof/>
        </w:rPr>
        <w:t xml:space="preserve"> Hatiye, 2020)</w:t>
      </w:r>
      <w:r w:rsidRPr="002539EA">
        <w:rPr>
          <w:rStyle w:val="FootnoteReference"/>
        </w:rPr>
        <w:fldChar w:fldCharType="end"/>
      </w:r>
      <w:r w:rsidRPr="002539EA">
        <w:t xml:space="preserve">. Thus, the highest weight is assigned for lower elevation areas as compared to higher elevations </w:t>
      </w:r>
      <w:r w:rsidRPr="002539EA">
        <w:fldChar w:fldCharType="begin" w:fldLock="1"/>
      </w:r>
      <w:r w:rsidR="00A309A8" w:rsidRPr="002539EA">
        <w:instrText>ADDIN CSL_CITATION {"citationItems":[{"id":"ITEM-1","itemData":{"ISBN":"5856420187","author":[{"dropping-particle":"","family":"Godebo","given":"Tewodros Rango","non-dropping-particle":"","parse-names":false,"suffix":""}],"id":"ITEM-1","issued":{"date-parts":[["2018"]]},"publisher":"Addis Ababa University","title":"Application of remote sensing and GIS for Geological investigation and groundwater potential zone identification, Southeastern Ethiopian plateau, Bale Mountains and the surrounding areas","type":"thesis"},"uris":["http://www.mendeley.com/documents/?uuid=3fa629ef-40c7-4f6f-b252-c80e55ce8304","http://www.mendeley.com/documents/?uuid=7e416c66-f94d-4525-a220-cc121a6bbeee"]}],"mendeley":{"formattedCitation":"(Godebo, 2018)","plainTextFormattedCitation":"(Godebo, 2018)","previouslyFormattedCitation":"(Godebo, 2018)"},"properties":{"noteIndex":0},"schema":"https://github.com/citation-style-language/schema/raw/master/csl-citation.json"}</w:instrText>
      </w:r>
      <w:r w:rsidRPr="002539EA">
        <w:fldChar w:fldCharType="separate"/>
      </w:r>
      <w:r w:rsidRPr="002539EA">
        <w:rPr>
          <w:noProof/>
        </w:rPr>
        <w:t>(Godebo, 2018)</w:t>
      </w:r>
      <w:r w:rsidRPr="002539EA">
        <w:fldChar w:fldCharType="end"/>
      </w:r>
      <w:r w:rsidRPr="002539EA">
        <w:t>.</w:t>
      </w:r>
    </w:p>
    <w:p w:rsidR="003F3AFB" w:rsidRPr="002539EA" w:rsidRDefault="003F3AFB" w:rsidP="003A024A">
      <w:pPr>
        <w:pStyle w:val="Heading4"/>
        <w:numPr>
          <w:ilvl w:val="3"/>
          <w:numId w:val="1"/>
        </w:numPr>
        <w:spacing w:before="120" w:after="120"/>
      </w:pPr>
      <w:r w:rsidRPr="002539EA">
        <w:t>Land Use/ Land Cover (LU/LC)</w:t>
      </w:r>
    </w:p>
    <w:p w:rsidR="00BB4BB2" w:rsidRPr="002539EA" w:rsidRDefault="003F3AFB" w:rsidP="003A024A">
      <w:r w:rsidRPr="002539EA">
        <w:t xml:space="preserve">The role of </w:t>
      </w:r>
      <w:r w:rsidR="00AA11E8" w:rsidRPr="002539EA">
        <w:t>LU</w:t>
      </w:r>
      <w:r w:rsidR="00ED4E6F" w:rsidRPr="002539EA">
        <w:t>/</w:t>
      </w:r>
      <w:r w:rsidR="00AA11E8" w:rsidRPr="002539EA">
        <w:t>LC</w:t>
      </w:r>
      <w:r w:rsidRPr="002539EA">
        <w:t xml:space="preserve"> </w:t>
      </w:r>
      <w:r w:rsidR="00AA11E8" w:rsidRPr="002539EA">
        <w:t>in the</w:t>
      </w:r>
      <w:r w:rsidRPr="002539EA">
        <w:t xml:space="preserve"> </w:t>
      </w:r>
      <w:r w:rsidR="00E610EA" w:rsidRPr="002539EA">
        <w:t xml:space="preserve">development of </w:t>
      </w:r>
      <w:r w:rsidRPr="002539EA">
        <w:t xml:space="preserve">groundwater potential is </w:t>
      </w:r>
      <w:r w:rsidR="00E610EA" w:rsidRPr="002539EA">
        <w:t>highly significant</w:t>
      </w:r>
      <w:r w:rsidR="00DD51F4" w:rsidRPr="002539EA">
        <w:t xml:space="preserve">. </w:t>
      </w:r>
      <w:r w:rsidR="00E610EA" w:rsidRPr="002539EA">
        <w:t xml:space="preserve">It controls many </w:t>
      </w:r>
      <w:r w:rsidR="00086816" w:rsidRPr="002539EA">
        <w:t>hydrogeological</w:t>
      </w:r>
      <w:r w:rsidR="00E610EA" w:rsidRPr="002539EA">
        <w:t xml:space="preserve"> processes in the water cycle viz., infiltration, evapotra</w:t>
      </w:r>
      <w:r w:rsidR="00407F4D" w:rsidRPr="002539EA">
        <w:t>nspiration, surface runoff</w:t>
      </w:r>
      <w:r w:rsidR="00F50F14" w:rsidRPr="002539EA">
        <w:t>,</w:t>
      </w:r>
      <w:r w:rsidR="00407F4D" w:rsidRPr="002539EA">
        <w:t xml:space="preserve"> etc</w:t>
      </w:r>
      <w:r w:rsidR="00BB4BB2" w:rsidRPr="002539EA">
        <w:t>.</w:t>
      </w:r>
      <w:r w:rsidR="00407F4D" w:rsidRPr="002539EA">
        <w:t xml:space="preserve"> </w:t>
      </w:r>
      <w:r w:rsidR="00BB4BB2" w:rsidRPr="002539EA">
        <w:t>S</w:t>
      </w:r>
      <w:r w:rsidR="00E610EA" w:rsidRPr="002539EA">
        <w:t>urface cover provides roughness to the surface, reduce discharge thereby increases the infiltration. In the forest areas, infiltration will be more and runoff will be less whereas in urban areas rate of infiltration may decrease</w:t>
      </w:r>
      <w:r w:rsidR="00B15E10" w:rsidRPr="002539EA">
        <w:t xml:space="preserve"> </w:t>
      </w:r>
      <w:r w:rsidR="00650A04" w:rsidRPr="002539EA">
        <w:rPr>
          <w:rStyle w:val="FootnoteReference"/>
        </w:rPr>
        <w:fldChar w:fldCharType="begin" w:fldLock="1"/>
      </w:r>
      <w:r w:rsidR="00A309A8" w:rsidRPr="002539EA">
        <w:instrText>ADDIN CSL_CITATION {"citationItems":[{"id":"ITEM-1","itemData":{"author":[{"dropping-particle":"","family":"Waikar","given":"M L","non-dropping-particle":"","parse-names":false,"suffix":""},{"dropping-particle":"","family":"Nilawar","given":"Aditya P","non-dropping-particle":"","parse-names":false,"suffix":""}],"id":"ITEM-1","issue":"5","issued":{"date-parts":[["2014"]]},"page":"12163-12174","title":"Identification of Groundwater Potential Zone using Remote Sensing and GIS Technique","type":"article-journal","volume":"3"},"uris":["http://www.mendeley.com/documents/?uuid=51c5ad64-5f50-46bb-a9dd-8718cab47c42"]}],"mendeley":{"formattedCitation":"(Waikar &amp; Nilawar, 2014)","manualFormatting":"(Waikar and Nilawar, 2014)","plainTextFormattedCitation":"(Waikar &amp; Nilawar, 2014)","previouslyFormattedCitation":"(Waikar &amp; Nilawar, 2014)"},"properties":{"noteIndex":0},"schema":"https://github.com/citation-style-language/schema/raw/master/csl-citation.json"}</w:instrText>
      </w:r>
      <w:r w:rsidR="00650A04" w:rsidRPr="002539EA">
        <w:rPr>
          <w:rStyle w:val="FootnoteReference"/>
        </w:rPr>
        <w:fldChar w:fldCharType="separate"/>
      </w:r>
      <w:r w:rsidR="00E230CE" w:rsidRPr="002539EA">
        <w:rPr>
          <w:noProof/>
        </w:rPr>
        <w:t>(Waikar and</w:t>
      </w:r>
      <w:r w:rsidR="00A108C4" w:rsidRPr="002539EA">
        <w:rPr>
          <w:noProof/>
        </w:rPr>
        <w:t xml:space="preserve"> Nilawar, 2014)</w:t>
      </w:r>
      <w:r w:rsidR="00650A04" w:rsidRPr="002539EA">
        <w:rPr>
          <w:rStyle w:val="FootnoteReference"/>
        </w:rPr>
        <w:fldChar w:fldCharType="end"/>
      </w:r>
      <w:r w:rsidR="00B15E10" w:rsidRPr="002539EA">
        <w:t xml:space="preserve">. </w:t>
      </w:r>
    </w:p>
    <w:p w:rsidR="00B8250E" w:rsidRPr="002539EA" w:rsidRDefault="003F3AFB" w:rsidP="003A024A">
      <w:r w:rsidRPr="002539EA">
        <w:t xml:space="preserve">Hence vegetation increases </w:t>
      </w:r>
      <w:r w:rsidR="00F50F14" w:rsidRPr="002539EA">
        <w:t xml:space="preserve">the </w:t>
      </w:r>
      <w:r w:rsidRPr="002539EA">
        <w:t xml:space="preserve">chances of groundwater recharge and can be an indication of high groundwater </w:t>
      </w:r>
      <w:r w:rsidR="00E20722" w:rsidRPr="002539EA">
        <w:t xml:space="preserve">potential (Leduc </w:t>
      </w:r>
      <w:r w:rsidR="003E5EF8" w:rsidRPr="002539EA">
        <w:t>et al.</w:t>
      </w:r>
      <w:r w:rsidR="00BB4BB2" w:rsidRPr="002539EA">
        <w:t xml:space="preserve">, 2001). </w:t>
      </w:r>
      <w:r w:rsidR="002A5FB9" w:rsidRPr="002539EA">
        <w:t>In settlements and built-</w:t>
      </w:r>
      <w:r w:rsidRPr="002539EA">
        <w:t xml:space="preserve">up areas, </w:t>
      </w:r>
      <w:r w:rsidR="005A7533" w:rsidRPr="002539EA">
        <w:t xml:space="preserve">the high proportion and connectivity of impervious surfaces reduce infiltration, thereby increasing the runoff </w:t>
      </w:r>
      <w:r w:rsidRPr="002539EA">
        <w:t xml:space="preserve">consequently, low groundwater </w:t>
      </w:r>
      <w:r w:rsidR="00B71D21" w:rsidRPr="002539EA">
        <w:t>potentials are expected</w:t>
      </w:r>
      <w:r w:rsidR="006B7510" w:rsidRPr="002539EA">
        <w:t xml:space="preserve"> </w:t>
      </w:r>
      <w:r w:rsidR="006B7510" w:rsidRPr="002539EA">
        <w:fldChar w:fldCharType="begin" w:fldLock="1"/>
      </w:r>
      <w:r w:rsidR="00A309A8" w:rsidRPr="002539EA">
        <w:instrText>ADDIN CSL_CITATION {"citationItems":[{"id":"ITEM-1","itemData":{"DOI":"10.1007/s40710-014-0037-3","ISSN":"21987505","abstract":"Roof water harvesting is a potential source of water for domestic and livelihood uses in water-scarce urban areas of the world such as sub-Saharan Africa (SSA). However, little is known about the hydrological impacts of incorporating roof water harvesting on on-site and downstream hydrology of urbanized catchments. Therefore, the current review investigates the effects of urbanization and urban roof water harvesting on hydrological processes, rainfall-runoff relationships, groundwater recharge and water contamination, and highlights future research directions. The review showed that the urban heat island effect increases the frequency and magnitude of convective storms. The high proportion and connectivity of impervious surfaces reduce infiltration, thereby increasing the runoff coefficient and Hortonian runoff. Urbanization reduces the minimum threshold rainfall for runoff generation, resulting in multi-peak hydrographs reflecting the contribution of both pervious and impervious surfaces. Urban roof water harvesting increases catchment lag time, but reduces downstream peak and total discharge, baseflow and flow velocity. Utility trenches, tunnels and buried structures form a complex network resembling a shallow urban karst system, which provides preferential flow pathways for groundwater recharge by imported water via leakages. Contrary to the widely held notion that urbanization reduces groundwater recharge by increasing impervious surfaces, empirical evidence shows significant urban-enhanced recharge in water-limited urban catchments. However, we contend that excessive groundwater abstraction for multiple uses in water-scarce regions offsets the urban-enhanced recharge, resulting in groundwater depletion. Due to the overriding collective effects of reduced soil moisture and vegetation cover on evapotranspiration in water-limited environments, we conclude that urbanization lowers evapotranspiration. Urban roof water harvesting short-cuts the urban water cycle, thereby minimizing the risk of runoff contamination that could occur during its extended flow over contaminated land surfaces. Contaminated sources of recharge, such as wastewater leakages coupled with the urban karst system, promote groundwater pollution. Overall, urban roof water harvesting imparts additional complexity to urban catchments, and has potentially adverse effects on ecohydrology. Understanding these impacts is critical for planning, designing and operation of urban roof water harv…","author":[{"dropping-particle":"","family":"Gwenzi","given":"Willis","non-dropping-particle":"","parse-names":false,"suffix":""},{"dropping-particle":"","family":"Nyamadzawo","given":"George","non-dropping-particle":"","parse-names":false,"suffix":""}],"container-title":"Environmental Processes","id":"ITEM-1","issue":"4","issued":{"date-parts":[["2014"]]},"page":"573-593","title":"Hydrological Impacts of Urbanization and Urban Roof Water Harvesting in Water-limited Catchments: A Review","type":"article-journal","volume":"1"},"uris":["http://www.mendeley.com/documents/?uuid=3f56284e-aedd-4e91-94ef-a079a061f7e5","http://www.mendeley.com/documents/?uuid=5b847349-0c1c-4fad-bc9c-b299f7a1e44b"]}],"mendeley":{"formattedCitation":"(Gwenzi &amp; Nyamadzawo, 2014)","manualFormatting":"(Gwenzi and Nyamadzawo, 2014)","plainTextFormattedCitation":"(Gwenzi &amp; Nyamadzawo, 2014)","previouslyFormattedCitation":"(Gwenzi &amp; Nyamadzawo, 2014)"},"properties":{"noteIndex":0},"schema":"https://github.com/citation-style-language/schema/raw/master/csl-citation.json"}</w:instrText>
      </w:r>
      <w:r w:rsidR="006B7510" w:rsidRPr="002539EA">
        <w:fldChar w:fldCharType="separate"/>
      </w:r>
      <w:r w:rsidR="006B7510" w:rsidRPr="002539EA">
        <w:rPr>
          <w:noProof/>
        </w:rPr>
        <w:t>(Gwenzi and Nyamadzawo, 2014)</w:t>
      </w:r>
      <w:r w:rsidR="006B7510" w:rsidRPr="002539EA">
        <w:fldChar w:fldCharType="end"/>
      </w:r>
      <w:r w:rsidR="00B71D21" w:rsidRPr="002539EA">
        <w:t>.</w:t>
      </w:r>
      <w:r w:rsidR="006B7481" w:rsidRPr="002539EA">
        <w:t xml:space="preserve"> Several r</w:t>
      </w:r>
      <w:r w:rsidR="003F0CEC" w:rsidRPr="002539EA">
        <w:t>esearch</w:t>
      </w:r>
      <w:r w:rsidR="004D0B66" w:rsidRPr="002539EA">
        <w:t xml:space="preserve"> </w:t>
      </w:r>
      <w:r w:rsidR="001644FE" w:rsidRPr="002539EA">
        <w:t xml:space="preserve">conducted </w:t>
      </w:r>
      <w:r w:rsidR="004C018E" w:rsidRPr="002539EA">
        <w:t>on</w:t>
      </w:r>
      <w:r w:rsidR="001644FE" w:rsidRPr="002539EA">
        <w:t xml:space="preserve"> </w:t>
      </w:r>
      <w:r w:rsidR="00452199" w:rsidRPr="002539EA">
        <w:t>Weyib</w:t>
      </w:r>
      <w:r w:rsidR="008A4A61" w:rsidRPr="002539EA">
        <w:t xml:space="preserve"> Sub-basin, </w:t>
      </w:r>
      <w:r w:rsidR="001644FE" w:rsidRPr="002539EA">
        <w:t>Shaya</w:t>
      </w:r>
      <w:r w:rsidR="008C3366" w:rsidRPr="002539EA">
        <w:t xml:space="preserve"> </w:t>
      </w:r>
      <w:r w:rsidR="001644FE" w:rsidRPr="002539EA">
        <w:t xml:space="preserve">and </w:t>
      </w:r>
      <w:r w:rsidR="00484D64" w:rsidRPr="002539EA">
        <w:t>Togona</w:t>
      </w:r>
      <w:r w:rsidR="00214AC6" w:rsidRPr="002539EA">
        <w:t xml:space="preserve"> watershed </w:t>
      </w:r>
      <w:r w:rsidR="00694435" w:rsidRPr="002539EA">
        <w:t xml:space="preserve">of Weyib Sub-basin </w:t>
      </w:r>
      <w:r w:rsidR="00A92444" w:rsidRPr="002539EA">
        <w:t xml:space="preserve">classified the </w:t>
      </w:r>
      <w:r w:rsidR="008A4A61" w:rsidRPr="002539EA">
        <w:t>LU/LC</w:t>
      </w:r>
      <w:r w:rsidR="001644FE" w:rsidRPr="002539EA">
        <w:t xml:space="preserve"> </w:t>
      </w:r>
      <w:r w:rsidR="004C018E" w:rsidRPr="002539EA">
        <w:t xml:space="preserve">of </w:t>
      </w:r>
      <w:r w:rsidR="002A5FB9" w:rsidRPr="002539EA">
        <w:t xml:space="preserve">the </w:t>
      </w:r>
      <w:r w:rsidR="00A92444" w:rsidRPr="002539EA">
        <w:t xml:space="preserve">respective study area </w:t>
      </w:r>
      <w:r w:rsidR="008A4A61" w:rsidRPr="002539EA">
        <w:t>into</w:t>
      </w:r>
      <w:r w:rsidR="001644FE" w:rsidRPr="002539EA">
        <w:t xml:space="preserve"> agricultural land, </w:t>
      </w:r>
      <w:r w:rsidR="002A5FB9" w:rsidRPr="002539EA">
        <w:t>bare land</w:t>
      </w:r>
      <w:r w:rsidR="001644FE" w:rsidRPr="002539EA">
        <w:t xml:space="preserve">, pasture/grassland, </w:t>
      </w:r>
      <w:r w:rsidR="002A5FB9" w:rsidRPr="002539EA">
        <w:t>shrub land</w:t>
      </w:r>
      <w:r w:rsidR="008502FD" w:rsidRPr="002539EA">
        <w:t xml:space="preserve">, </w:t>
      </w:r>
      <w:r w:rsidR="006B7481" w:rsidRPr="002539EA">
        <w:t>forest</w:t>
      </w:r>
      <w:r w:rsidR="001644FE" w:rsidRPr="002539EA">
        <w:t xml:space="preserve"> </w:t>
      </w:r>
      <w:r w:rsidR="008502FD" w:rsidRPr="002539EA">
        <w:t>and settlement</w:t>
      </w:r>
      <w:r w:rsidR="00ED3498" w:rsidRPr="002539EA">
        <w:t xml:space="preserve"> </w:t>
      </w:r>
      <w:r w:rsidR="00A92444" w:rsidRPr="002539EA">
        <w:rPr>
          <w:rStyle w:val="FootnoteReference"/>
        </w:rPr>
        <w:fldChar w:fldCharType="begin" w:fldLock="1"/>
      </w:r>
      <w:r w:rsidR="00A309A8" w:rsidRPr="002539EA">
        <w:instrText>ADDIN CSL_CITATION {"citationItems":[{"id":"ITEM-1","itemData":{"abstract":"This paper explores patterns and trends in flood magnitudes and relates the results to trends in the timing of flood events and changing temperature conditions. The study area is the west-central portion of Canada encompassing a total of 83 natural catchments from Ontario, Manitoba, Saskatchewan, and Alberta. The results showed that a greater portion of the catchments exhibit a significant trend in flood magnitude than would be expected to occur by chance. The trends exhibited appear to be related to changes in the temperature within the study area. Similar trends in the timing of flood events were seen for some, but not all, of the catchments with significant trends in flood magnitudes.","author":[{"dropping-particle":"","family":"Belachew","given":"Tadyalehu Mulatu","non-dropping-particle":"","parse-names":false,"suffix":""}],"id":"ITEM-1","issued":{"date-parts":[["2018"]]},"page":"22-23","title":"Impact of climate change on flood frequency of Tegona River, Ethiopia","type":"article-journal"},"uris":["http://www.mendeley.com/documents/?uuid=b3c128b2-73c3-4676-bae4-de218cf85ece"]},{"id":"ITEM-2","itemData":{"author":[{"dropping-particle":"","family":"Woldeyohannes","given":"Meseret","non-dropping-particle":"","parse-names":false,"suffix":""}],"id":"ITEM-2","issued":{"date-parts":[["2016"]]},"number-of-pages":"16-17","publisher":"Madda Walabu University","title":"Estimating water balance of Tegona Watershed in, South Eastern Ethiopia, using SWAT model","type":"thesis","volume":"147"},"uris":["http://www.mendeley.com/documents/?uuid=431c6ae1-e3bc-43b4-a6a9-25d76f35ad08","http://www.mendeley.com/documents/?uuid=0f4c9437-3a79-4743-9e93-174ad78e24ce"]},{"id":"ITEM-3","itemData":{"author":[{"dropping-particle":"","family":"Lagesse","given":"Abel","non-dropping-particle":"","parse-names":false,"suffix":""}],"id":"ITEM-3","issued":{"date-parts":[["2017"]]},"number-of-pages":"1-108","publisher":"Addis Abeba University","title":"Hydrological trend, variability and time series modeling of Weyib Catchment","type":"thesis"},"uris":["http://www.mendeley.com/documents/?uuid=c86a6f1f-60aa-4207-9e6a-58c0771b1666","http://www.mendeley.com/documents/?uuid=8f89ba8d-e6e0-4c41-94c8-9bdaed16c6f9"]},{"id":"ITEM-4","itemData":{"author":[{"dropping-particle":"","family":"Aredo","given":"Mesfin Reta","non-dropping-particle":"","parse-names":false,"suffix":""}],"id":"ITEM-4","issued":{"date-parts":[["2018"]]},"publisher":"Arba Minch University","title":"Impact of Land Use and Land Cover change on stream flow using MIKE SHE: case study of Shaya catchment, Ethiopia","type":"thesis"},"uris":["http://www.mendeley.com/documents/?uuid=bae25456-9e9b-4c4a-83d3-c5a524e1690a","http://www.mendeley.com/documents/?uuid=20a086cb-d0e4-499a-badf-7bf84d7f7636"]},{"id":"ITEM-5","itemData":{"author":[{"dropping-particle":"","family":"Nasir","given":"G.","non-dropping-particle":"","parse-names":false,"suffix":""},{"dropping-particle":"","family":"Tamane","given":"A.","non-dropping-particle":"","parse-names":false,"suffix":""},{"dropping-particle":"","family":"Tolera","given":"A.","non-dropping-particle":"","parse-names":false,"suffix":""}],"container-title":"Irrigation and Drainage systems Engineering","id":"ITEM-5","issue":"1","issued":{"date-parts":[["2019"]]},"page":"1-7","title":"Irrigation potential assessment on Shaya River Sub-basin in Bale Zone, Oromia Region, Ethiopia","type":"article-journal","volume":"8"},"uris":["http://www.mendeley.com/documents/?uuid=3600af41-1ca1-455b-bca3-33917657a586","http://www.mendeley.com/documents/?uuid=5ecebbdc-8a0a-4d9e-bc95-301f2458c595"]},{"id":"ITEM-6","itemData":{"author":[{"dropping-particle":"","family":"Tolcha","given":"Ashenafi Tedla","non-dropping-particle":"","parse-names":false,"suffix":""}],"id":"ITEM-6","issued":{"date-parts":[["2009"]]},"publisher":"Arba Minch University","title":"Impact assessment of Land use / Land cover changes on Shaya River flow using SWAT (case study of Shaya watershed, in Bale)","type":"thesis"},"uris":["http://www.mendeley.com/documents/?uuid=12ae2f34-a1aa-473d-bcf2-fb284bea8d20","http://www.mendeley.com/documents/?uuid=04fdad9e-1ef1-4463-ab18-245494e9ba7a"]},{"id":"ITEM-7","itemData":{"abstract":"This study targets to evaluate the performance of the ArcSWAT model in simulating streamflow for the Weyib river catchment in Ethiopia. Two techniques that are widely used in models evaluating, namely quantitative statistics (four very common statistical indices) and graphical method (hydrograph analysis technique), were applied to estimate the performance of the ArcSWAT model in this study. Results of calibration and validation of the model at a daily time step furnished R2 of 0.95, NSE of 0.92, RSR of 0.26 and Pbias of 1.31 for model calibration while R2 of 0.97, NSE of 0.95, RSR of 0.20 and Pbias of 2.48 for model validation stage. According to monthly model demonstration ratings, for all the four evaluation criteria (R2, NSE, RSR and Pbias), the model performed very well during both calibration and validation periods.","author":[{"dropping-particle":"","family":"Serur","given":"Abdulkerim Bedewi","non-dropping-particle":"","parse-names":false,"suffix":""},{"dropping-particle":"","family":"Sarma","given":"Arup Kumar","non-dropping-particle":"","parse-names":false,"suffix":""}],"container-title":"International Journal of Innovative and Emerging Research in Engineering","id":"ITEM-7","issue":"2","issued":{"date-parts":[["2016"]]},"page":"7","title":"Evaluation of the ArcSWAT model in simulating catchment hydrology : In Weyib River Basin, Bale Mountainous area of Southeastern Ethiopia","type":"article-journal","volume":"3"},"uris":["http://www.mendeley.com/documents/?uuid=9c0687ab-8c3b-4c65-9444-e05cc55a085f","http://www.mendeley.com/documents/?uuid=ba514730-98c4-4fb6-86de-241d1c2570c9"]}],"mendeley":{"formattedCitation":"(Aredo, 2018; Belachew, 2018; Lagesse, 2017; Nasir et al., 2019; Serur &amp; Sarma, 2016a; Tolcha, 2009; Woldeyohannes, 2016)","manualFormatting":"(Aredo, 2018; Belachew, 2018; Lagesse, 2017; Nasir et al., 2019; Serur and Sarma, 2016a; Tolcha, 2009; Woldeyohannes, 2016)","plainTextFormattedCitation":"(Aredo, 2018; Belachew, 2018; Lagesse, 2017; Nasir et al., 2019; Serur &amp; Sarma, 2016a; Tolcha, 2009; Woldeyohannes, 2016)","previouslyFormattedCitation":"(Aredo, 2018; Belachew, 2018; Lagesse, 2017; Nasir et al., 2019; Serur &amp; Sarma, 2016a; Tolcha, 2009; Woldeyohannes, 2016)"},"properties":{"noteIndex":0},"schema":"https://github.com/citation-style-language/schema/raw/master/csl-citation.json"}</w:instrText>
      </w:r>
      <w:r w:rsidR="00A92444" w:rsidRPr="002539EA">
        <w:rPr>
          <w:rStyle w:val="FootnoteReference"/>
        </w:rPr>
        <w:fldChar w:fldCharType="separate"/>
      </w:r>
      <w:r w:rsidR="00A92444" w:rsidRPr="002539EA">
        <w:rPr>
          <w:noProof/>
        </w:rPr>
        <w:t>(Aredo, 2018; Belachew, 2018; Lagesse, 2017; Nasir et al., 2019; Serur and Sarma, 2016a; Tolcha, 2009; Woldeyohannes, 2016)</w:t>
      </w:r>
      <w:r w:rsidR="00A92444" w:rsidRPr="002539EA">
        <w:rPr>
          <w:rStyle w:val="FootnoteReference"/>
        </w:rPr>
        <w:fldChar w:fldCharType="end"/>
      </w:r>
      <w:r w:rsidR="006D027A" w:rsidRPr="002539EA">
        <w:t>.</w:t>
      </w:r>
      <w:r w:rsidR="0057044D" w:rsidRPr="002539EA">
        <w:t xml:space="preserve"> </w:t>
      </w:r>
      <w:r w:rsidR="00DC310D" w:rsidRPr="002539EA">
        <w:t xml:space="preserve">Shamuyarira (2017) consider </w:t>
      </w:r>
      <w:r w:rsidR="002A5FB9" w:rsidRPr="002539EA">
        <w:t xml:space="preserve">the </w:t>
      </w:r>
      <w:r w:rsidR="00DC310D" w:rsidRPr="002539EA">
        <w:t>consolidation of 13 land</w:t>
      </w:r>
      <w:r w:rsidR="002A5FB9" w:rsidRPr="002539EA">
        <w:t>-</w:t>
      </w:r>
      <w:r w:rsidR="00DC310D" w:rsidRPr="002539EA">
        <w:t xml:space="preserve">uses </w:t>
      </w:r>
      <w:r w:rsidR="00C70959" w:rsidRPr="002539EA">
        <w:t xml:space="preserve">and </w:t>
      </w:r>
      <w:r w:rsidR="00CD4B42" w:rsidRPr="002539EA">
        <w:t xml:space="preserve">produced four land use types such as; </w:t>
      </w:r>
      <w:r w:rsidR="008A4A61" w:rsidRPr="002539EA">
        <w:t>w</w:t>
      </w:r>
      <w:r w:rsidR="00DC310D" w:rsidRPr="002539EA">
        <w:t>ater bodies, vegetation, bare soil</w:t>
      </w:r>
      <w:r w:rsidR="00CD4B42" w:rsidRPr="002539EA">
        <w:t xml:space="preserve"> </w:t>
      </w:r>
      <w:r w:rsidR="00DC310D" w:rsidRPr="002539EA">
        <w:t xml:space="preserve">and settlements. Water bodies were assigned a normalized weight of zero and vegetation had the highest weighting of 0.48. </w:t>
      </w:r>
      <w:r w:rsidR="00F732F8" w:rsidRPr="002539EA">
        <w:t>Finally,</w:t>
      </w:r>
      <w:r w:rsidR="00DC310D" w:rsidRPr="002539EA">
        <w:t xml:space="preserve"> the second</w:t>
      </w:r>
      <w:r w:rsidR="002A5FB9" w:rsidRPr="002539EA">
        <w:t>-</w:t>
      </w:r>
      <w:r w:rsidR="00DC310D" w:rsidRPr="002539EA">
        <w:t xml:space="preserve">highest weight of 24% </w:t>
      </w:r>
      <w:r w:rsidR="002A5FB9" w:rsidRPr="002539EA">
        <w:t>was</w:t>
      </w:r>
      <w:r w:rsidR="00DC310D" w:rsidRPr="002539EA">
        <w:t xml:space="preserve"> assigned for </w:t>
      </w:r>
      <w:r w:rsidR="006C0D87" w:rsidRPr="002539EA">
        <w:t>land use themes</w:t>
      </w:r>
      <w:r w:rsidR="00DC310D" w:rsidRPr="002539EA">
        <w:t>.</w:t>
      </w:r>
      <w:r w:rsidR="003A3F7A" w:rsidRPr="002539EA">
        <w:t xml:space="preserve"> </w:t>
      </w:r>
    </w:p>
    <w:p w:rsidR="003F3AFB" w:rsidRPr="002539EA" w:rsidRDefault="003F3AFB" w:rsidP="003A024A">
      <w:pPr>
        <w:pStyle w:val="Heading4"/>
        <w:numPr>
          <w:ilvl w:val="3"/>
          <w:numId w:val="1"/>
        </w:numPr>
        <w:spacing w:before="120" w:after="120"/>
      </w:pPr>
      <w:r w:rsidRPr="002539EA">
        <w:t>Soil</w:t>
      </w:r>
      <w:r w:rsidR="00454401" w:rsidRPr="002539EA">
        <w:t xml:space="preserve"> </w:t>
      </w:r>
      <w:r w:rsidR="00B45BC0" w:rsidRPr="002539EA">
        <w:t>Textures</w:t>
      </w:r>
    </w:p>
    <w:p w:rsidR="005B042D" w:rsidRPr="002539EA" w:rsidRDefault="00126254" w:rsidP="003A024A">
      <w:r w:rsidRPr="002539EA">
        <w:t>Soils play a crucial role in the global hydrologic cycle by governing the rates of infiltration</w:t>
      </w:r>
      <w:r w:rsidR="00857E2D" w:rsidRPr="002539EA">
        <w:t xml:space="preserve">, </w:t>
      </w:r>
      <w:r w:rsidR="00F24DDB" w:rsidRPr="002539EA">
        <w:t xml:space="preserve">the </w:t>
      </w:r>
      <w:r w:rsidRPr="002539EA">
        <w:t>transmission of rainfall and surface runoff</w:t>
      </w:r>
      <w:r w:rsidR="00857E2D" w:rsidRPr="002539EA">
        <w:t xml:space="preserve"> </w:t>
      </w:r>
      <w:r w:rsidR="00650A04" w:rsidRPr="002539EA">
        <w:rPr>
          <w:rStyle w:val="FootnoteReference"/>
        </w:rPr>
        <w:fldChar w:fldCharType="begin" w:fldLock="1"/>
      </w:r>
      <w:r w:rsidR="00A309A8" w:rsidRPr="002539EA">
        <w:instrText>ADDIN CSL_CITATION {"citationItems":[{"id":"ITEM-1","itemData":{"abstract":"Hydrologic soil groups play an important role in the determination of surface runoff, which, in turn, is crucial for soil and water conservation efforts. Traditionally, placement of soil into appropriate hydrologic groups is based on the judgement of soil scientists, primarily relying on their interpretation of guidelines published by regional or national agencies. As a result, large-scale mapping of hydrologic soil groups results in widespread inconsistencies and inaccuracies. This paper presents an application of machine learning for classification of soil into hydrologic groups. Based on features such as percentages of sand, silt and clay, and the value of saturated hydraulic conductivity, machine learning models were trained to classify soil into four hydrologic groups. The results of the classification obtained using algorithms such as k-Nearest Neighbors, Support Vector Machine with Gaussian Kernel, Decision Trees, Classification Bagged Ensembles and TreeBagger (Random Forest) were compared to those obtained using estimation based on soil texture. The performance of these models was compared and evaluated using per-class metrics and micro- and macro-averages. Overall, performance metrics related to kNN, Decision Tree and TreeBagger exceeded those for SVM-Gaussian Kernel and Classification Bagged Ensemble. Among the four hydrologic groups, it was noticed that group B had the highest rate of false positives.","author":[{"dropping-particle":"","family":"Abraham","given":"Shiny","non-dropping-particle":"","parse-names":false,"suffix":""},{"dropping-particle":"","family":"Huynh","given":"Chau","non-dropping-particle":"","parse-names":false,"suffix":""},{"dropping-particle":"","family":"Vu","given":"Huy","non-dropping-particle":"","parse-names":false,"suffix":""}],"container-title":"Creative Commons Attribution","id":"ITEM-1","issue":"2","issued":{"date-parts":[["2019"]]},"page":"1-14","title":"Classification of soils into hydrologic groups using machine learning","type":"article-journal","volume":"5"},"uris":["http://www.mendeley.com/documents/?uuid=01afc152-364b-4ed9-8c1a-b194984841ee","http://www.mendeley.com/documents/?uuid=998193d2-b3b8-46b2-af71-171e56b55b2e"]},{"id":"ITEM-2","itemData":{"ISBN":"9781617823978","abstract":"Nowadays ground water is decreasing and therefore there is an increase in demand of water. Ground water is one of the major source that contributes to the total annual supply. The objective of this paper is to review techniques and methodologies applied for identifying groundwater potential zones using GIS and remote sensing. Several methods are used for mapping of ground water zones. The parameters that are used for controlling groundwater zones are soil, drainage density, land use\\land cover, geology, geomorphology, rainfall, slope, and contour. Groundwater mapping techniques are described and derived from satellite remote sensing and additional data sources. These techniques includes both conventional methods and advanced methods. The thematic layers are used for mapping and identification of groundwater potential analysis. The importance of each thematic layer and its weight is discussed for the location groundwater potential zones using groundwater conditions. This groundwater potential information will be useful for effective identification of appropriate locations for extraction of water.","author":[{"dropping-particle":"","family":"Lakshmi","given":"Vidhya Savikumar","non-dropping-particle":"","parse-names":false,"suffix":""},{"dropping-particle":"","family":"Reddy","given":"Vinay Kumar","non-dropping-particle":"","parse-names":false,"suffix":""}],"container-title":"International journal of pure and applied mathematics","id":"ITEM-2","issued":{"date-parts":[["2019"]]},"page":"3195-3209","title":"Identification of groundwater potential zones using RS and GIS","type":"article-journal","volume":"119"},"uris":["http://www.mendeley.com/documents/?uuid=3f784691-989b-4abe-898f-561e7ed8ff47","http://www.mendeley.com/documents/?uuid=610aeca7-11af-4498-bc6e-44297d2e30ad"]}],"mendeley":{"formattedCitation":"(Abraham et al., 2019; Lakshmi &amp; Reddy, 2019)","manualFormatting":"(Abraham et al., 2019; Lakshmi and Reddy, 2019)","plainTextFormattedCitation":"(Abraham et al., 2019; Lakshmi &amp; Reddy, 2019)","previouslyFormattedCitation":"(Abraham et al., 2019; Lakshmi &amp; Reddy, 2019)"},"properties":{"noteIndex":0},"schema":"https://github.com/citation-style-language/schema/raw/master/csl-citation.json"}</w:instrText>
      </w:r>
      <w:r w:rsidR="00650A04" w:rsidRPr="002539EA">
        <w:rPr>
          <w:rStyle w:val="FootnoteReference"/>
        </w:rPr>
        <w:fldChar w:fldCharType="separate"/>
      </w:r>
      <w:r w:rsidR="00E230CE" w:rsidRPr="002539EA">
        <w:rPr>
          <w:bCs/>
          <w:noProof/>
        </w:rPr>
        <w:t>(Abraham et al., 2019; Lakshmi and</w:t>
      </w:r>
      <w:r w:rsidR="00A108C4" w:rsidRPr="002539EA">
        <w:rPr>
          <w:bCs/>
          <w:noProof/>
        </w:rPr>
        <w:t xml:space="preserve"> Reddy, 2019)</w:t>
      </w:r>
      <w:r w:rsidR="00650A04" w:rsidRPr="002539EA">
        <w:rPr>
          <w:rStyle w:val="FootnoteReference"/>
        </w:rPr>
        <w:fldChar w:fldCharType="end"/>
      </w:r>
      <w:r w:rsidRPr="002539EA">
        <w:t>.</w:t>
      </w:r>
      <w:r w:rsidR="00705AA9" w:rsidRPr="002539EA">
        <w:t xml:space="preserve"> </w:t>
      </w:r>
      <w:r w:rsidR="00731412" w:rsidRPr="002539EA">
        <w:t>The rainfall i</w:t>
      </w:r>
      <w:r w:rsidR="00820CCA" w:rsidRPr="002539EA">
        <w:t>nfiltrate</w:t>
      </w:r>
      <w:r w:rsidR="00F24DDB" w:rsidRPr="002539EA">
        <w:t>s</w:t>
      </w:r>
      <w:r w:rsidR="00731412" w:rsidRPr="002539EA">
        <w:t xml:space="preserve"> </w:t>
      </w:r>
      <w:r w:rsidR="00897D86" w:rsidRPr="002539EA">
        <w:t xml:space="preserve">to the water table and the deeper geologic framework </w:t>
      </w:r>
      <w:r w:rsidR="00A811DB" w:rsidRPr="002539EA">
        <w:t xml:space="preserve">if the soil </w:t>
      </w:r>
      <w:r w:rsidR="00897D86" w:rsidRPr="002539EA">
        <w:t>provides the permeability necessary for deeper flow</w:t>
      </w:r>
      <w:r w:rsidR="00670FD1" w:rsidRPr="002539EA">
        <w:t xml:space="preserve"> </w:t>
      </w:r>
      <w:r w:rsidR="00650A04" w:rsidRPr="002539EA">
        <w:rPr>
          <w:rStyle w:val="FootnoteReference"/>
        </w:rPr>
        <w:fldChar w:fldCharType="begin" w:fldLock="1"/>
      </w:r>
      <w:r w:rsidR="00A309A8" w:rsidRPr="002539EA">
        <w:instrText>ADDIN CSL_CITATION {"citationItems":[{"id":"ITEM-1","itemData":{"ISBN":"1004000101735","ISSN":"14312174","abstract":"Recharge is a fundamental component of groundwater systems, and in groundwater-modeling exercises recharge is either measured and specified or estimated during model calibration. The most appropriate way to represent recharge in a groundwater model depends upon both physical factors and study objectives. Where the water table is close to the land surface, as in humid climates or regions with low topographic relief, a constant-head boundary condition is used. Conversely, where the water table is relatively deep, as in drier climates or regions with high relief, a specified-flux boundary condition is used. In most modeling applications, mixed-type conditions are more effective, or a combination of the different types can be used. The relative distribution of recharge can be estimated from water-level data only, but flux observations must be incorporated in order to estimate rates of recharge. Flux measurements are based on either Darcian velocities (e.g., stream base-flow) or seepage velocities (e.g., groundwater age). In order to estimate the effective porosity independently, both types of flux measurements must be available. Recharge is often estimated more efficiently when automated inverse techniques are used. Other important applications are the delineation of areas contributing recharge to wells and the estimation of paleorecharge rates using carbon-14.","author":[{"dropping-particle":"","family":"Sanford","given":"Ward","non-dropping-particle":"","parse-names":false,"suffix":""}],"container-title":"Hydrogeology Journal","id":"ITEM-1","issue":"1","issued":{"date-parts":[["2002"]]},"page":"110-120","title":"Recharge and groundwater models: An overview","type":"article-journal","volume":"10"},"uris":["http://www.mendeley.com/documents/?uuid=da1685dc-3b70-4741-a13f-1fe17b3e1752","http://www.mendeley.com/documents/?uuid=58ebc5f8-a300-4d04-ba95-f9944736b8d5"]}],"mendeley":{"formattedCitation":"(Sanford, 2002)","plainTextFormattedCitation":"(Sanford, 2002)","previouslyFormattedCitation":"(Sanford, 2002)"},"properties":{"noteIndex":0},"schema":"https://github.com/citation-style-language/schema/raw/master/csl-citation.json"}</w:instrText>
      </w:r>
      <w:r w:rsidR="00650A04" w:rsidRPr="002539EA">
        <w:rPr>
          <w:rStyle w:val="FootnoteReference"/>
        </w:rPr>
        <w:fldChar w:fldCharType="separate"/>
      </w:r>
      <w:r w:rsidR="00E539F2" w:rsidRPr="002539EA">
        <w:rPr>
          <w:bCs/>
          <w:noProof/>
        </w:rPr>
        <w:t>(Sanford, 2002)</w:t>
      </w:r>
      <w:r w:rsidR="00650A04" w:rsidRPr="002539EA">
        <w:rPr>
          <w:rStyle w:val="FootnoteReference"/>
        </w:rPr>
        <w:fldChar w:fldCharType="end"/>
      </w:r>
      <w:r w:rsidR="00670FD1" w:rsidRPr="002539EA">
        <w:t>.</w:t>
      </w:r>
      <w:r w:rsidR="005B042D" w:rsidRPr="002539EA">
        <w:t xml:space="preserve"> </w:t>
      </w:r>
      <w:r w:rsidR="004E34A2" w:rsidRPr="002539EA">
        <w:t>T</w:t>
      </w:r>
      <w:r w:rsidR="009B4394" w:rsidRPr="002539EA">
        <w:t>he</w:t>
      </w:r>
      <w:r w:rsidR="00FC5EFB" w:rsidRPr="002539EA">
        <w:t xml:space="preserve"> soil permeability </w:t>
      </w:r>
      <w:r w:rsidR="00DF10C2" w:rsidRPr="002539EA">
        <w:t>is directly proportional to the effective porosity of soil</w:t>
      </w:r>
      <w:r w:rsidR="004E34A2" w:rsidRPr="002539EA">
        <w:t xml:space="preserve"> and </w:t>
      </w:r>
      <w:r w:rsidR="006B1449" w:rsidRPr="002539EA">
        <w:t>governs</w:t>
      </w:r>
      <w:r w:rsidR="00EA77A2" w:rsidRPr="002539EA">
        <w:t xml:space="preserve"> the best site </w:t>
      </w:r>
      <w:r w:rsidR="00DF10C2" w:rsidRPr="002539EA">
        <w:t>of</w:t>
      </w:r>
      <w:r w:rsidR="00FC5EFB" w:rsidRPr="002539EA">
        <w:t xml:space="preserve"> groundwater recharge</w:t>
      </w:r>
      <w:r w:rsidR="00DF10C2" w:rsidRPr="002539EA">
        <w:t xml:space="preserve">. </w:t>
      </w:r>
      <w:r w:rsidR="00441AF1" w:rsidRPr="002539EA">
        <w:t>The r</w:t>
      </w:r>
      <w:r w:rsidR="00857E2D" w:rsidRPr="002539EA">
        <w:t xml:space="preserve">ate of recharge is often limited by </w:t>
      </w:r>
      <w:r w:rsidR="00F24DDB" w:rsidRPr="002539EA">
        <w:t xml:space="preserve">the </w:t>
      </w:r>
      <w:r w:rsidR="00857E2D" w:rsidRPr="002539EA">
        <w:t xml:space="preserve">type and </w:t>
      </w:r>
      <w:r w:rsidR="00A363D6" w:rsidRPr="002539EA">
        <w:t xml:space="preserve">soil </w:t>
      </w:r>
      <w:r w:rsidR="00857E2D" w:rsidRPr="002539EA">
        <w:t>texture.</w:t>
      </w:r>
      <w:r w:rsidR="00705AA9" w:rsidRPr="002539EA">
        <w:t xml:space="preserve"> </w:t>
      </w:r>
    </w:p>
    <w:p w:rsidR="00AA092A" w:rsidRPr="002539EA" w:rsidRDefault="00170868" w:rsidP="003A024A">
      <w:r w:rsidRPr="002539EA">
        <w:lastRenderedPageBreak/>
        <w:t>Grain size, shape, structural arrangement</w:t>
      </w:r>
      <w:r w:rsidR="00857E2D" w:rsidRPr="002539EA">
        <w:t xml:space="preserve">, </w:t>
      </w:r>
      <w:r w:rsidRPr="002539EA">
        <w:t>voids ratio</w:t>
      </w:r>
      <w:r w:rsidR="00F24DDB" w:rsidRPr="002539EA">
        <w:t>,</w:t>
      </w:r>
      <w:r w:rsidRPr="002539EA">
        <w:t xml:space="preserve"> and other foreign matter</w:t>
      </w:r>
      <w:r w:rsidR="008041F5" w:rsidRPr="002539EA">
        <w:t xml:space="preserve"> </w:t>
      </w:r>
      <w:r w:rsidRPr="002539EA">
        <w:t xml:space="preserve">adsorbed in clayey soils </w:t>
      </w:r>
      <w:r w:rsidR="00F24DDB" w:rsidRPr="002539EA">
        <w:t>are</w:t>
      </w:r>
      <w:r w:rsidRPr="002539EA">
        <w:t xml:space="preserve"> the most influential factors </w:t>
      </w:r>
      <w:r w:rsidR="00857E2D" w:rsidRPr="002539EA">
        <w:t>of</w:t>
      </w:r>
      <w:r w:rsidRPr="002539EA">
        <w:t xml:space="preserve"> </w:t>
      </w:r>
      <w:r w:rsidR="00857E2D" w:rsidRPr="002539EA">
        <w:t xml:space="preserve">soil </w:t>
      </w:r>
      <w:r w:rsidRPr="002539EA">
        <w:t>permeability</w:t>
      </w:r>
      <w:r w:rsidR="00857E2D" w:rsidRPr="002539EA">
        <w:t xml:space="preserve"> </w:t>
      </w:r>
      <w:r w:rsidR="00650A04" w:rsidRPr="002539EA">
        <w:rPr>
          <w:rStyle w:val="FootnoteReference"/>
        </w:rPr>
        <w:fldChar w:fldCharType="begin" w:fldLock="1"/>
      </w:r>
      <w:r w:rsidR="00A309A8" w:rsidRPr="002539EA">
        <w:instrText>ADDIN CSL_CITATION {"citationItems":[{"id":"ITEM-1","itemData":{"ISBN":"978-81-318-0763-7","author":[{"dropping-particle":"","family":"Punmia","given":"B. C.","non-dropping-particle":"","parse-names":false,"suffix":""},{"dropping-particle":"","family":"Lal","given":"Pande Brij Basi","non-dropping-particle":"","parse-names":false,"suffix":""},{"dropping-particle":"","family":"Jain","given":"Ashok Kumar","non-dropping-particle":"","parse-names":false,"suffix":""},{"dropping-particle":"","family":"Jain","given":"Arun Kumar","non-dropping-particle":"","parse-names":false,"suffix":""}],"edition":"Sixteenth","id":"ITEM-1","issued":{"date-parts":[["2009"]]},"publisher":"Laxmi publication (p) LTD","publisher-place":"113, Golden house, Daryaganj, New Delhi-11002, India","title":"Irrigation and water power engineering","type":"book"},"uris":["http://www.mendeley.com/documents/?uuid=aa2f8b78-dd5c-44c3-9781-b1edb2ee7083","http://www.mendeley.com/documents/?uuid=5bbdfa0a-c52f-4884-a986-f3d8411502a7"]}],"mendeley":{"formattedCitation":"(Punmia et al., 2009)","plainTextFormattedCitation":"(Punmia et al., 2009)","previouslyFormattedCitation":"(Punmia et al., 2009)"},"properties":{"noteIndex":0},"schema":"https://github.com/citation-style-language/schema/raw/master/csl-citation.json"}</w:instrText>
      </w:r>
      <w:r w:rsidR="00650A04" w:rsidRPr="002539EA">
        <w:rPr>
          <w:rStyle w:val="FootnoteReference"/>
        </w:rPr>
        <w:fldChar w:fldCharType="separate"/>
      </w:r>
      <w:r w:rsidR="001626FB" w:rsidRPr="002539EA">
        <w:rPr>
          <w:noProof/>
        </w:rPr>
        <w:t>(Punmia et al., 2009)</w:t>
      </w:r>
      <w:r w:rsidR="00650A04" w:rsidRPr="002539EA">
        <w:rPr>
          <w:rStyle w:val="FootnoteReference"/>
        </w:rPr>
        <w:fldChar w:fldCharType="end"/>
      </w:r>
      <w:r w:rsidR="00BB0929" w:rsidRPr="002539EA">
        <w:t>.</w:t>
      </w:r>
      <w:r w:rsidR="008422FB" w:rsidRPr="002539EA">
        <w:t xml:space="preserve"> </w:t>
      </w:r>
      <w:r w:rsidR="00F24DDB" w:rsidRPr="002539EA">
        <w:t>The p</w:t>
      </w:r>
      <w:r w:rsidR="004C765D" w:rsidRPr="002539EA">
        <w:t xml:space="preserve">orous or permeable area containing </w:t>
      </w:r>
      <w:r w:rsidR="00F24DDB" w:rsidRPr="002539EA">
        <w:t xml:space="preserve">a </w:t>
      </w:r>
      <w:r w:rsidR="004C765D" w:rsidRPr="002539EA">
        <w:t>large amount of sand or gravel permits approximately 50% of precipitation to infiltrate the ground and contribute to groundwater</w:t>
      </w:r>
      <w:r w:rsidR="008422FB" w:rsidRPr="002539EA">
        <w:t xml:space="preserve"> </w:t>
      </w:r>
      <w:r w:rsidR="008422FB" w:rsidRPr="002539EA">
        <w:fldChar w:fldCharType="begin" w:fldLock="1"/>
      </w:r>
      <w:r w:rsidR="00A309A8" w:rsidRPr="002539EA">
        <w:instrText>ADDIN CSL_CITATION {"citationItems":[{"id":"ITEM-1","itemData":{"author":[{"dropping-particle":"","family":"Nagarajan","given":"Moni","non-dropping-particle":"","parse-names":false,"suffix":""},{"dropping-particle":"","family":"Singh","given":"Sujit","non-dropping-particle":"","parse-names":false,"suffix":""}],"container-title":"Journal of Indian Society of Remote Sensing","id":"ITEM-1","issued":{"date-parts":[["2009"]]},"page":"69-77","title":"Assessment of Groundwater potential zone using GIS Technique","type":"article-journal","volume":"37"},"uris":["http://www.mendeley.com/documents/?uuid=10a5bc4e-275a-47fa-84bd-60945cef81b4","http://www.mendeley.com/documents/?uuid=9dabb6ae-841b-4d6f-b6ac-1fbee3cfb9e2"]}],"mendeley":{"formattedCitation":"(Nagarajan &amp; Singh, 2009)","manualFormatting":"(Nagarajan and Singh, 2009)","plainTextFormattedCitation":"(Nagarajan &amp; Singh, 2009)","previouslyFormattedCitation":"(Nagarajan &amp; Singh, 2009)"},"properties":{"noteIndex":0},"schema":"https://github.com/citation-style-language/schema/raw/master/csl-citation.json"}</w:instrText>
      </w:r>
      <w:r w:rsidR="008422FB" w:rsidRPr="002539EA">
        <w:fldChar w:fldCharType="separate"/>
      </w:r>
      <w:r w:rsidR="00E230CE" w:rsidRPr="002539EA">
        <w:rPr>
          <w:noProof/>
        </w:rPr>
        <w:t>(Nagarajan and</w:t>
      </w:r>
      <w:r w:rsidR="00A108C4" w:rsidRPr="002539EA">
        <w:rPr>
          <w:noProof/>
        </w:rPr>
        <w:t xml:space="preserve"> Singh, 2009)</w:t>
      </w:r>
      <w:r w:rsidR="008422FB" w:rsidRPr="002539EA">
        <w:fldChar w:fldCharType="end"/>
      </w:r>
      <w:r w:rsidR="008422FB" w:rsidRPr="002539EA">
        <w:t xml:space="preserve">. </w:t>
      </w:r>
      <w:r w:rsidR="00677D64" w:rsidRPr="002539EA">
        <w:t xml:space="preserve">The permeability of loamy sand </w:t>
      </w:r>
      <w:r w:rsidR="00161457" w:rsidRPr="002539EA">
        <w:t xml:space="preserve">and silt clay loam </w:t>
      </w:r>
      <w:r w:rsidR="00677D64" w:rsidRPr="002539EA">
        <w:t>is very high</w:t>
      </w:r>
      <w:r w:rsidR="00161457" w:rsidRPr="002539EA">
        <w:t xml:space="preserve"> </w:t>
      </w:r>
      <w:r w:rsidR="005905A1" w:rsidRPr="002539EA">
        <w:t>and medium</w:t>
      </w:r>
      <w:r w:rsidR="00677D64" w:rsidRPr="002539EA">
        <w:t xml:space="preserve"> to moderate</w:t>
      </w:r>
      <w:r w:rsidR="005905A1" w:rsidRPr="002539EA">
        <w:t>,</w:t>
      </w:r>
      <w:r w:rsidR="00161457" w:rsidRPr="002539EA">
        <w:t xml:space="preserve"> respectively</w:t>
      </w:r>
      <w:r w:rsidR="00677D64" w:rsidRPr="002539EA">
        <w:t>. In clay loam permeability is poor, in sandy clay loam permeability is moderate to high. In coarse granule loam</w:t>
      </w:r>
      <w:r w:rsidR="00F24DDB" w:rsidRPr="002539EA">
        <w:t>,</w:t>
      </w:r>
      <w:r w:rsidR="00677D64" w:rsidRPr="002539EA">
        <w:t xml:space="preserve"> it is high and rapid flow. In coarse sandy loam permeability is medium</w:t>
      </w:r>
      <w:r w:rsidR="00B939A3" w:rsidRPr="002539EA">
        <w:t xml:space="preserve"> </w:t>
      </w:r>
      <w:r w:rsidR="00650A04" w:rsidRPr="002539EA">
        <w:rPr>
          <w:rStyle w:val="FootnoteReference"/>
        </w:rPr>
        <w:fldChar w:fldCharType="begin" w:fldLock="1"/>
      </w:r>
      <w:r w:rsidR="00A309A8" w:rsidRPr="002539EA">
        <w:instrText>ADDIN CSL_CITATION {"citationItems":[{"id":"ITEM-1","itemData":{"author":[{"dropping-particle":"","family":"Kaliraj","given":"S.","non-dropping-particle":"","parse-names":false,"suffix":""},{"dropping-particle":"","family":"Chandrasekar","given":"N.","non-dropping-particle":"","parse-names":false,"suffix":""},{"dropping-particle":"","family":"Magesh","given":"N. S.","non-dropping-particle":"","parse-names":false,"suffix":""}],"container-title":"Arabian Journal of Geosciences","id":"ITEM-1","issue":"4","issued":{"date-parts":[["2014"]]},"page":"1385–1401","title":"Identification of potential groundwater recharge zones in Vaigai upper basin, Tamil Nadu, using GIS-based analytical hierarchical process (AHP) technique","type":"article-journal","volume":"7"},"uris":["http://www.mendeley.com/documents/?uuid=f630fb68-fad8-495a-9cb7-40cf3e0e65c9","http://www.mendeley.com/documents/?uuid=43fe130c-a7fc-49e0-a9c4-b455b559fb91"]}],"mendeley":{"formattedCitation":"(Kaliraj et al., 2014)","plainTextFormattedCitation":"(Kaliraj et al., 2014)","previouslyFormattedCitation":"(Kaliraj et al., 2014)"},"properties":{"noteIndex":0},"schema":"https://github.com/citation-style-language/schema/raw/master/csl-citation.json"}</w:instrText>
      </w:r>
      <w:r w:rsidR="00650A04" w:rsidRPr="002539EA">
        <w:rPr>
          <w:rStyle w:val="FootnoteReference"/>
        </w:rPr>
        <w:fldChar w:fldCharType="separate"/>
      </w:r>
      <w:r w:rsidR="00A108C4" w:rsidRPr="002539EA">
        <w:rPr>
          <w:bCs/>
          <w:noProof/>
        </w:rPr>
        <w:t>(Kaliraj et al., 2014)</w:t>
      </w:r>
      <w:r w:rsidR="00650A04" w:rsidRPr="002539EA">
        <w:rPr>
          <w:rStyle w:val="FootnoteReference"/>
        </w:rPr>
        <w:fldChar w:fldCharType="end"/>
      </w:r>
      <w:r w:rsidR="00E00E21" w:rsidRPr="002539EA">
        <w:t>.</w:t>
      </w:r>
      <w:r w:rsidR="00C0674A" w:rsidRPr="002539EA">
        <w:t xml:space="preserve"> </w:t>
      </w:r>
    </w:p>
    <w:p w:rsidR="000A7B85" w:rsidRPr="002539EA" w:rsidRDefault="00EC6C4A" w:rsidP="003A024A">
      <w:pPr>
        <w:pStyle w:val="Heading2"/>
        <w:numPr>
          <w:ilvl w:val="1"/>
          <w:numId w:val="1"/>
        </w:numPr>
        <w:rPr>
          <w:szCs w:val="24"/>
        </w:rPr>
      </w:pPr>
      <w:bookmarkStart w:id="86" w:name="_Toc68025065"/>
      <w:bookmarkStart w:id="87" w:name="_Toc68761548"/>
      <w:r w:rsidRPr="002539EA">
        <w:rPr>
          <w:szCs w:val="24"/>
        </w:rPr>
        <w:t>AHP</w:t>
      </w:r>
      <w:r w:rsidR="00952048" w:rsidRPr="002539EA">
        <w:rPr>
          <w:szCs w:val="24"/>
        </w:rPr>
        <w:t xml:space="preserve"> </w:t>
      </w:r>
      <w:r w:rsidR="001B3728" w:rsidRPr="002539EA">
        <w:rPr>
          <w:szCs w:val="24"/>
        </w:rPr>
        <w:t xml:space="preserve">and its </w:t>
      </w:r>
      <w:r w:rsidR="00B45BC0" w:rsidRPr="002539EA">
        <w:rPr>
          <w:szCs w:val="24"/>
        </w:rPr>
        <w:t xml:space="preserve">Application </w:t>
      </w:r>
      <w:r w:rsidR="001B3728" w:rsidRPr="002539EA">
        <w:rPr>
          <w:szCs w:val="24"/>
        </w:rPr>
        <w:t xml:space="preserve">for </w:t>
      </w:r>
      <w:r w:rsidR="00B45BC0" w:rsidRPr="002539EA">
        <w:rPr>
          <w:szCs w:val="24"/>
        </w:rPr>
        <w:t>Groundwater Potential Zone Mapping</w:t>
      </w:r>
      <w:bookmarkEnd w:id="86"/>
      <w:bookmarkEnd w:id="87"/>
    </w:p>
    <w:p w:rsidR="00D768AF" w:rsidRPr="002539EA" w:rsidRDefault="00835E0D" w:rsidP="003A024A">
      <w:r w:rsidRPr="002539EA">
        <w:t xml:space="preserve">The </w:t>
      </w:r>
      <w:r w:rsidR="00EB569B" w:rsidRPr="002539EA">
        <w:t xml:space="preserve">AHP </w:t>
      </w:r>
      <w:r w:rsidRPr="002539EA">
        <w:t xml:space="preserve">is a powerful and flexible </w:t>
      </w:r>
      <w:r w:rsidR="00E6665B" w:rsidRPr="002539EA">
        <w:t>decision-making</w:t>
      </w:r>
      <w:r w:rsidRPr="002539EA">
        <w:t xml:space="preserve"> process</w:t>
      </w:r>
      <w:r w:rsidR="002E3B8A" w:rsidRPr="002539EA">
        <w:t xml:space="preserve"> </w:t>
      </w:r>
      <w:r w:rsidRPr="002539EA">
        <w:t>to help people set priorities and make the best decision when both qualitative and quantitative aspects of a decision need to be considered</w:t>
      </w:r>
      <w:r w:rsidR="005A166C" w:rsidRPr="002539EA">
        <w:t xml:space="preserve"> </w:t>
      </w:r>
      <w:r w:rsidR="00650A04" w:rsidRPr="002539EA">
        <w:rPr>
          <w:rStyle w:val="FootnoteReference"/>
        </w:rPr>
        <w:fldChar w:fldCharType="begin" w:fldLock="1"/>
      </w:r>
      <w:r w:rsidR="00A309A8" w:rsidRPr="002539EA">
        <w:instrText>ADDIN CSL_CITATION {"citationItems":[{"id":"ITEM-1","itemData":{"author":[{"dropping-particle":"","family":"Saaty","given":"T. L.","non-dropping-particle":"","parse-names":false,"suffix":""},{"dropping-particle":"","family":"Kearns","given":"K.P","non-dropping-particle":"","parse-names":false,"suffix":""}],"id":"ITEM-1","issued":{"date-parts":[["1985"]]},"number-of-pages":"19-62","publisher":"McGraw Hill","publisher-place":"New York, USA","title":"The Analytic Hierarchy Process, Decision analysis","type":"book"},"uris":["http://www.mendeley.com/documents/?uuid=af7a3c38-202c-4b3b-a6e1-5cb7c845bdc5","http://www.mendeley.com/documents/?uuid=7ad366af-a050-40a5-a4dc-e62cee313bc2"]},{"id":"ITEM-2","itemData":{"author":[{"dropping-particle":"","family":"Fatti","given":"L. P.","non-dropping-particle":"","parse-names":false,"suffix":""}],"container-title":"Journal of Operational Research","id":"ITEM-2","issue":"1","issued":{"date-parts":[["1989"]]},"page":"107-109","title":"Decision making for leaders: The analytic hierarchy process for decisions in a complex world","type":"article-journal","volume":"42"},"uris":["http://www.mendeley.com/documents/?uuid=8f098bdc-c9d2-4adc-b107-6798697065a3","http://www.mendeley.com/documents/?uuid=f132f368-548b-46d4-b712-b458018e387b"]},{"id":"ITEM-3","itemData":{"author":[{"dropping-particle":"","family":"Saaty","given":"T. L.","non-dropping-particle":"","parse-names":false,"suffix":""}],"id":"ITEM-3","issued":{"date-parts":[["2000"]]},"publisher":"RWS Publications","publisher-place":"Pittsburgh, USA","title":"Fundamentals of decision making and priority theory with the analytic hierarchy process","type":"book"},"uris":["http://www.mendeley.com/documents/?uuid=8cc56ccc-4241-4483-beac-59fb6de7adf7","http://www.mendeley.com/documents/?uuid=6a0804bc-88e4-48fc-98de-534503ae26c0"]},{"id":"ITEM-4","itemData":{"ISSN":"20100248","abstract":"The objective of the study is to optimize the strategies built by SWOT (Strength, Weakness, Opportunity, and Threat) - QSPM (Quantitative Strategic Planning Matrix) that would help the policy maker and to rationalize the dilemma in decision making to fabricate environmental protection policies, laws and standards .These laws for coastal resources against the anthropogenic activities will help curb deteriorating impacts on environmental components that was identified from the RIAM (Rapid Impact Assessment Matrix) process in the State of Kuwait. Optimizing and rationalizing of the strategies are performed with the concept of AHP (Analytic Hierarchy Process) /ANP (Analytical Network Process) utilizing multi-criteria decision (MCD) making software - SuperDecision.AHP/ANP with SuperDecision has often helped as an effective means of dealing with complex decision-making for the strategies to be prioritized, optimized and rationalized. AHP/ANP helps capture both subjective and objective evaluation measures, providing a useful mechanism for checking their consistency relative to considered alternatives, thus reducing bias in decision making particularly during the SWOT-QSPM process. The new priorities generated by optimizing and rationalized by AHP/ANP Model was the best fit strategies for effective policy construction to tackle the coastal deterioration. [PUBLICATION ABSTRACT]","author":[{"dropping-particle":"","family":"Baby","given":"Saji","non-dropping-particle":"","parse-names":false,"suffix":""}],"container-title":"International Journal of Innovation, Management and Technology","id":"ITEM-4","issue":"2","issued":{"date-parts":[["2013"]]},"page":"218-227","title":"AHP Modeling for multicriteria decision-making and to optimise strategies for protecting Coastal Landscape resources","type":"article-journal","volume":"4"},"uris":["http://www.mendeley.com/documents/?uuid=4eb57964-a300-4c9c-8f7e-b0bce4c95988","http://www.mendeley.com/documents/?uuid=86b60fa8-7a68-45ca-9e6f-0c3418b19c26"]}],"mendeley":{"formattedCitation":"(Baby, 2013; Fatti, 1989; Saaty, 2000; Saaty &amp; Kearns, 1985)","manualFormatting":"(Baby, 2013; Fatti, 1989; Saaty, 2000; Saaty and Kearns, 1985)","plainTextFormattedCitation":"(Baby, 2013; Fatti, 1989; Saaty, 2000; Saaty &amp; Kearns, 1985)","previouslyFormattedCitation":"(Baby, 2013; Fatti, 1989; Saaty, 2000; Saaty &amp; Kearns, 1985)"},"properties":{"noteIndex":0},"schema":"https://github.com/citation-style-language/schema/raw/master/csl-citation.json"}</w:instrText>
      </w:r>
      <w:r w:rsidR="00650A04" w:rsidRPr="002539EA">
        <w:rPr>
          <w:rStyle w:val="FootnoteReference"/>
        </w:rPr>
        <w:fldChar w:fldCharType="separate"/>
      </w:r>
      <w:r w:rsidR="00086E90" w:rsidRPr="002539EA">
        <w:rPr>
          <w:noProof/>
        </w:rPr>
        <w:t xml:space="preserve">(Baby, 2013; Fatti, 1989; Saaty, 2000; Saaty </w:t>
      </w:r>
      <w:r w:rsidR="00E230CE" w:rsidRPr="002539EA">
        <w:rPr>
          <w:noProof/>
        </w:rPr>
        <w:t>and</w:t>
      </w:r>
      <w:r w:rsidR="00086E90" w:rsidRPr="002539EA">
        <w:rPr>
          <w:noProof/>
        </w:rPr>
        <w:t xml:space="preserve"> Kearns, 1985)</w:t>
      </w:r>
      <w:r w:rsidR="00650A04" w:rsidRPr="002539EA">
        <w:rPr>
          <w:rStyle w:val="FootnoteReference"/>
        </w:rPr>
        <w:fldChar w:fldCharType="end"/>
      </w:r>
      <w:r w:rsidR="005A66CE" w:rsidRPr="002539EA">
        <w:t>.</w:t>
      </w:r>
      <w:r w:rsidR="00544305" w:rsidRPr="002539EA">
        <w:t xml:space="preserve"> It </w:t>
      </w:r>
      <w:r w:rsidRPr="002539EA">
        <w:t xml:space="preserve">is </w:t>
      </w:r>
      <w:r w:rsidR="00F250CF" w:rsidRPr="002539EA">
        <w:t>the</w:t>
      </w:r>
      <w:r w:rsidRPr="002539EA">
        <w:t xml:space="preserve"> </w:t>
      </w:r>
      <w:r w:rsidR="00FA5BF4" w:rsidRPr="002539EA">
        <w:t>most highly re</w:t>
      </w:r>
      <w:r w:rsidR="00110EA7" w:rsidRPr="002539EA">
        <w:t>garded and widely used decision-</w:t>
      </w:r>
      <w:r w:rsidR="00FA5BF4" w:rsidRPr="002539EA">
        <w:t xml:space="preserve">making theory developed </w:t>
      </w:r>
      <w:r w:rsidR="009B6AF9" w:rsidRPr="002539EA">
        <w:t>in the 1970</w:t>
      </w:r>
      <w:r w:rsidR="00FA5BF4" w:rsidRPr="002539EA">
        <w:t>s by Dr. Thomas Saaty</w:t>
      </w:r>
      <w:r w:rsidR="001D2CF1" w:rsidRPr="002539EA">
        <w:t xml:space="preserve">. </w:t>
      </w:r>
      <w:r w:rsidR="00321F5E" w:rsidRPr="002539EA">
        <w:t>It</w:t>
      </w:r>
      <w:r w:rsidR="0073655F" w:rsidRPr="002539EA">
        <w:t xml:space="preserve"> resolve</w:t>
      </w:r>
      <w:r w:rsidR="00110EA7" w:rsidRPr="002539EA">
        <w:t>s</w:t>
      </w:r>
      <w:r w:rsidR="0073655F" w:rsidRPr="002539EA">
        <w:t xml:space="preserve"> highly complex decision-making problems involving multiple scenarios, criteria and actors</w:t>
      </w:r>
      <w:r w:rsidR="00C97D43" w:rsidRPr="002539EA">
        <w:t>.</w:t>
      </w:r>
      <w:r w:rsidR="001D2CF1" w:rsidRPr="002539EA">
        <w:t xml:space="preserve"> AHP may be a</w:t>
      </w:r>
      <w:r w:rsidR="00110EA7" w:rsidRPr="002539EA">
        <w:t>pplied for general problem-</w:t>
      </w:r>
      <w:r w:rsidR="001D2CF1" w:rsidRPr="002539EA">
        <w:t>solving in making complex decision</w:t>
      </w:r>
      <w:r w:rsidR="00DE3D46" w:rsidRPr="002539EA">
        <w:t xml:space="preserve">s based on </w:t>
      </w:r>
      <w:r w:rsidR="001D2CF1" w:rsidRPr="002539EA">
        <w:t xml:space="preserve">variables that do not have exact numerical consequences </w:t>
      </w:r>
      <w:r w:rsidR="00650A04" w:rsidRPr="002539EA">
        <w:rPr>
          <w:rStyle w:val="FootnoteReference"/>
        </w:rPr>
        <w:fldChar w:fldCharType="begin" w:fldLock="1"/>
      </w:r>
      <w:r w:rsidR="00A309A8" w:rsidRPr="002539EA">
        <w:instrText>ADDIN CSL_CITATION {"citationItems":[{"id":"ITEM-1","itemData":{"ISSN":"20100248","abstract":"The objective of the study is to optimize the strategies built by SWOT (Strength, Weakness, Opportunity, and Threat) - QSPM (Quantitative Strategic Planning Matrix) that would help the policy maker and to rationalize the dilemma in decision making to fabricate environmental protection policies, laws and standards .These laws for coastal resources against the anthropogenic activities will help curb deteriorating impacts on environmental components that was identified from the RIAM (Rapid Impact Assessment Matrix) process in the State of Kuwait. Optimizing and rationalizing of the strategies are performed with the concept of AHP (Analytic Hierarchy Process) /ANP (Analytical Network Process) utilizing multi-criteria decision (MCD) making software - SuperDecision.AHP/ANP with SuperDecision has often helped as an effective means of dealing with complex decision-making for the strategies to be prioritized, optimized and rationalized. AHP/ANP helps capture both subjective and objective evaluation measures, providing a useful mechanism for checking their consistency relative to considered alternatives, thus reducing bias in decision making particularly during the SWOT-QSPM process. The new priorities generated by optimizing and rationalized by AHP/ANP Model was the best fit strategies for effective policy construction to tackle the coastal deterioration. [PUBLICATION ABSTRACT]","author":[{"dropping-particle":"","family":"Baby","given":"Saji","non-dropping-particle":"","parse-names":false,"suffix":""}],"container-title":"International Journal of Innovation, Management and Technology","id":"ITEM-1","issue":"2","issued":{"date-parts":[["2013"]]},"page":"218-227","title":"AHP Modeling for multicriteria decision-making and to optimise strategies for protecting Coastal Landscape resources","type":"article-journal","volume":"4"},"uris":["http://www.mendeley.com/documents/?uuid=86b60fa8-7a68-45ca-9e6f-0c3418b19c26","http://www.mendeley.com/documents/?uuid=4eb57964-a300-4c9c-8f7e-b0bce4c95988"]}],"mendeley":{"formattedCitation":"(Baby, 2013)","plainTextFormattedCitation":"(Baby, 2013)","previouslyFormattedCitation":"(Baby, 2013)"},"properties":{"noteIndex":0},"schema":"https://github.com/citation-style-language/schema/raw/master/csl-citation.json"}</w:instrText>
      </w:r>
      <w:r w:rsidR="00650A04" w:rsidRPr="002539EA">
        <w:rPr>
          <w:rStyle w:val="FootnoteReference"/>
        </w:rPr>
        <w:fldChar w:fldCharType="separate"/>
      </w:r>
      <w:r w:rsidR="00E539F2" w:rsidRPr="002539EA">
        <w:rPr>
          <w:bCs/>
          <w:noProof/>
        </w:rPr>
        <w:t>(Baby, 2013)</w:t>
      </w:r>
      <w:r w:rsidR="00650A04" w:rsidRPr="002539EA">
        <w:rPr>
          <w:rStyle w:val="FootnoteReference"/>
        </w:rPr>
        <w:fldChar w:fldCharType="end"/>
      </w:r>
      <w:r w:rsidR="001D2CF1" w:rsidRPr="002539EA">
        <w:t>.</w:t>
      </w:r>
      <w:r w:rsidR="00381364" w:rsidRPr="002539EA">
        <w:t xml:space="preserve"> </w:t>
      </w:r>
      <w:r w:rsidR="00A13A77" w:rsidRPr="002539EA">
        <w:t>The simplicity</w:t>
      </w:r>
      <w:r w:rsidR="006D4133" w:rsidRPr="002539EA">
        <w:t xml:space="preserve">, </w:t>
      </w:r>
      <w:r w:rsidR="00A13A77" w:rsidRPr="002539EA">
        <w:t xml:space="preserve">need of </w:t>
      </w:r>
      <w:r w:rsidR="00205FF6" w:rsidRPr="002539EA">
        <w:t xml:space="preserve">statistically </w:t>
      </w:r>
      <w:r w:rsidR="00A13A77" w:rsidRPr="002539EA">
        <w:t>insignificant sample size</w:t>
      </w:r>
      <w:r w:rsidR="00CA4D67" w:rsidRPr="002539EA">
        <w:t>,</w:t>
      </w:r>
      <w:r w:rsidR="00A13A77" w:rsidRPr="002539EA">
        <w:t xml:space="preserve"> </w:t>
      </w:r>
      <w:r w:rsidR="00ED7435" w:rsidRPr="002539EA">
        <w:t xml:space="preserve">and removal of the need for complex survey designs </w:t>
      </w:r>
      <w:r w:rsidR="00FF03F3" w:rsidRPr="002539EA">
        <w:t>make</w:t>
      </w:r>
      <w:r w:rsidR="00CA4D67" w:rsidRPr="002539EA">
        <w:t xml:space="preserve"> the</w:t>
      </w:r>
      <w:r w:rsidR="00A13A77" w:rsidRPr="002539EA">
        <w:t xml:space="preserve"> AHP approach </w:t>
      </w:r>
      <w:r w:rsidR="00FF03F3" w:rsidRPr="002539EA">
        <w:t xml:space="preserve">more </w:t>
      </w:r>
      <w:r w:rsidR="00A13A77" w:rsidRPr="002539EA">
        <w:t xml:space="preserve">advantageous </w:t>
      </w:r>
      <w:r w:rsidR="00FF03F3" w:rsidRPr="002539EA">
        <w:t xml:space="preserve">over another </w:t>
      </w:r>
      <w:r w:rsidR="00F0540D" w:rsidRPr="002539EA">
        <w:t>method</w:t>
      </w:r>
      <w:r w:rsidR="006D4133" w:rsidRPr="002539EA">
        <w:t>.</w:t>
      </w:r>
      <w:r w:rsidR="00FB2ACD" w:rsidRPr="002539EA">
        <w:t xml:space="preserve"> </w:t>
      </w:r>
      <w:r w:rsidR="009231EC" w:rsidRPr="002539EA">
        <w:t xml:space="preserve">AHP was selected over other multi-attribute value techniques because it includes systematic checks on the consistency of </w:t>
      </w:r>
      <w:r w:rsidR="00831190" w:rsidRPr="002539EA">
        <w:t>judgments</w:t>
      </w:r>
      <w:r w:rsidR="00F9442D" w:rsidRPr="002539EA">
        <w:t xml:space="preserve"> </w:t>
      </w:r>
      <w:r w:rsidR="00F9442D" w:rsidRPr="002539EA">
        <w:fldChar w:fldCharType="begin" w:fldLock="1"/>
      </w:r>
      <w:r w:rsidR="00A309A8" w:rsidRPr="002539EA">
        <w:instrText>ADDIN CSL_CITATION {"citationItems":[{"id":"ITEM-1","itemData":{"author":[{"dropping-particle":"","family":"Chowdhury","given":"A.","non-dropping-particle":"","parse-names":false,"suffix":""},{"dropping-particle":"","family":"Jha","given":"M.K.","non-dropping-particle":"","parse-names":false,"suffix":""},{"dropping-particle":"","family":"Chowdary","given":"V.M.","non-dropping-particle":"","parse-names":false,"suffix":""},{"dropping-particle":"","family":"Mal","given":"B.C.","non-dropping-particle":"","parse-names":false,"suffix":""}],"container-title":"International Journal of Remote Sensing","id":"ITEM-1","issue":"1","issued":{"date-parts":[["2009"]]},"page":"231-250","title":"Integrated remote sensing and GIS</w:instrText>
      </w:r>
      <w:r w:rsidR="00A309A8" w:rsidRPr="002539EA">
        <w:rPr>
          <w:rFonts w:ascii="Cambria Math" w:hAnsi="Cambria Math" w:cs="Cambria Math"/>
        </w:rPr>
        <w:instrText>‐</w:instrText>
      </w:r>
      <w:r w:rsidR="00A309A8" w:rsidRPr="002539EA">
        <w:instrText>based approach for assessing groundwater potential in West Medinipur district, West Bengal, India.","type":"article-journal","volume":"30"},"uris":["http://www.mendeley.com/documents/?uuid=adff2bb6-bfae-46c7-8a4b-96f525943143","http://www.mendeley.com/documents/?uuid=fbea4c41-e634-4f8b-9fd6-70f7f58e408c"]},{"id":"ITEM-2","itemData":{"author":[{"dropping-particle":"","family":"Fashae","given":"O.A.","non-dropping-particle":"","parse-names":false,"suffix":""},{"dropping-particle":"","family":"Tijani","given":"M.N.","non-dropping-particle":"","parse-names":false,"suffix":""},{"dropping-particle":"","family":"Talabi","given":"A.O.","non-dropping-particle":"","parse-names":false,"suffix":""},{"dropping-particle":"","family":"Adedeji","given":"O.I.","non-dropping-particle":"","parse-names":false,"suffix":""}],"container-title":"Applied Water Science","id":"ITEM-2","issue":"1","issued":{"date-parts":[["2013"]]},"page":"19-38","title":"Delineation of groundwater potential zones in the crystalline basement terrain of SW-Nigeria: an integrated GIS and remote sensing approach.","type":"article-journal","volume":"4"},"uris":["http://www.mendeley.com/documents/?uuid=c44b2eb2-9eec-4752-9bd2-8f9eef993e56","http://www.mendeley.com/documents/?uuid=c1795afb-3ebd-43b6-95d4-a113383e14e4"]}],"mendeley":{"formattedCitation":"(Chowdhury et al., 2009; Fashae et al., 2013)","plainTextFormattedCitation":"(Chowdhury et al., 2009; Fashae et al., 2013)","previouslyFormattedCitation":"(Chowdhury et al., 2009; Fashae et al., 2013)"},"properties":{"noteIndex":0},"schema":"https://github.com/citation-style-language/schema/raw/master/csl-citation.json"}</w:instrText>
      </w:r>
      <w:r w:rsidR="00F9442D" w:rsidRPr="002539EA">
        <w:fldChar w:fldCharType="separate"/>
      </w:r>
      <w:r w:rsidR="001626FB" w:rsidRPr="002539EA">
        <w:rPr>
          <w:noProof/>
        </w:rPr>
        <w:t>(Chowdhury et al., 2009; Fashae et al., 2013)</w:t>
      </w:r>
      <w:r w:rsidR="00F9442D" w:rsidRPr="002539EA">
        <w:fldChar w:fldCharType="end"/>
      </w:r>
      <w:r w:rsidR="00D768AF" w:rsidRPr="002539EA">
        <w:t xml:space="preserve">. </w:t>
      </w:r>
      <w:r w:rsidR="0073655F" w:rsidRPr="002539EA">
        <w:t>The</w:t>
      </w:r>
      <w:r w:rsidR="00A13A77" w:rsidRPr="002539EA">
        <w:t xml:space="preserve"> </w:t>
      </w:r>
      <w:r w:rsidR="00CC2707" w:rsidRPr="002539EA">
        <w:t>M</w:t>
      </w:r>
      <w:r w:rsidR="00143F5A" w:rsidRPr="002539EA">
        <w:t xml:space="preserve">ulti-criteria decision analysis </w:t>
      </w:r>
      <w:r w:rsidR="00CC2707" w:rsidRPr="002539EA">
        <w:t>tool has been applied by various researchers to im</w:t>
      </w:r>
      <w:r w:rsidR="007D76C0" w:rsidRPr="002539EA">
        <w:t>prove their management ability</w:t>
      </w:r>
      <w:r w:rsidR="0062643E" w:rsidRPr="002539EA">
        <w:t xml:space="preserve"> </w:t>
      </w:r>
      <w:r w:rsidR="00650A04" w:rsidRPr="002539EA">
        <w:rPr>
          <w:rStyle w:val="FootnoteReference"/>
        </w:rPr>
        <w:fldChar w:fldCharType="begin" w:fldLock="1"/>
      </w:r>
      <w:r w:rsidR="00A309A8" w:rsidRPr="002539EA">
        <w:instrText>ADDIN CSL_CITATION {"citationItems":[{"id":"ITEM-1","itemData":{"author":[{"dropping-particle":"","family":"Rahmati","given":"O.","non-dropping-particle":"","parse-names":false,"suffix":""},{"dropping-particle":"","family":"Nazari Samani","given":"A.","non-dropping-particle":"","parse-names":false,"suffix":""},{"dropping-particle":"","family":"Mahdavi","given":"M.","non-dropping-particle":"","parse-names":false,"suffix":""},{"dropping-particle":"","family":"Pourghasemi","given":"H. R.","non-dropping-particle":"","parse-names":false,"suffix":""},{"dropping-particle":"","family":"Zeinivand","given":"H.","non-dropping-particle":"","parse-names":false,"suffix":""}],"container-title":"Arabian Journal of Geosciences","id":"ITEM-1","issue":"9","issued":{"date-parts":[["2015"]]},"page":"7059–7071","title":"Groundwater potential mapping at Kurdistan region of Iran using analytic hierarchy process and GIS","type":"article-journal","volume":"8"},"uris":["http://www.mendeley.com/documents/?uuid=c1fe96ff-5774-4e9f-b56d-7614621ef783","http://www.mendeley.com/documents/?uuid=554f3b32-4808-4d27-bf2e-0c79f4eb75d1"]}],"mendeley":{"formattedCitation":"(Rahmati et al., 2015)","plainTextFormattedCitation":"(Rahmati et al., 2015)","previouslyFormattedCitation":"(Rahmati et al., 2015)"},"properties":{"noteIndex":0},"schema":"https://github.com/citation-style-language/schema/raw/master/csl-citation.json"}</w:instrText>
      </w:r>
      <w:r w:rsidR="00650A04" w:rsidRPr="002539EA">
        <w:rPr>
          <w:rStyle w:val="FootnoteReference"/>
        </w:rPr>
        <w:fldChar w:fldCharType="separate"/>
      </w:r>
      <w:r w:rsidR="001626FB" w:rsidRPr="002539EA">
        <w:rPr>
          <w:bCs/>
          <w:noProof/>
        </w:rPr>
        <w:t>(Rahmati et al., 2015)</w:t>
      </w:r>
      <w:r w:rsidR="00650A04" w:rsidRPr="002539EA">
        <w:rPr>
          <w:rStyle w:val="FootnoteReference"/>
        </w:rPr>
        <w:fldChar w:fldCharType="end"/>
      </w:r>
      <w:r w:rsidR="0062643E" w:rsidRPr="002539EA">
        <w:t>.</w:t>
      </w:r>
      <w:r w:rsidR="00E53249" w:rsidRPr="002539EA">
        <w:t xml:space="preserve"> </w:t>
      </w:r>
    </w:p>
    <w:p w:rsidR="005B042D" w:rsidRPr="002539EA" w:rsidRDefault="00CA4D67" w:rsidP="003A024A">
      <w:r w:rsidRPr="002539EA">
        <w:t>Various studies</w:t>
      </w:r>
      <w:r w:rsidR="00B85AE2" w:rsidRPr="002539EA">
        <w:t xml:space="preserve"> conducted on groundwater potential demonstrate</w:t>
      </w:r>
      <w:r w:rsidRPr="002539EA">
        <w:t>s</w:t>
      </w:r>
      <w:r w:rsidR="00B85AE2" w:rsidRPr="002539EA">
        <w:t xml:space="preserve"> </w:t>
      </w:r>
      <w:r w:rsidR="002D240E" w:rsidRPr="002539EA">
        <w:t>decision-making</w:t>
      </w:r>
      <w:r w:rsidR="00D35CD2" w:rsidRPr="002539EA">
        <w:t xml:space="preserve"> analysis methods to determine individual class and factor </w:t>
      </w:r>
      <w:r w:rsidR="009277C5" w:rsidRPr="002539EA">
        <w:t xml:space="preserve">maps weight </w:t>
      </w:r>
      <w:r w:rsidR="00D35CD2" w:rsidRPr="002539EA">
        <w:t xml:space="preserve">based on Saaty’s </w:t>
      </w:r>
      <w:r w:rsidR="004B036A" w:rsidRPr="002539EA">
        <w:t>9-point</w:t>
      </w:r>
      <w:r w:rsidR="00D35CD2" w:rsidRPr="002539EA">
        <w:t xml:space="preserve"> continuous scale</w:t>
      </w:r>
      <w:r w:rsidR="00AB192F" w:rsidRPr="002539EA">
        <w:t xml:space="preserve"> </w:t>
      </w:r>
      <w:r w:rsidR="00650A04" w:rsidRPr="002539EA">
        <w:rPr>
          <w:rStyle w:val="FootnoteReference"/>
        </w:rPr>
        <w:fldChar w:fldCharType="begin" w:fldLock="1"/>
      </w:r>
      <w:r w:rsidR="00A309A8" w:rsidRPr="002539EA">
        <w:instrText>ADDIN CSL_CITATION {"citationItems":[{"id":"ITEM-1","itemData":{"ISBN":"7631133131","ISSN":"16821750","abstract":"The purpose of the present study is to use Geographical Information Systems (GISs) for determining the best areas having ground water potential in Baft city. To achieve this objective, parameters such as precipitation, slope, fault, vegetation, land cover and lithology were used. Regarding different weight of these parameters effect, Analytic Hierarchy Process (AHP) was used. After developing informational layers in GIS and weighing each of them, a model was developed. The final map of ground waters potential was calculated through the above-mentioned model. Through applying our developed model four areas having high, average, low potential and without required potential distinguished. Results of this research indicated that 0.74, 41.23 and 45.63 percent of the area had high, average and low potential, respectively. Moreover, 12.38% of this area had no potential. Obtained results can be useful in management plans of ground water resources and preventing excessive exploitation.","author":[{"dropping-particle":"","family":"Zeinolabedini","given":"M.","non-dropping-particle":"","parse-names":false,"suffix":""},{"dropping-particle":"","family":"Esmaeily","given":"A.","non-dropping-particle":"","parse-names":false,"suffix":""}],"container-title":"International archives of the photogrammetry, Remote Sensing and spatial information sciences","id":"ITEM-1","issued":{"date-parts":[["2015"]]},"page":"769-774","title":"Groundwater potential assessment using geographic information systems and AHP method (case study: Baft city, Kerman, Iran)","type":"article-journal","volume":"40"},"uris":["http://www.mendeley.com/documents/?uuid=37d1eaad-23e0-4a55-8c13-935868006380","http://www.mendeley.com/documents/?uuid=6037343d-aaff-4e6b-b78e-a50c6c9573a7"]},{"id":"ITEM-2","itemData":{"abstract":"Water has a significant role in day to day life of people to fulfill their requirements. Although, study area is a part of Blue Nile basin but it has great water scarcity because of its topographic and geological nature. It has been observed during the field visit that people are travelling long to get the water from remote areas. Productivity through groundwater is quite high as compared to surface water, but groundwater resources have not yet been properly exploited. The present study attempts to identify Groundwater Potential (GWP) zones in the Sede River Watershed of the Blue Nile Basin using an integrated remote sensing and GIS techniques employed Satty's Analytical Hierarchy Process (AHP). The thematic layers were integrated using weighted overlay analysis method to delineate GWP map of the study area. Study highlighted the different potential sites where the water could accumulate and resist long time. Geology and lineament are the mainly control for the occurrence and movement of groundwater in the study area. Normalized Differentiate Water Index (NDWI) results showed the positive value less than 0.09 which highlights no existence of water where the community struggling a lot. Finally extracted pixels (&gt;0.20) of NDMI and resulted groundwater potential sites has been validated by existing borehole data. Interestingly, study found very close relationships between them and out of 58 boreholes, approximately 15 were found under very good and good ground water potential zones and vicinity of extracted moisture pixels of NDMI.","author":[{"dropping-particle":"","family":"Sewnet","given":"Demeke","non-dropping-particle":"","parse-names":false,"suffix":""},{"dropping-particle":"","family":"Raja Naqvi","given":"Hasan","non-dropping-particle":"","parse-names":false,"suffix":""},{"dropping-particle":"","family":"Mohammed","given":"A S","non-dropping-particle":"","parse-names":false,"suffix":""},{"dropping-particle":"","family":"Athick","given":"Abdul","non-dropping-particle":"","parse-names":false,"suffix":""}],"id":"ITEM-2","issued":{"date-parts":[["2016"]]},"number-of-pages":"1-13","title":"Zonation of Potential Groundwater and Its Spatial Correlation with Indices and Boreholes: Western Region of Blue Nile Basin, Ethiopia","type":"report"},"uris":["http://www.mendeley.com/documents/?uuid=067c5ff0-3321-362b-826d-6d232d306a22"]},{"id":"ITEM-3","itemData":{"ISSN":"16821750","abstract":"Groundwater quality in Gujarat state is highly variable and due to multiplicity of factors viz. influenced by direct sea water encroachment, inherent sediment salinity, water logging, overexploitation leading to overall deterioration in ground water quality, coupled with domestic and industrial pollution etc. The groundwater scenario in the state is not very encouraging due to imbalance between recharge and groundwater exploitation. Further, the demand for water has increased manifold owing to agricultural, industrial and domestic requirement and this has led to water scarcity in many parts of the state, which is likely to become more severe in coming future due to both natural and manmade factors. Therefore, sustainable development of groundwater resource requires precise quantitative assessment based on reasonably valid scientific principles. Hence, delineation of groundwater potential zones (GWPZ), has acquired great significance. The present study focuses on the integrated Geospatial and Multi-Criteria Decision Making (MCDM) techniques to determine the most important contributing factors that affect the groundwater resources and also to delineate the potential zones for groundwater recharge. The multiple thematic layers of influencing parameters viz. geology, geomorphology, soil, slope, drainage density and land use, weightages were assigned to the each factor according to their relative importance as per subject experts opinion owing to the natural setup of the region. The Analytical Hierarchy Process (AHP) was applied to these factors and potential recharge zones were identified. The study area for the assessment of groundwater recharge potential zones is Mahi-Narmada inter-stream region of Gujarat state. The study shows that around 28% region has the excellent suitability of the ground water recharge.","author":[{"dropping-particle":"","family":"Dabral","given":"Sumit","non-dropping-particle":"","parse-names":false,"suffix":""},{"dropping-particle":"","family":"Bhatt","given":"Bindu","non-dropping-particle":"","parse-names":false,"suffix":""},{"dropping-particle":"","family":"Joshi","given":"Janak P.","non-dropping-particle":"","parse-names":false,"suffix":""},{"dropping-particle":"","family":"Sharma","given":"N.","non-dropping-particle":"","parse-names":false,"suffix":""}],"container-title":"International Archives of the Photogrammetry, Remote Sensing and Spatial Information Sciences - ISPRS Archives","id":"ITEM-3","issued":{"date-parts":[["2014"]]},"page":"347-353","publisher-place":"Hyderabad, India","title":"Groundwater suitability recharge zones modelling - A gis application","type":"article-journal","volume":"8"},"uris":["http://www.mendeley.com/documents/?uuid=887036af-3e88-4b43-bbeb-37e1a1b6f984","http://www.mendeley.com/documents/?uuid=e1cd6583-ac5a-4ded-b61a-d48b859b53ce","http://www.mendeley.com/documents/?uuid=5998c86e-df89-4d4b-8c6e-21e9b48119f6"]}],"mendeley":{"formattedCitation":"(Dabral et al., 2014; Sewnet et al., 2016; Zeinolabedini &amp; Esmaeily, 2015)","manualFormatting":"(Dabral et al., 2014; Sewnet et al., 2016; Zeinolabedini and Esmaeily, 2015)","plainTextFormattedCitation":"(Dabral et al., 2014; Sewnet et al., 2016; Zeinolabedini &amp; Esmaeily, 2015)","previouslyFormattedCitation":"(Dabral et al., 2014; Sewnet et al., 2016; Zeinolabedini &amp; Esmaeily, 2015)"},"properties":{"noteIndex":0},"schema":"https://github.com/citation-style-language/schema/raw/master/csl-citation.json"}</w:instrText>
      </w:r>
      <w:r w:rsidR="00650A04" w:rsidRPr="002539EA">
        <w:rPr>
          <w:rStyle w:val="FootnoteReference"/>
        </w:rPr>
        <w:fldChar w:fldCharType="separate"/>
      </w:r>
      <w:r w:rsidR="00A108C4" w:rsidRPr="002539EA">
        <w:rPr>
          <w:bCs/>
          <w:noProof/>
        </w:rPr>
        <w:t>(Dabral et al., 2014; Sewn</w:t>
      </w:r>
      <w:r w:rsidR="00E230CE" w:rsidRPr="002539EA">
        <w:rPr>
          <w:bCs/>
          <w:noProof/>
        </w:rPr>
        <w:t>et et al., 2016; Zeinolabedini and</w:t>
      </w:r>
      <w:r w:rsidR="00A108C4" w:rsidRPr="002539EA">
        <w:rPr>
          <w:bCs/>
          <w:noProof/>
        </w:rPr>
        <w:t xml:space="preserve"> Esmaeily, 2015)</w:t>
      </w:r>
      <w:r w:rsidR="00650A04" w:rsidRPr="002539EA">
        <w:rPr>
          <w:rStyle w:val="FootnoteReference"/>
        </w:rPr>
        <w:fldChar w:fldCharType="end"/>
      </w:r>
      <w:r w:rsidR="00D35CD2" w:rsidRPr="002539EA">
        <w:t>.</w:t>
      </w:r>
      <w:r w:rsidR="00D768AF" w:rsidRPr="002539EA">
        <w:t xml:space="preserve"> </w:t>
      </w:r>
      <w:r w:rsidRPr="002539EA">
        <w:t>The s</w:t>
      </w:r>
      <w:r w:rsidR="006F53FC" w:rsidRPr="002539EA">
        <w:t xml:space="preserve">tudy by </w:t>
      </w:r>
      <w:r w:rsidR="00E915E9" w:rsidRPr="002539EA">
        <w:t xml:space="preserve">Lemecha (2007) </w:t>
      </w:r>
      <w:r w:rsidR="004041C8" w:rsidRPr="002539EA">
        <w:t>determine</w:t>
      </w:r>
      <w:r w:rsidRPr="002539EA">
        <w:t>s</w:t>
      </w:r>
      <w:r w:rsidR="004041C8" w:rsidRPr="002539EA">
        <w:t xml:space="preserve"> </w:t>
      </w:r>
      <w:r w:rsidR="00CC7582" w:rsidRPr="002539EA">
        <w:t xml:space="preserve">the </w:t>
      </w:r>
      <w:r w:rsidR="004041C8" w:rsidRPr="002539EA">
        <w:t>weight of</w:t>
      </w:r>
      <w:r w:rsidR="00CC7582" w:rsidRPr="002539EA">
        <w:t xml:space="preserve"> </w:t>
      </w:r>
      <w:r w:rsidR="004D44A3" w:rsidRPr="002539EA">
        <w:t>factors</w:t>
      </w:r>
      <w:r w:rsidR="004041C8" w:rsidRPr="002539EA">
        <w:t xml:space="preserve"> </w:t>
      </w:r>
      <w:r w:rsidR="00CC7582" w:rsidRPr="002539EA">
        <w:t xml:space="preserve">affecting groundwater </w:t>
      </w:r>
      <w:r w:rsidR="00D768AF" w:rsidRPr="002539EA">
        <w:t xml:space="preserve">and consistency ratio </w:t>
      </w:r>
      <w:r w:rsidR="004041C8" w:rsidRPr="002539EA">
        <w:t xml:space="preserve">by </w:t>
      </w:r>
      <w:r w:rsidR="00D35CD2" w:rsidRPr="002539EA">
        <w:t xml:space="preserve">using </w:t>
      </w:r>
      <w:r w:rsidR="004D44A3" w:rsidRPr="002539EA">
        <w:t>IDRISI Selva</w:t>
      </w:r>
      <w:r w:rsidR="004041C8" w:rsidRPr="002539EA">
        <w:t xml:space="preserve"> </w:t>
      </w:r>
      <w:r w:rsidR="00D768AF" w:rsidRPr="002539EA">
        <w:t xml:space="preserve">software. </w:t>
      </w:r>
      <w:r w:rsidR="002A19FE" w:rsidRPr="002539EA">
        <w:t>A priority estimation tool (PriEsT) is another decision-making</w:t>
      </w:r>
      <w:r w:rsidR="000E78F3" w:rsidRPr="002539EA">
        <w:t xml:space="preserve"> </w:t>
      </w:r>
      <w:r w:rsidR="002A19FE" w:rsidRPr="002539EA">
        <w:t xml:space="preserve">java embedded </w:t>
      </w:r>
      <w:r w:rsidRPr="002539EA">
        <w:t>open-</w:t>
      </w:r>
      <w:r w:rsidR="00AE6093" w:rsidRPr="002539EA">
        <w:t xml:space="preserve">source software </w:t>
      </w:r>
      <w:r w:rsidRPr="002539EA">
        <w:t>that</w:t>
      </w:r>
      <w:r w:rsidR="002A19FE" w:rsidRPr="002539EA">
        <w:t xml:space="preserve"> has been developed based on AHP</w:t>
      </w:r>
      <w:r w:rsidR="006F1FA9" w:rsidRPr="002539EA">
        <w:t xml:space="preserve"> </w:t>
      </w:r>
      <w:r w:rsidR="00650A04" w:rsidRPr="002539EA">
        <w:rPr>
          <w:rStyle w:val="FootnoteReference"/>
        </w:rPr>
        <w:fldChar w:fldCharType="begin" w:fldLock="1"/>
      </w:r>
      <w:r w:rsidR="00A309A8" w:rsidRPr="002539EA">
        <w:instrText>ADDIN CSL_CITATION {"citationItems":[{"id":"ITEM-1","itemData":{"author":[{"dropping-particle":"","family":"Siraj","given":"S.","non-dropping-particle":"","parse-names":false,"suffix":""},{"dropping-particle":"","family":"Mikhailov","given":"L.","non-dropping-particle":"","parse-names":false,"suffix":""},{"dropping-particle":"","family":"Keane","given":"J.","non-dropping-particle":"","parse-names":false,"suffix":""}],"container-title":"International transactions in operational research","id":"ITEM-1","issued":{"date-parts":[["2015"]]},"page":"217-235","title":"PriEsT: An interactive decision support tool to estimate priorities from pairwise comparison judgments","type":"article-journal","volume":"22"},"uris":["http://www.mendeley.com/documents/?uuid=f96462c8-1181-476a-8092-a7b84af0593e","http://www.mendeley.com/documents/?uuid=d0a4d6c5-79e2-4f82-8534-99a7cbd7d5dd"]}],"mendeley":{"formattedCitation":"(Siraj et al., 2015)","plainTextFormattedCitation":"(Siraj et al., 2015)","previouslyFormattedCitation":"(Siraj et al., 2015)"},"properties":{"noteIndex":0},"schema":"https://github.com/citation-style-language/schema/raw/master/csl-citation.json"}</w:instrText>
      </w:r>
      <w:r w:rsidR="00650A04" w:rsidRPr="002539EA">
        <w:rPr>
          <w:rStyle w:val="FootnoteReference"/>
        </w:rPr>
        <w:fldChar w:fldCharType="separate"/>
      </w:r>
      <w:r w:rsidR="00A108C4" w:rsidRPr="002539EA">
        <w:rPr>
          <w:noProof/>
        </w:rPr>
        <w:t>(Siraj et al., 2015)</w:t>
      </w:r>
      <w:r w:rsidR="00650A04" w:rsidRPr="002539EA">
        <w:rPr>
          <w:rStyle w:val="FootnoteReference"/>
        </w:rPr>
        <w:fldChar w:fldCharType="end"/>
      </w:r>
      <w:r w:rsidR="006F1FA9" w:rsidRPr="002539EA">
        <w:t>.</w:t>
      </w:r>
      <w:r w:rsidR="005B042D" w:rsidRPr="002539EA">
        <w:t xml:space="preserve"> </w:t>
      </w:r>
      <w:r w:rsidR="005C4D5C" w:rsidRPr="002539EA">
        <w:t xml:space="preserve">Identification of </w:t>
      </w:r>
      <w:r w:rsidR="00D07352" w:rsidRPr="002539EA">
        <w:t xml:space="preserve">GWPZ’s </w:t>
      </w:r>
      <w:r w:rsidR="0060006D" w:rsidRPr="002539EA">
        <w:t>of Megech watershed of N</w:t>
      </w:r>
      <w:r w:rsidR="005C4D5C" w:rsidRPr="002539EA">
        <w:t xml:space="preserve">orthwest Ethiopia using GIS and </w:t>
      </w:r>
      <w:r w:rsidR="00F866D6" w:rsidRPr="002539EA">
        <w:t>RS</w:t>
      </w:r>
      <w:r w:rsidR="000E27E7" w:rsidRPr="002539EA">
        <w:t xml:space="preserve"> was conducted by Berhanu and H</w:t>
      </w:r>
      <w:r w:rsidR="00F714D4" w:rsidRPr="002539EA">
        <w:t>a</w:t>
      </w:r>
      <w:r w:rsidR="000E27E7" w:rsidRPr="002539EA">
        <w:t xml:space="preserve">tiye (2020). </w:t>
      </w:r>
    </w:p>
    <w:p w:rsidR="007C0881" w:rsidRPr="002539EA" w:rsidRDefault="005C4D5C" w:rsidP="003A024A">
      <w:r w:rsidRPr="002539EA">
        <w:lastRenderedPageBreak/>
        <w:t>The</w:t>
      </w:r>
      <w:r w:rsidR="0007755C" w:rsidRPr="002539EA">
        <w:t xml:space="preserve"> </w:t>
      </w:r>
      <w:r w:rsidR="00EE222C" w:rsidRPr="002539EA">
        <w:t>weights and rates for</w:t>
      </w:r>
      <w:r w:rsidR="00BF0059" w:rsidRPr="002539EA">
        <w:t xml:space="preserve"> each thematic layer and class</w:t>
      </w:r>
      <w:r w:rsidR="00EE222C" w:rsidRPr="002539EA">
        <w:t xml:space="preserve"> </w:t>
      </w:r>
      <w:r w:rsidR="00BF0059" w:rsidRPr="002539EA">
        <w:t>were</w:t>
      </w:r>
      <w:r w:rsidRPr="002539EA">
        <w:t xml:space="preserve"> assigned </w:t>
      </w:r>
      <w:r w:rsidR="00EE222C" w:rsidRPr="002539EA">
        <w:t>using the PriEsT AHP tool.</w:t>
      </w:r>
      <w:r w:rsidR="00616A26" w:rsidRPr="002539EA">
        <w:t xml:space="preserve"> </w:t>
      </w:r>
      <w:r w:rsidR="00C56E5B" w:rsidRPr="002539EA">
        <w:t xml:space="preserve">The same </w:t>
      </w:r>
      <w:r w:rsidR="00950DA4" w:rsidRPr="002539EA">
        <w:t xml:space="preserve">tool was </w:t>
      </w:r>
      <w:r w:rsidR="00616A26" w:rsidRPr="002539EA">
        <w:t>demonstrate</w:t>
      </w:r>
      <w:r w:rsidR="00950DA4" w:rsidRPr="002539EA">
        <w:t>d</w:t>
      </w:r>
      <w:r w:rsidR="00616A26" w:rsidRPr="002539EA">
        <w:t xml:space="preserve"> for </w:t>
      </w:r>
      <w:r w:rsidR="00BF0059" w:rsidRPr="002539EA">
        <w:t xml:space="preserve">the </w:t>
      </w:r>
      <w:r w:rsidR="00616A26" w:rsidRPr="002539EA">
        <w:t xml:space="preserve">assessment of </w:t>
      </w:r>
      <w:r w:rsidR="00D07352" w:rsidRPr="002539EA">
        <w:t xml:space="preserve">GWPZ’s </w:t>
      </w:r>
      <w:r w:rsidR="00B4018B" w:rsidRPr="002539EA">
        <w:t>of</w:t>
      </w:r>
      <w:r w:rsidR="00616A26" w:rsidRPr="002539EA">
        <w:t xml:space="preserve"> Baro basin </w:t>
      </w:r>
      <w:r w:rsidR="00650A04" w:rsidRPr="002539EA">
        <w:rPr>
          <w:rStyle w:val="FootnoteReference"/>
        </w:rPr>
        <w:fldChar w:fldCharType="begin" w:fldLock="1"/>
      </w:r>
      <w:r w:rsidR="00A309A8" w:rsidRPr="002539EA">
        <w:instrText>ADDIN CSL_CITATION {"citationItems":[{"id":"ITEM-1","itemData":{"author":[{"dropping-particle":"","family":"Tegegn","given":"Kassa","non-dropping-particle":"","parse-names":false,"suffix":""}],"id":"ITEM-1","issued":{"date-parts":[["2015"]]},"title":"Assessment of groundwater potential zones in Baro Basin using GIS and Remote sensing","type":"article-journal"},"uris":["http://www.mendeley.com/documents/?uuid=4832f842-a1d9-4084-a40b-bdff4a0bf1a3"]}],"mendeley":{"formattedCitation":"(Tegegn, 2015)","plainTextFormattedCitation":"(Tegegn, 2015)","previouslyFormattedCitation":"(Tegegn, 2015)"},"properties":{"noteIndex":0},"schema":"https://github.com/citation-style-language/schema/raw/master/csl-citation.json"}</w:instrText>
      </w:r>
      <w:r w:rsidR="00650A04" w:rsidRPr="002539EA">
        <w:rPr>
          <w:rStyle w:val="FootnoteReference"/>
        </w:rPr>
        <w:fldChar w:fldCharType="separate"/>
      </w:r>
      <w:r w:rsidR="00E539F2" w:rsidRPr="002539EA">
        <w:rPr>
          <w:noProof/>
        </w:rPr>
        <w:t>(Tegegn, 2015)</w:t>
      </w:r>
      <w:r w:rsidR="00650A04" w:rsidRPr="002539EA">
        <w:rPr>
          <w:rStyle w:val="FootnoteReference"/>
        </w:rPr>
        <w:fldChar w:fldCharType="end"/>
      </w:r>
      <w:r w:rsidR="00616A26" w:rsidRPr="002539EA">
        <w:t>.</w:t>
      </w:r>
      <w:r w:rsidR="009B4B28" w:rsidRPr="002539EA">
        <w:t xml:space="preserve"> </w:t>
      </w:r>
      <w:r w:rsidR="00CD5390" w:rsidRPr="002539EA">
        <w:t xml:space="preserve">Models applied in the various study showed reasonably good accuracy in spatial predicting of groundwater probability </w:t>
      </w:r>
      <w:r w:rsidR="00CD5390" w:rsidRPr="002539EA">
        <w:rPr>
          <w:rStyle w:val="FootnoteReference"/>
        </w:rPr>
        <w:fldChar w:fldCharType="begin" w:fldLock="1"/>
      </w:r>
      <w:r w:rsidR="00A309A8" w:rsidRPr="002539EA">
        <w:instrText>ADDIN CSL_CITATION {"citationItems":[{"id":"ITEM-1","itemData":{"author":[{"dropping-particle":"","family":"Lemecha","given":"Gezahegn","non-dropping-particle":"","parse-names":false,"suffix":""}],"id":"ITEM-1","issued":{"date-parts":[["2007"]]},"number-of-pages":"1-86","publisher":"Addis Abeba University","title":"Delineation of groundwater potential zones of Upper Tumet Catchment, Menge Area, Western Ethiopia Using Remote Sensing and GIS","type":"thesis"},"uris":["http://www.mendeley.com/documents/?uuid=7047ed10-9882-4fab-8df4-a92aac27a5a9","http://www.mendeley.com/documents/?uuid=1b5e709a-39ed-4f7d-80c7-c1cbbcc5381f"]},{"id":"ITEM-2","itemData":{"author":[{"dropping-particle":"","family":"Doyo","given":"Diriba Worku","non-dropping-particle":"","parse-names":false,"suffix":""}],"id":"ITEM-2","issued":{"date-parts":[["2020"]]},"number-of-pages":"1-84","publisher":"Hawassa University","title":"Groundwater potential mapping using remote sensing and GIS techniques: the case of Meki watershed, Central Rift valley, Ethiopia","type":"thesis"},"uris":["http://www.mendeley.com/documents/?uuid=2751595d-7581-4867-a4a6-8a89444e1e59","http://www.mendeley.com/documents/?uuid=de24f4fb-afa8-4ca2-b379-e72af14d232b"]},{"id":"ITEM-3","itemData":{"ISSN":"22145818","abstract":"Study region: Guna Tana Landscape, Upper Blue Nile Basin, Ethiopia. Study focus: This paper aimed to delineate the groundwater potential zones using GIS and remote sensing. Multi-Criteria Decision Analysis (MCDA) technique is used to develop the groundwater potential prospect zones by integrating different groundwater contributing thematic layers. The thematic layers of land cover, drainage density, lineament density, soil, geology, slope, and geomorphology were prepared and used for groundwater potential map development by assigning weights to each thematic layer and features. The weights of each thematic layer were assigned and normalized based on their characteristic and relationship with groundwater recharge. Finally, the thematic maps were integrated by a weighted sum overlay analysis tool to develop groundwater prospect zones. New hydrological insights for the region: It was found that the downstream parts of the Landscape showed excellent groundwater potential covering about 833.49 km2 area with a flat and lacustrine sediment characteristic. About 469.12 km2 of the landscape showed very good groundwater potential zone. Northern, northeastern and southeastern parts of the area presented very poor groundwater prospect covering about 553.68 km2 area. The groundwater potential map was validated using the existing pumping wells and it indicated a good prediction accuracy of 70.5%. Thus, the potential zones identified in the study area by the MCDA technique are reliable.","author":[{"dropping-particle":"","family":"Andualem","given":"Tesfa Gebrie","non-dropping-particle":"","parse-names":false,"suffix":""},{"dropping-particle":"","family":"Demeke","given":"Girum Getachew","non-dropping-particle":"","parse-names":false,"suffix":""}],"container-title":"Journal of Hydrology: Regional Studies","id":"ITEM-3","issue":"5","issued":{"date-parts":[["2019"]]},"page":"100610","publisher":"Elsevier","title":"Groundwater potential assessment using GIS and remote sensing: A case study of Guna tana landscape, upper blue Nile Basin, Ethiopia","type":"article-journal","volume":"24"},"uris":["http://www.mendeley.com/documents/?uuid=b572f48d-0752-4d04-b82e-d8016090b501","http://www.mendeley.com/documents/?uuid=c3391aab-dc3c-44d1-bb8e-df52d4cbb589","http://www.mendeley.com/documents/?uuid=2d3d3647-4c1d-4eef-81e3-9339a564dc33"]}],"mendeley":{"formattedCitation":"(Andualem &amp; Demeke, 2019; Doyo, 2020; Lemecha, 2007)","plainTextFormattedCitation":"(Andualem &amp; Demeke, 2019; Doyo, 2020; Lemecha, 2007)","previouslyFormattedCitation":"(Andualem &amp; Demeke, 2019; Doyo, 2020; Lemecha, 2007)"},"properties":{"noteIndex":0},"schema":"https://github.com/citation-style-language/schema/raw/master/csl-citation.json"}</w:instrText>
      </w:r>
      <w:r w:rsidR="00CD5390" w:rsidRPr="002539EA">
        <w:rPr>
          <w:rStyle w:val="FootnoteReference"/>
        </w:rPr>
        <w:fldChar w:fldCharType="separate"/>
      </w:r>
      <w:r w:rsidR="00C671D1" w:rsidRPr="002539EA">
        <w:rPr>
          <w:noProof/>
        </w:rPr>
        <w:t>(Andualem and</w:t>
      </w:r>
      <w:r w:rsidR="00CD5390" w:rsidRPr="002539EA">
        <w:rPr>
          <w:noProof/>
        </w:rPr>
        <w:t xml:space="preserve"> Demeke, 2019; Doyo, 2020; Lemecha, 2007)</w:t>
      </w:r>
      <w:r w:rsidR="00CD5390" w:rsidRPr="002539EA">
        <w:rPr>
          <w:rStyle w:val="FootnoteReference"/>
        </w:rPr>
        <w:fldChar w:fldCharType="end"/>
      </w:r>
      <w:r w:rsidR="00CD5390" w:rsidRPr="002539EA">
        <w:t>.</w:t>
      </w:r>
    </w:p>
    <w:p w:rsidR="00D660E9" w:rsidRPr="002539EA" w:rsidRDefault="00A23DF7" w:rsidP="003A024A">
      <w:pPr>
        <w:pStyle w:val="Heading2"/>
        <w:numPr>
          <w:ilvl w:val="1"/>
          <w:numId w:val="1"/>
        </w:numPr>
        <w:rPr>
          <w:szCs w:val="24"/>
        </w:rPr>
      </w:pPr>
      <w:bookmarkStart w:id="88" w:name="_Toc68025066"/>
      <w:bookmarkStart w:id="89" w:name="_Toc68761549"/>
      <w:r w:rsidRPr="002539EA">
        <w:rPr>
          <w:szCs w:val="24"/>
        </w:rPr>
        <w:t>G</w:t>
      </w:r>
      <w:r w:rsidR="006A326C" w:rsidRPr="002539EA">
        <w:rPr>
          <w:szCs w:val="24"/>
        </w:rPr>
        <w:t xml:space="preserve">roundwater </w:t>
      </w:r>
      <w:r w:rsidR="00C42784" w:rsidRPr="002539EA">
        <w:rPr>
          <w:szCs w:val="24"/>
        </w:rPr>
        <w:t>Flow Direction</w:t>
      </w:r>
      <w:bookmarkEnd w:id="88"/>
      <w:bookmarkEnd w:id="89"/>
    </w:p>
    <w:p w:rsidR="003119E0" w:rsidRDefault="00090A89" w:rsidP="003A024A">
      <w:r w:rsidRPr="002539EA">
        <w:t>Groundwater levels represent the potentiometric state of water recharge, storage and discharge of the aquifer</w:t>
      </w:r>
      <w:r w:rsidR="00275BB7" w:rsidRPr="002539EA">
        <w:t xml:space="preserve"> </w:t>
      </w:r>
      <w:r w:rsidR="00275BB7" w:rsidRPr="002539EA">
        <w:fldChar w:fldCharType="begin" w:fldLock="1"/>
      </w:r>
      <w:r w:rsidR="00A309A8" w:rsidRPr="002539EA">
        <w:instrText>ADDIN CSL_CITATION {"citationItems":[{"id":"ITEM-1","itemData":{"author":[{"dropping-particle":"","family":"Yu","given":"X.","non-dropping-particle":"","parse-names":false,"suffix":""},{"dropping-particle":"","family":"Ghasemizadeh","given":"R.","non-dropping-particle":"","parse-names":false,"suffix":""},{"dropping-particle":"","family":"Padilla","given":"IY.","non-dropping-particle":"","parse-names":false,"suffix":""},{"dropping-particle":"","family":"Kaeli","given":"D.","non-dropping-particle":"","parse-names":false,"suffix":""},{"dropping-particle":"","family":"Alshawabkeh","given":"A.","non-dropping-particle":"","parse-names":false,"suffix":""}],"container-title":"Journal of Hydrology","id":"ITEM-1","issued":{"date-parts":[["2016"]]},"page":"485–495","title":"Patterns of temporal scaling of groundwater level fluctuation","type":"article-journal","volume":"536"},"uris":["http://www.mendeley.com/documents/?uuid=95058975-ba91-4689-a6cd-54a5ef624e20","http://www.mendeley.com/documents/?uuid=4bd46149-0023-43f5-9314-a6664d30ab72"]},{"id":"ITEM-2","itemData":{"abstract":"Scientific Investigations Report 2005-5168","author":[{"dropping-particle":"","family":"Conlon","given":"Terrence D.","non-dropping-particle":"","parse-names":false,"suffix":""},{"dropping-particle":"","family":"Wozniak","given":"Karl C.","non-dropping-particle":"","parse-names":false,"suffix":""},{"dropping-particle":"","family":"Woodcock","given":"Douglas","non-dropping-particle":"","parse-names":false,"suffix":""},{"dropping-particle":"","family":"Herrera","given":"Nora B.","non-dropping-particle":"","parse-names":false,"suffix":""},{"dropping-particle":"","family":"Fisher","given":"Bruce J.","non-dropping-particle":"","parse-names":false,"suffix":""},{"dropping-particle":"","family":"Morgan","given":"David S.","non-dropping-particle":"","parse-names":false,"suffix":""},{"dropping-particle":"","family":"Lee","given":"Karl K.","non-dropping-particle":"","parse-names":false,"suffix":""},{"dropping-particle":"","family":"Hinkle","given":"Stephen R.","non-dropping-particle":"","parse-names":false,"suffix":""}],"id":"ITEM-2","issued":{"date-parts":[["2005"]]},"page":"83","publisher-place":"USA","title":"Groundwater hydrology of the Willamette Basin, Oregon","type":"article-journal"},"uris":["http://www.mendeley.com/documents/?uuid=7405ec89-7645-4e78-859e-bf86f34707a6","http://www.mendeley.com/documents/?uuid=a052f9b1-5089-4fb6-a1be-1aad4e4904d7"]}],"mendeley":{"formattedCitation":"(Conlon et al., 2005; Yu et al., 2016)","plainTextFormattedCitation":"(Conlon et al., 2005; Yu et al., 2016)","previouslyFormattedCitation":"(Conlon et al., 2005; Yu et al., 2016)"},"properties":{"noteIndex":0},"schema":"https://github.com/citation-style-language/schema/raw/master/csl-citation.json"}</w:instrText>
      </w:r>
      <w:r w:rsidR="00275BB7" w:rsidRPr="002539EA">
        <w:fldChar w:fldCharType="separate"/>
      </w:r>
      <w:r w:rsidR="00AB2BC4" w:rsidRPr="002539EA">
        <w:rPr>
          <w:noProof/>
        </w:rPr>
        <w:t>(Conlon et al., 2005; Yu et al., 2016)</w:t>
      </w:r>
      <w:r w:rsidR="00275BB7" w:rsidRPr="002539EA">
        <w:fldChar w:fldCharType="end"/>
      </w:r>
      <w:r w:rsidR="00AB2BC4" w:rsidRPr="002539EA">
        <w:t xml:space="preserve">. </w:t>
      </w:r>
      <w:r w:rsidR="00AC6CD5" w:rsidRPr="002539EA">
        <w:t xml:space="preserve">Ground water flow implies that ground water is recharged over broad upland areas and discharged at relatively focused lowland areas as surface water </w:t>
      </w:r>
      <w:r w:rsidR="00AC6CD5" w:rsidRPr="002539EA">
        <w:fldChar w:fldCharType="begin" w:fldLock="1"/>
      </w:r>
      <w:r w:rsidR="00A309A8" w:rsidRPr="002539EA">
        <w:instrText>ADDIN CSL_CITATION {"citationItems":[{"id":"ITEM-1","itemData":{"author":[{"dropping-particle":"","family":"Messene","given":"Genet Mathewos","non-dropping-particle":"","parse-names":false,"suffix":""}],"container-title":"Journal of Environment and Earth Science","id":"ITEM-1","issue":"2","issued":{"date-parts":[["2017"]]},"page":"32-39","title":"Groundwater Flow Direction , Recharge and Discharge Zones Identification in Lower Gidabo Catchment , Rift Valley Basin ,","type":"article-journal","volume":"7"},"uris":["http://www.mendeley.com/documents/?uuid=d6808e5e-f74a-4fad-8bbe-19ca51a36a67"]}],"mendeley":{"formattedCitation":"(Messene, 2017)","plainTextFormattedCitation":"(Messene, 2017)","previouslyFormattedCitation":"(Messene, 2017)"},"properties":{"noteIndex":0},"schema":"https://github.com/citation-style-language/schema/raw/master/csl-citation.json"}</w:instrText>
      </w:r>
      <w:r w:rsidR="00AC6CD5" w:rsidRPr="002539EA">
        <w:fldChar w:fldCharType="separate"/>
      </w:r>
      <w:r w:rsidR="00AC6CD5" w:rsidRPr="002539EA">
        <w:rPr>
          <w:noProof/>
        </w:rPr>
        <w:t>(Messene, 2017)</w:t>
      </w:r>
      <w:r w:rsidR="00AC6CD5" w:rsidRPr="002539EA">
        <w:fldChar w:fldCharType="end"/>
      </w:r>
      <w:r w:rsidR="00AC6CD5" w:rsidRPr="002539EA">
        <w:t xml:space="preserve">. </w:t>
      </w:r>
      <w:r w:rsidRPr="002539EA">
        <w:t xml:space="preserve">Depending on the several hydrogeological factors, such as geology, drainage, soil, slope, elevation and other parameters the groundwater level fluctuate and varying from place to place </w:t>
      </w:r>
      <w:r w:rsidR="004A2204" w:rsidRPr="002539EA">
        <w:fldChar w:fldCharType="begin" w:fldLock="1"/>
      </w:r>
      <w:r w:rsidR="00A309A8" w:rsidRPr="002539EA">
        <w:instrText>ADDIN CSL_CITATION {"citationItems":[{"id":"ITEM-1","itemData":{"DOI":"10.1080/09715010.2014.1002542","author":[{"dropping-particle":"","family":"Chandra","given":"S.","non-dropping-particle":"","parse-names":false,"suffix":""},{"dropping-particle":"","family":"Singh","given":"PK.","non-dropping-particle":"","parse-names":false,"suffix":""},{"dropping-particle":"","family":"Tiwari","given":"AK.","non-dropping-particle":"","parse-names":false,"suffix":""},{"dropping-particle":"","family":"Panigrahy","given":"B.","non-dropping-particle":"","parse-names":false,"suffix":""},{"dropping-particle":"","family":"Kumar","given":"A.","non-dropping-particle":"","parse-names":false,"suffix":""}],"container-title":"ISH journal of hydraulic Engineering","id":"ITEM-1","issued":{"date-parts":[["2015"]]},"page":"1-14","title":"Evaluation of hydrogeological factor and their relationship with seasonal water table fluctuation in Dhanbad district, Jharkhand, India","type":"article-journal","volume":"21"},"uris":["http://www.mendeley.com/documents/?uuid=ca989c64-cafa-497d-aa92-df18754b5cca","http://www.mendeley.com/documents/?uuid=f362421a-1dd5-4187-9b9e-c64869181a10"]},{"id":"ITEM-2","itemData":{"author":[{"dropping-particle":"","family":"Tiwari","given":"AK.","non-dropping-particle":"","parse-names":false,"suffix":""},{"dropping-particle":"","family":"Singh","given":"PK.","non-dropping-particle":"","parse-names":false,"suffix":""},{"dropping-particle":"","family":"Chandra","given":"S.","non-dropping-particle":"","parse-names":false,"suffix":""},{"dropping-particle":"","family":"Ghosh","given":"A.","non-dropping-particle":"","parse-names":false,"suffix":""}],"container-title":"ISH journal of hydraulic Engineering","id":"ITEM-2","issued":{"date-parts":[["2016"]]},"page":"59–67","title":"Assessment of groundwater level fluctuation by using remote sensing and GIS in West Bokaro coalfield, Jharkhand, India","type":"article-journal","volume":"22"},"uris":["http://www.mendeley.com/documents/?uuid=f56d576d-64a8-4768-b784-db9b7d720191","http://www.mendeley.com/documents/?uuid=93c348d3-66a5-42ca-9521-75fb25528070"]}],"mendeley":{"formattedCitation":"(Chandra et al., 2015; Tiwari et al., 2016)","plainTextFormattedCitation":"(Chandra et al., 2015; Tiwari et al., 2016)","previouslyFormattedCitation":"(Chandra et al., 2015; Tiwari et al., 2016)"},"properties":{"noteIndex":0},"schema":"https://github.com/citation-style-language/schema/raw/master/csl-citation.json"}</w:instrText>
      </w:r>
      <w:r w:rsidR="004A2204" w:rsidRPr="002539EA">
        <w:fldChar w:fldCharType="separate"/>
      </w:r>
      <w:r w:rsidR="00D34A10" w:rsidRPr="002539EA">
        <w:rPr>
          <w:noProof/>
        </w:rPr>
        <w:t>(Chandra et al., 2015; Tiwari et al., 2016)</w:t>
      </w:r>
      <w:r w:rsidR="004A2204" w:rsidRPr="002539EA">
        <w:fldChar w:fldCharType="end"/>
      </w:r>
      <w:r w:rsidR="00784308" w:rsidRPr="002539EA">
        <w:t xml:space="preserve">. </w:t>
      </w:r>
    </w:p>
    <w:p w:rsidR="00726170" w:rsidRPr="002539EA" w:rsidRDefault="00B139A4" w:rsidP="003A024A">
      <w:r w:rsidRPr="002539EA">
        <w:t xml:space="preserve">The </w:t>
      </w:r>
      <w:r w:rsidR="00090A89" w:rsidRPr="002539EA">
        <w:t>t</w:t>
      </w:r>
      <w:r w:rsidR="00A50E48" w:rsidRPr="002539EA">
        <w:t xml:space="preserve">opographic setting gives an idea about the general direction of groundwater flow and its influence on groundwater recharge and discharge </w:t>
      </w:r>
      <w:r w:rsidR="00A50E48" w:rsidRPr="002539EA">
        <w:fldChar w:fldCharType="begin" w:fldLock="1"/>
      </w:r>
      <w:r w:rsidR="00A309A8" w:rsidRPr="002539EA">
        <w:instrText>ADDIN CSL_CITATION {"citationItems":[{"id":"ITEM-1","itemData":{"abstract":"A systematic evaluation of groundwater is essential for the proper utilization and management of this precious natural resource. Integrated GIS and remote sensing are efficient techniques in groundwater studies; in facilitate better data analysis and their interpretations of groundwater potential controlling parameters. In the present study, an attempt had been made to delineate and classify possible groundwater potential zones in the Bilate River catchment using integrated remote sensing and GIS techniques. The thematic layers considered in this study are lithology, geomorphology, drainage density, lineament density, rainfall, soil, slope and land use/ land cover were prepared using the Landsat ETM+ imagery and ArcGIS software. All the thematic layers were then assigned weights according to their relative importance in groundwater occurrence and the corresponding normalized weights were obtained based on the Saaty's analytical hierarchy process. These weights were applied in linear summation equation to obtain a unified weight map containing due weights of all input variables. The thematic layers were finally integrated using ArcGIS and IDRIS software to produce a groundwater potential zone map. Thus, four different groundwater potential zones were identified, namely 'high, 'moderate',' low' and 'poor'. The high potential zones correspond to alluvial plains, lacustrine sediments, the fracture valleys, and valley fills, which coincide with the low slope and high lineaments density areas .The eastern portion and valley escarpment of the study area fall under moderate groundwater potential zone. The low zones mainly comprise structural hills and an escarpment which contributes high run-off .On the other hand; Poor groundwater potential zones are present in the mountain peaks, plateaus and escarpments with steep cliff.","author":[{"dropping-particle":"","family":"Gintamo","given":"Tesfaye Tessema","non-dropping-particle":"","parse-names":false,"suffix":""}],"container-title":"American Scientific Research Journal for Engineering, Technology, and Sciences (ASRJETS) ISSN (Print)","id":"ITEM-1","issued":{"date-parts":[["2015"]]},"page":"2313-4410","title":"Ground Water Potential Evaluation Based on Integrated GIS and Remote Sensing Techniques, in Bilate River Catchment: South Rift Valley of Ethiopia","type":"article-journal"},"uris":["http://www.mendeley.com/documents/?uuid=f6a33ffd-3cd3-40ba-ac19-7301494d8da8"]}],"mendeley":{"formattedCitation":"(Gintamo, 2015)","plainTextFormattedCitation":"(Gintamo, 2015)","previouslyFormattedCitation":"(Gintamo, 2015)"},"properties":{"noteIndex":0},"schema":"https://github.com/citation-style-language/schema/raw/master/csl-citation.json"}</w:instrText>
      </w:r>
      <w:r w:rsidR="00A50E48" w:rsidRPr="002539EA">
        <w:fldChar w:fldCharType="separate"/>
      </w:r>
      <w:r w:rsidR="00A50E48" w:rsidRPr="002539EA">
        <w:rPr>
          <w:noProof/>
        </w:rPr>
        <w:t>(Gintamo, 2015)</w:t>
      </w:r>
      <w:r w:rsidR="00A50E48" w:rsidRPr="002539EA">
        <w:fldChar w:fldCharType="end"/>
      </w:r>
      <w:r w:rsidR="00A50E48" w:rsidRPr="002539EA">
        <w:t>.</w:t>
      </w:r>
      <w:r w:rsidR="00065EC9" w:rsidRPr="002539EA">
        <w:t xml:space="preserve"> </w:t>
      </w:r>
      <w:r w:rsidR="00F4084E" w:rsidRPr="002539EA">
        <w:t>Topographically, mu</w:t>
      </w:r>
      <w:r w:rsidR="00F627C7" w:rsidRPr="002539EA">
        <w:t>ch like the flow of water in a R</w:t>
      </w:r>
      <w:r w:rsidR="0020290D" w:rsidRPr="002539EA">
        <w:t>iver, the ground</w:t>
      </w:r>
      <w:r w:rsidR="00F4084E" w:rsidRPr="002539EA">
        <w:t xml:space="preserve">water flow is subjected to gravity and is almost always in motion, flowing from areas of higher elevation to areas of lower elevation </w:t>
      </w:r>
      <w:r w:rsidR="00F4084E" w:rsidRPr="002539EA">
        <w:fldChar w:fldCharType="begin" w:fldLock="1"/>
      </w:r>
      <w:r w:rsidR="00A309A8" w:rsidRPr="002539EA">
        <w:instrText>ADDIN CSL_CITATION {"citationItems":[{"id":"ITEM-1","itemData":{"abstract":"Hydrogeological mapping of Ginner map sheet is carried out on the upper Wabi Shebele and some part of upper Genale Dawa river shades which is situated about 530 km east of Addis Ababa at the eastern part of Ethiopia. Considerable elevation difference (500-2685 m.a.s.l) and physiographic diversities such as highlands, lowlands and rugged areas, river valleys, deep gorges and plateaus characterize the area. Though the duration, amount and spatial distribution of the rain fall varies in the plateaus and low lands, bi- modal type of rain fall regime is generally observed. The annual mean rainfall in the low lands and high lands vary between 300 – 1200 mm and Potential evapotranspiration (PET) is estimated empirically 3.9 mm/day for the area. Rock units of the area are Tertiary and Quaternary Volcanics such as; Ginner Basalt, Arsi-Bale basalts and lower flood basalt and Mesozoic sedimentary formations such as: Amba Aradam, Korahe, Gabredare, Urandab and Hamanle formations successively under lain from young to old. In addition, superficial deposits and weathering remnants such as alluvium and elluvium cover the area. Nearly NE–SW and NW– SE trending faults and lineaments affect the area. The aquifer systems are defined based on hydrogeological characteristics /aquifer productivity and permeability/ of the lithological units. Seven hydrogeological units /aquifers systems/ are identified in the map sheet and then hydrogeological map at a scale 1:250,000 is produced. The chemical analysis result of water samples in the study area shows that bicarbonate and transitional and basic water type is predominant. The general trend of EC and TDS increases from relatively highland plateau to lowland where rain fall is low and evapotranspiration is high. Groundwater of the study area is generally suitable for Drinking water supply and irrigation. Generally, the area has ground water resources thus intensive sustainable water resources development is recommended by drilling deeper wells more than 150m depth on the lowlands and Springs development on the high land plateaus. Productive wells can also be drilled at the high land plateaus along faults and lineaments. In addition to water supply, large scale irrigation can be possible at the plateaus by using ground water resource.","author":[{"dropping-particle":"","family":"Mulugeta","given":"Yonas","non-dropping-particle":"","parse-names":false,"suffix":""},{"dropping-particle":"","family":"Tafa","given":"Yosef","non-dropping-particle":"","parse-names":false,"suffix":""}],"id":"ITEM-1","issued":{"date-parts":[["2010"]]},"number-of-pages":"1-84","publisher-place":"Addis Abeba, Ethiopia","title":"Integrated hydrogeological mapping of Ginnir map sheet (NB-37-4) South Eastern low land and adjacent high land of Ethiopia","type":"report"},"uris":["http://www.mendeley.com/documents/?uuid=e9c5b3e5-3d16-4cb5-a46e-712fee7da124","http://www.mendeley.com/documents/?uuid=1b87b89f-6151-4701-b983-9da2e8363ad4"]}],"mendeley":{"formattedCitation":"(Mulugeta &amp; Tafa, 2010)","manualFormatting":"(Mulugeta and Tafa, 2010)","plainTextFormattedCitation":"(Mulugeta &amp; Tafa, 2010)","previouslyFormattedCitation":"(Mulugeta &amp; Tafa, 2010)"},"properties":{"noteIndex":0},"schema":"https://github.com/citation-style-language/schema/raw/master/csl-citation.json"}</w:instrText>
      </w:r>
      <w:r w:rsidR="00F4084E" w:rsidRPr="002539EA">
        <w:fldChar w:fldCharType="separate"/>
      </w:r>
      <w:r w:rsidR="00F4084E" w:rsidRPr="002539EA">
        <w:rPr>
          <w:noProof/>
        </w:rPr>
        <w:t xml:space="preserve">(Mulugeta </w:t>
      </w:r>
      <w:r w:rsidR="00E230CE" w:rsidRPr="002539EA">
        <w:rPr>
          <w:noProof/>
        </w:rPr>
        <w:t>and</w:t>
      </w:r>
      <w:r w:rsidR="00F4084E" w:rsidRPr="002539EA">
        <w:rPr>
          <w:noProof/>
        </w:rPr>
        <w:t xml:space="preserve"> Tafa, 2010)</w:t>
      </w:r>
      <w:r w:rsidR="00F4084E" w:rsidRPr="002539EA">
        <w:fldChar w:fldCharType="end"/>
      </w:r>
      <w:r w:rsidR="00F4084E" w:rsidRPr="002539EA">
        <w:t xml:space="preserve">. </w:t>
      </w:r>
      <w:r w:rsidR="00065EC9" w:rsidRPr="002539EA">
        <w:t>Thus, t</w:t>
      </w:r>
      <w:r w:rsidR="00D31EF3" w:rsidRPr="002539EA">
        <w:t>he direction of groundwater flow can be considered as a gradient of topographic slope</w:t>
      </w:r>
      <w:r w:rsidRPr="002539EA">
        <w:t xml:space="preserve"> without static water level</w:t>
      </w:r>
      <w:r w:rsidR="00D31EF3" w:rsidRPr="002539EA">
        <w:t>.</w:t>
      </w:r>
      <w:r w:rsidR="00AC6CD5" w:rsidRPr="002539EA">
        <w:t xml:space="preserve"> </w:t>
      </w:r>
      <w:r w:rsidRPr="002539EA">
        <w:t>Generally, m</w:t>
      </w:r>
      <w:r w:rsidR="00D31EF3" w:rsidRPr="002539EA">
        <w:t>apping groundwater contour is important to identify groundwater flow direction</w:t>
      </w:r>
      <w:r w:rsidR="00065EC9" w:rsidRPr="002539EA">
        <w:t xml:space="preserve"> </w:t>
      </w:r>
      <w:r w:rsidR="00D31EF3" w:rsidRPr="002539EA">
        <w:fldChar w:fldCharType="begin" w:fldLock="1"/>
      </w:r>
      <w:r w:rsidR="00A309A8" w:rsidRPr="002539EA">
        <w:instrText>ADDIN CSL_CITATION {"citationItems":[{"id":"ITEM-1","itemData":{"author":[{"dropping-particle":"","family":"Doyo","given":"Diriba Worku","non-dropping-particle":"","parse-names":false,"suffix":""}],"id":"ITEM-1","issued":{"date-parts":[["2020"]]},"number-of-pages":"1-84","publisher":"Hawassa University","title":"Groundwater potential mapping using remote sensing and GIS techniques: the case of Meki watershed, Central Rift valley, Ethiopia","type":"thesis"},"uris":["http://www.mendeley.com/documents/?uuid=2751595d-7581-4867-a4a6-8a89444e1e59","http://www.mendeley.com/documents/?uuid=de24f4fb-afa8-4ca2-b379-e72af14d232b"]}],"mendeley":{"formattedCitation":"(Doyo, 2020)","plainTextFormattedCitation":"(Doyo, 2020)","previouslyFormattedCitation":"(Doyo, 2020)"},"properties":{"noteIndex":0},"schema":"https://github.com/citation-style-language/schema/raw/master/csl-citation.json"}</w:instrText>
      </w:r>
      <w:r w:rsidR="00D31EF3" w:rsidRPr="002539EA">
        <w:fldChar w:fldCharType="separate"/>
      </w:r>
      <w:r w:rsidR="00D31EF3" w:rsidRPr="002539EA">
        <w:rPr>
          <w:noProof/>
        </w:rPr>
        <w:t>(Doyo, 2020)</w:t>
      </w:r>
      <w:r w:rsidR="00D31EF3" w:rsidRPr="002539EA">
        <w:fldChar w:fldCharType="end"/>
      </w:r>
      <w:r w:rsidR="00D31EF3" w:rsidRPr="002539EA">
        <w:t xml:space="preserve">. </w:t>
      </w:r>
      <w:r w:rsidRPr="002539EA">
        <w:t xml:space="preserve">Groundwater flows from recharge area to discharge area. </w:t>
      </w:r>
      <w:r w:rsidR="00A80D4A" w:rsidRPr="002539EA">
        <w:t>Flow lines diverge from recharge area and converge</w:t>
      </w:r>
      <w:r w:rsidR="00D31EF3" w:rsidRPr="002539EA">
        <w:t xml:space="preserve"> towards the discharge area</w:t>
      </w:r>
      <w:r w:rsidR="00A80D4A" w:rsidRPr="002539EA">
        <w:t xml:space="preserve"> </w:t>
      </w:r>
      <w:r w:rsidR="00D31EF3" w:rsidRPr="002539EA">
        <w:fldChar w:fldCharType="begin" w:fldLock="1"/>
      </w:r>
      <w:r w:rsidR="00A309A8" w:rsidRPr="002539EA">
        <w:instrText>ADDIN CSL_CITATION {"citationItems":[{"id":"ITEM-1","itemData":{"ISBN":"0-13-088239-9","author":[{"dropping-particle":"","family":"Fetter","given":"C.W.","non-dropping-particle":"","parse-names":false,"suffix":""}],"edition":"Fourth edi","editor":[{"dropping-particle":"","family":"Lynch","given":"Patrick","non-dropping-particle":"","parse-names":false,"suffix":""}],"id":"ITEM-1","issued":{"date-parts":[["2001"]]},"number-of-pages":"1-598","publisher":"Prentice-Hall inc.","publisher-place":"Upper Saddle River, New Jersey 07458","title":"Applied hydrogeology","type":"book"},"uris":["http://www.mendeley.com/documents/?uuid=f0ae8c86-0d02-4877-a7e5-9cc4427927b2","http://www.mendeley.com/documents/?uuid=85c02d13-3780-45e4-a0b2-b52a92203f1e"]}],"mendeley":{"formattedCitation":"(Fetter, 2001)","plainTextFormattedCitation":"(Fetter, 2001)","previouslyFormattedCitation":"(Fetter, 2001)"},"properties":{"noteIndex":0},"schema":"https://github.com/citation-style-language/schema/raw/master/csl-citation.json"}</w:instrText>
      </w:r>
      <w:r w:rsidR="00D31EF3" w:rsidRPr="002539EA">
        <w:fldChar w:fldCharType="separate"/>
      </w:r>
      <w:r w:rsidR="00D31EF3" w:rsidRPr="002539EA">
        <w:rPr>
          <w:noProof/>
        </w:rPr>
        <w:t>(Fetter, 2001)</w:t>
      </w:r>
      <w:r w:rsidR="00D31EF3" w:rsidRPr="002539EA">
        <w:fldChar w:fldCharType="end"/>
      </w:r>
      <w:r w:rsidR="00D31EF3" w:rsidRPr="002539EA">
        <w:t>.</w:t>
      </w:r>
    </w:p>
    <w:p w:rsidR="0028799B" w:rsidRPr="002539EA" w:rsidRDefault="0028799B" w:rsidP="003A024A">
      <w:pPr>
        <w:pStyle w:val="Heading2"/>
        <w:numPr>
          <w:ilvl w:val="1"/>
          <w:numId w:val="1"/>
        </w:numPr>
        <w:rPr>
          <w:szCs w:val="24"/>
        </w:rPr>
      </w:pPr>
      <w:bookmarkStart w:id="90" w:name="_Toc68025067"/>
      <w:bookmarkStart w:id="91" w:name="_Toc68761550"/>
      <w:r w:rsidRPr="002539EA">
        <w:rPr>
          <w:szCs w:val="24"/>
        </w:rPr>
        <w:t xml:space="preserve">Overview of the </w:t>
      </w:r>
      <w:r w:rsidR="00C42784" w:rsidRPr="002539EA">
        <w:rPr>
          <w:szCs w:val="24"/>
        </w:rPr>
        <w:t xml:space="preserve">Tools Used </w:t>
      </w:r>
      <w:r w:rsidR="00AF5A33" w:rsidRPr="002539EA">
        <w:rPr>
          <w:szCs w:val="24"/>
        </w:rPr>
        <w:t>for</w:t>
      </w:r>
      <w:r w:rsidR="00446A90" w:rsidRPr="002539EA">
        <w:rPr>
          <w:szCs w:val="24"/>
        </w:rPr>
        <w:t xml:space="preserve"> </w:t>
      </w:r>
      <w:r w:rsidR="0022287A" w:rsidRPr="002539EA">
        <w:rPr>
          <w:szCs w:val="24"/>
        </w:rPr>
        <w:t xml:space="preserve">the </w:t>
      </w:r>
      <w:r w:rsidR="00C42784" w:rsidRPr="002539EA">
        <w:rPr>
          <w:szCs w:val="24"/>
        </w:rPr>
        <w:t>Study</w:t>
      </w:r>
      <w:bookmarkEnd w:id="90"/>
      <w:bookmarkEnd w:id="91"/>
    </w:p>
    <w:p w:rsidR="003119E0" w:rsidRDefault="005F7093" w:rsidP="003A024A">
      <w:r w:rsidRPr="002539EA">
        <w:t xml:space="preserve">Geospatial applications for land resource mapping, monitoring and </w:t>
      </w:r>
      <w:r w:rsidR="00F659EC" w:rsidRPr="002539EA">
        <w:t>modeling</w:t>
      </w:r>
      <w:r w:rsidRPr="002539EA">
        <w:t xml:space="preserve"> provide key data underpinning natural resource management planning. The current generation of free and open source</w:t>
      </w:r>
      <w:r w:rsidR="009F3671" w:rsidRPr="002539EA">
        <w:t xml:space="preserve"> </w:t>
      </w:r>
      <w:r w:rsidRPr="002539EA">
        <w:t xml:space="preserve">geospatial software and free data has removed the need for licensing and data purchase, which has been a significant barrier to broader involvement in land resource mapping, monitoring and </w:t>
      </w:r>
      <w:r w:rsidR="00F659EC" w:rsidRPr="002539EA">
        <w:t>modeling</w:t>
      </w:r>
      <w:r w:rsidRPr="002539EA">
        <w:t xml:space="preserve"> for local governments. </w:t>
      </w:r>
      <w:r w:rsidR="00906261" w:rsidRPr="002539EA">
        <w:t>Free and open source</w:t>
      </w:r>
      <w:r w:rsidRPr="002539EA">
        <w:t xml:space="preserve"> software is commonly considered to be more secure, reliable, and adaptable to their commercial counterparts</w:t>
      </w:r>
      <w:r w:rsidR="00B10E6D" w:rsidRPr="002539EA">
        <w:t xml:space="preserve"> (Fisher et al., 2017).</w:t>
      </w:r>
      <w:r w:rsidR="0011501E" w:rsidRPr="002539EA">
        <w:t xml:space="preserve"> Hence, a</w:t>
      </w:r>
      <w:r w:rsidR="001E6667" w:rsidRPr="002539EA">
        <w:t xml:space="preserve">ll the </w:t>
      </w:r>
      <w:r w:rsidR="001C0A44" w:rsidRPr="002539EA">
        <w:t>soft wares</w:t>
      </w:r>
      <w:r w:rsidR="001E6667" w:rsidRPr="002539EA">
        <w:t xml:space="preserve"> used in the study are free open</w:t>
      </w:r>
      <w:r w:rsidR="00736595" w:rsidRPr="002539EA">
        <w:t xml:space="preserve"> source geospatial application. </w:t>
      </w:r>
    </w:p>
    <w:p w:rsidR="00736595" w:rsidRPr="002539EA" w:rsidRDefault="00736595" w:rsidP="003A024A">
      <w:r w:rsidRPr="002539EA">
        <w:lastRenderedPageBreak/>
        <w:t>This</w:t>
      </w:r>
      <w:r w:rsidR="00027440" w:rsidRPr="002539EA">
        <w:t xml:space="preserve"> study </w:t>
      </w:r>
      <w:r w:rsidR="0040474F" w:rsidRPr="002539EA">
        <w:t>was</w:t>
      </w:r>
      <w:r w:rsidR="00027440" w:rsidRPr="002539EA">
        <w:t xml:space="preserve"> conducted </w:t>
      </w:r>
      <w:r w:rsidR="0042684D" w:rsidRPr="002539EA">
        <w:t xml:space="preserve">on </w:t>
      </w:r>
      <w:r w:rsidR="00027440" w:rsidRPr="002539EA">
        <w:t>GIS</w:t>
      </w:r>
      <w:r w:rsidR="0042684D" w:rsidRPr="002539EA">
        <w:t xml:space="preserve"> platform using </w:t>
      </w:r>
      <w:r w:rsidR="00F866D6" w:rsidRPr="002539EA">
        <w:t xml:space="preserve">RS </w:t>
      </w:r>
      <w:r w:rsidR="0042684D" w:rsidRPr="002539EA">
        <w:t xml:space="preserve">data to </w:t>
      </w:r>
      <w:r w:rsidR="00D564DF" w:rsidRPr="002539EA">
        <w:t>assess</w:t>
      </w:r>
      <w:r w:rsidR="00027440" w:rsidRPr="002539EA">
        <w:t xml:space="preserve"> the groundwater potential of </w:t>
      </w:r>
      <w:r w:rsidR="00452199" w:rsidRPr="002539EA">
        <w:t>Weyib S</w:t>
      </w:r>
      <w:r w:rsidR="0040474F" w:rsidRPr="002539EA">
        <w:t>ub-basin</w:t>
      </w:r>
      <w:r w:rsidR="00027440" w:rsidRPr="002539EA">
        <w:t>.</w:t>
      </w:r>
      <w:r w:rsidR="00261BBF" w:rsidRPr="002539EA">
        <w:t xml:space="preserve"> </w:t>
      </w:r>
      <w:r w:rsidR="00027440" w:rsidRPr="002539EA">
        <w:t xml:space="preserve">The thematic </w:t>
      </w:r>
      <w:r w:rsidR="00F659EC" w:rsidRPr="002539EA">
        <w:t>maps of groundwater influencing factors were</w:t>
      </w:r>
      <w:r w:rsidR="00027440" w:rsidRPr="002539EA">
        <w:t xml:space="preserve"> prepared by using various </w:t>
      </w:r>
      <w:r w:rsidRPr="002539EA">
        <w:t xml:space="preserve">software and computer programs. </w:t>
      </w:r>
      <w:r w:rsidR="00027440" w:rsidRPr="002539EA">
        <w:t xml:space="preserve"> </w:t>
      </w:r>
    </w:p>
    <w:p w:rsidR="002413B0" w:rsidRPr="002539EA" w:rsidRDefault="00990220" w:rsidP="003A024A">
      <w:pPr>
        <w:pStyle w:val="Heading3"/>
        <w:numPr>
          <w:ilvl w:val="2"/>
          <w:numId w:val="1"/>
        </w:numPr>
      </w:pPr>
      <w:bookmarkStart w:id="92" w:name="_Toc68025068"/>
      <w:bookmarkStart w:id="93" w:name="_Toc68761551"/>
      <w:r w:rsidRPr="002539EA">
        <w:t xml:space="preserve">Geographic </w:t>
      </w:r>
      <w:r w:rsidR="00C42784" w:rsidRPr="002539EA">
        <w:t xml:space="preserve">Information System </w:t>
      </w:r>
      <w:r w:rsidRPr="002539EA">
        <w:t>(GIS)</w:t>
      </w:r>
      <w:r w:rsidR="00FD74F7" w:rsidRPr="002539EA">
        <w:t xml:space="preserve"> and </w:t>
      </w:r>
      <w:r w:rsidR="00C42784" w:rsidRPr="002539EA">
        <w:t xml:space="preserve">Remote Sensing </w:t>
      </w:r>
      <w:r w:rsidR="00FD74F7" w:rsidRPr="002539EA">
        <w:t>(RS)</w:t>
      </w:r>
      <w:bookmarkEnd w:id="92"/>
      <w:bookmarkEnd w:id="93"/>
    </w:p>
    <w:p w:rsidR="00CA2FBE" w:rsidRPr="002539EA" w:rsidRDefault="00A54E57" w:rsidP="003A024A">
      <w:r w:rsidRPr="002539EA">
        <w:t xml:space="preserve">GIS </w:t>
      </w:r>
      <w:r w:rsidR="009004DE" w:rsidRPr="002539EA">
        <w:t>is a tool for working geographic information</w:t>
      </w:r>
      <w:r w:rsidR="00A6282A" w:rsidRPr="002539EA">
        <w:t xml:space="preserve"> in order to</w:t>
      </w:r>
      <w:r w:rsidR="00C93D48" w:rsidRPr="002539EA">
        <w:t xml:space="preserve"> manage and process spatial data</w:t>
      </w:r>
      <w:r w:rsidR="00601916" w:rsidRPr="002539EA">
        <w:t xml:space="preserve"> for functioning</w:t>
      </w:r>
      <w:r w:rsidR="00744DFE" w:rsidRPr="002539EA">
        <w:t xml:space="preserve"> </w:t>
      </w:r>
      <w:r w:rsidR="00650A04" w:rsidRPr="002539EA">
        <w:rPr>
          <w:rStyle w:val="FootnoteReference"/>
        </w:rPr>
        <w:fldChar w:fldCharType="begin" w:fldLock="1"/>
      </w:r>
      <w:r w:rsidR="00A309A8" w:rsidRPr="002539EA">
        <w:instrText>ADDIN CSL_CITATION {"citationItems":[{"id":"ITEM-1","itemData":{"author":[{"dropping-particle":"","family":"Huisman","given":"O.","non-dropping-particle":"","parse-names":false,"suffix":""},{"dropping-particle":"","family":"De","given":"Rolf A.","non-dropping-particle":"","parse-names":false,"suffix":""}],"edition":"4th","editor":[{"dropping-particle":"","family":"Huisman","given":"O.","non-dropping-particle":"","parse-names":false,"suffix":""},{"dropping-particle":"","family":"De","given":"Rolf A.","non-dropping-particle":"","parse-names":false,"suffix":""}],"id":"ITEM-1","issued":{"date-parts":[["2009"]]},"number-of-pages":"135","publisher":"International institute for Geo-information science and earth observation (ITC)","publisher-place":"Enschede, Netherlands","title":"Principle of geographic information system","type":"book"},"uris":["http://www.mendeley.com/documents/?uuid=c89056fc-18a5-4d45-adb2-132be72ebfde","http://www.mendeley.com/documents/?uuid=48458874-48a7-41f8-a3a1-048cf1c1977c"]}],"mendeley":{"formattedCitation":"(Huisman &amp; De, 2009)","manualFormatting":"(Huisman and De, 2009)","plainTextFormattedCitation":"(Huisman &amp; De, 2009)","previouslyFormattedCitation":"(Huisman &amp; De, 2009)"},"properties":{"noteIndex":0},"schema":"https://github.com/citation-style-language/schema/raw/master/csl-citation.json"}</w:instrText>
      </w:r>
      <w:r w:rsidR="00650A04" w:rsidRPr="002539EA">
        <w:rPr>
          <w:rStyle w:val="FootnoteReference"/>
        </w:rPr>
        <w:fldChar w:fldCharType="separate"/>
      </w:r>
      <w:r w:rsidR="00CF4BDF" w:rsidRPr="002539EA">
        <w:rPr>
          <w:noProof/>
        </w:rPr>
        <w:t xml:space="preserve">(Huisman </w:t>
      </w:r>
      <w:r w:rsidR="00E230CE" w:rsidRPr="002539EA">
        <w:rPr>
          <w:noProof/>
        </w:rPr>
        <w:t>and</w:t>
      </w:r>
      <w:r w:rsidR="00CF4BDF" w:rsidRPr="002539EA">
        <w:rPr>
          <w:noProof/>
        </w:rPr>
        <w:t xml:space="preserve"> De, 2009)</w:t>
      </w:r>
      <w:r w:rsidR="00650A04" w:rsidRPr="002539EA">
        <w:rPr>
          <w:rStyle w:val="FootnoteReference"/>
        </w:rPr>
        <w:fldChar w:fldCharType="end"/>
      </w:r>
      <w:r w:rsidR="00E22519" w:rsidRPr="002539EA">
        <w:t xml:space="preserve">. </w:t>
      </w:r>
      <w:r w:rsidR="000D48CA" w:rsidRPr="002539EA">
        <w:t xml:space="preserve"> </w:t>
      </w:r>
      <w:r w:rsidR="008F562B" w:rsidRPr="002539EA">
        <w:t>Satellite s</w:t>
      </w:r>
      <w:r w:rsidR="003439D1" w:rsidRPr="002539EA">
        <w:t xml:space="preserve">ensors </w:t>
      </w:r>
      <w:r w:rsidR="002413B0" w:rsidRPr="002539EA">
        <w:t>have the ability to empha</w:t>
      </w:r>
      <w:r w:rsidR="00E2496E" w:rsidRPr="002539EA">
        <w:t xml:space="preserve">size the opened new </w:t>
      </w:r>
      <w:r w:rsidR="002413B0" w:rsidRPr="002539EA">
        <w:t xml:space="preserve">systematic and efficient exploration of </w:t>
      </w:r>
      <w:r w:rsidR="0007506E" w:rsidRPr="002539EA">
        <w:t>groundwater</w:t>
      </w:r>
      <w:r w:rsidR="00266465" w:rsidRPr="002539EA">
        <w:t xml:space="preserve"> and </w:t>
      </w:r>
      <w:r w:rsidR="002413B0" w:rsidRPr="002539EA">
        <w:t>landform mapping</w:t>
      </w:r>
      <w:r w:rsidR="00266465" w:rsidRPr="002539EA">
        <w:t xml:space="preserve"> </w:t>
      </w:r>
      <w:r w:rsidR="00650A04" w:rsidRPr="002539EA">
        <w:rPr>
          <w:rStyle w:val="FootnoteReference"/>
        </w:rPr>
        <w:fldChar w:fldCharType="begin" w:fldLock="1"/>
      </w:r>
      <w:r w:rsidR="00A309A8" w:rsidRPr="002539EA">
        <w:instrText>ADDIN CSL_CITATION {"citationItems":[{"id":"ITEM-1","itemData":{"author":[{"dropping-particle":"","family":"Mukherje","given":"A.","non-dropping-particle":"","parse-names":false,"suffix":""},{"dropping-particle":"","family":"Fryar","given":"A. E.","non-dropping-particle":"","parse-names":false,"suffix":""}],"container-title":"Applied Geochemistry","id":"ITEM-1","issue":"4","issued":{"date-parts":[["2008"]]},"page":"863- 894.","title":"Deeper groundwater chemistry and geochemical modeling of the arsenic affected western Bengal basin, West Bengal, India.","type":"article-journal","volume":"23"},"uris":["http://www.mendeley.com/documents/?uuid=35fb41e6-08f7-4398-b8d3-8971fdaf4ef8","http://www.mendeley.com/documents/?uuid=ca857e2c-79d1-4caf-b71d-c4f8076b7f1d"]}],"mendeley":{"formattedCitation":"(Mukherje &amp; Fryar, 2008)","manualFormatting":"(Mukherje and Fryar, 2008)","plainTextFormattedCitation":"(Mukherje &amp; Fryar, 2008)","previouslyFormattedCitation":"(Mukherje &amp; Fryar, 2008)"},"properties":{"noteIndex":0},"schema":"https://github.com/citation-style-language/schema/raw/master/csl-citation.json"}</w:instrText>
      </w:r>
      <w:r w:rsidR="00650A04" w:rsidRPr="002539EA">
        <w:rPr>
          <w:rStyle w:val="FootnoteReference"/>
        </w:rPr>
        <w:fldChar w:fldCharType="separate"/>
      </w:r>
      <w:r w:rsidR="00A108C4" w:rsidRPr="002539EA">
        <w:rPr>
          <w:bCs/>
          <w:noProof/>
        </w:rPr>
        <w:t xml:space="preserve">(Mukherje </w:t>
      </w:r>
      <w:r w:rsidR="00E230CE" w:rsidRPr="002539EA">
        <w:rPr>
          <w:bCs/>
          <w:noProof/>
        </w:rPr>
        <w:t>and</w:t>
      </w:r>
      <w:r w:rsidR="00A108C4" w:rsidRPr="002539EA">
        <w:rPr>
          <w:bCs/>
          <w:noProof/>
        </w:rPr>
        <w:t xml:space="preserve"> Fryar, 2008)</w:t>
      </w:r>
      <w:r w:rsidR="00650A04" w:rsidRPr="002539EA">
        <w:rPr>
          <w:rStyle w:val="FootnoteReference"/>
        </w:rPr>
        <w:fldChar w:fldCharType="end"/>
      </w:r>
      <w:r w:rsidR="0086315B" w:rsidRPr="002539EA">
        <w:t>.</w:t>
      </w:r>
      <w:r w:rsidR="004E05DF" w:rsidRPr="002539EA">
        <w:t xml:space="preserve"> </w:t>
      </w:r>
      <w:r w:rsidR="00BF5290" w:rsidRPr="002539EA">
        <w:t>GIS</w:t>
      </w:r>
      <w:r w:rsidR="00542496" w:rsidRPr="002539EA">
        <w:t xml:space="preserve"> and </w:t>
      </w:r>
      <w:r w:rsidR="00540761" w:rsidRPr="002539EA">
        <w:t xml:space="preserve">RS </w:t>
      </w:r>
      <w:r w:rsidR="000D48CA" w:rsidRPr="002539EA">
        <w:t xml:space="preserve">techniques </w:t>
      </w:r>
      <w:r w:rsidR="00540761" w:rsidRPr="002539EA">
        <w:t>is</w:t>
      </w:r>
      <w:r w:rsidR="00A02BBE" w:rsidRPr="002539EA">
        <w:t xml:space="preserve"> the </w:t>
      </w:r>
      <w:r w:rsidR="00F31DA7" w:rsidRPr="002539EA">
        <w:t xml:space="preserve">most advanced technology for </w:t>
      </w:r>
      <w:r w:rsidR="008F562B" w:rsidRPr="002539EA">
        <w:t>scientific application</w:t>
      </w:r>
      <w:r w:rsidR="006167AE" w:rsidRPr="002539EA">
        <w:t xml:space="preserve"> of</w:t>
      </w:r>
      <w:r w:rsidR="00D660E9" w:rsidRPr="002539EA">
        <w:t xml:space="preserve"> </w:t>
      </w:r>
      <w:r w:rsidR="00F31DA7" w:rsidRPr="002539EA">
        <w:t>groundwater exploration</w:t>
      </w:r>
      <w:r w:rsidR="00D660E9" w:rsidRPr="002539EA">
        <w:t xml:space="preserve"> and water-level fluctuation trend assessment</w:t>
      </w:r>
      <w:r w:rsidR="004E05DF" w:rsidRPr="002539EA">
        <w:t xml:space="preserve"> </w:t>
      </w:r>
      <w:r w:rsidR="00650A04" w:rsidRPr="002539EA">
        <w:rPr>
          <w:rStyle w:val="FootnoteReference"/>
        </w:rPr>
        <w:fldChar w:fldCharType="begin" w:fldLock="1"/>
      </w:r>
      <w:r w:rsidR="00A309A8" w:rsidRPr="002539EA">
        <w:instrText>ADDIN CSL_CITATION {"citationItems":[{"id":"ITEM-1","itemData":{"DOI":"10.1016/j.gsf.2015.03.002","ISSN":"1674-9871","author":[{"dropping-particle":"","family":"Senanayake","given":"I P","non-dropping-particle":"","parse-names":false,"suffix":""},{"dropping-particle":"","family":"Dissanayake","given":"D M D O K","non-dropping-particle":"","parse-names":false,"suffix":""},{"dropping-particle":"","family":"Mayadunna","given":"B B","non-dropping-particle":"","parse-names":false,"suffix":""},{"dropping-particle":"","family":"Weerasekera","given":"W L","non-dropping-particle":"","parse-names":false,"suffix":""}],"container-title":"Geoscience Frontiers","id":"ITEM-1","issue":"1","issued":{"date-parts":[["2016"]]},"page":"115-124","publisher":"Elsevier Ltd","title":"Geoscience Frontiers An approach to delineate groundwater recharge potential sites in Ambalantota , Sri Lanka using GIS techniques","type":"article-journal","volume":"7"},"uris":["http://www.mendeley.com/documents/?uuid=8fadf6ae-2912-44c4-8d2e-198c890b205a"]},{"id":"ITEM-2","itemData":{"author":[{"dropping-particle":"","family":"Amah","given":"E A","non-dropping-particle":"","parse-names":false,"suffix":""},{"dropping-particle":"","family":"Agbebia","given":"M A","non-dropping-particle":"","parse-names":false,"suffix":""}],"id":"ITEM-2","issue":"December","issued":{"date-parts":[["2015"]]},"page":"1-5","title":"Determination Of Groundwater Flow Direction In Ekintae Limestone Quarry Near Mfamosing ,","type":"article-journal"},"uris":["http://www.mendeley.com/documents/?uuid=c538973e-4cf1-4f37-9bf9-20682450279b"]}],"mendeley":{"formattedCitation":"(Amah &amp; Agbebia, 2015; Senanayake et al., 2016)","manualFormatting":"(Amah and Agbebia, 2015; Senanayake et al., 2016)","plainTextFormattedCitation":"(Amah &amp; Agbebia, 2015; Senanayake et al., 2016)","previouslyFormattedCitation":"(Amah &amp; Agbebia, 2015; Senanayake et al., 2016)"},"properties":{"noteIndex":0},"schema":"https://github.com/citation-style-language/schema/raw/master/csl-citation.json"}</w:instrText>
      </w:r>
      <w:r w:rsidR="00650A04" w:rsidRPr="002539EA">
        <w:rPr>
          <w:rStyle w:val="FootnoteReference"/>
        </w:rPr>
        <w:fldChar w:fldCharType="separate"/>
      </w:r>
      <w:r w:rsidR="00E230CE" w:rsidRPr="002539EA">
        <w:rPr>
          <w:noProof/>
        </w:rPr>
        <w:t>(Amah and</w:t>
      </w:r>
      <w:r w:rsidR="00D660E9" w:rsidRPr="002539EA">
        <w:rPr>
          <w:noProof/>
        </w:rPr>
        <w:t xml:space="preserve"> Agbebia, 2015; Senanayake et al., 2016)</w:t>
      </w:r>
      <w:r w:rsidR="00650A04" w:rsidRPr="002539EA">
        <w:rPr>
          <w:rStyle w:val="FootnoteReference"/>
        </w:rPr>
        <w:fldChar w:fldCharType="end"/>
      </w:r>
      <w:r w:rsidR="004E05DF" w:rsidRPr="002539EA">
        <w:t>.</w:t>
      </w:r>
      <w:r w:rsidR="003414B3" w:rsidRPr="002539EA">
        <w:t xml:space="preserve"> </w:t>
      </w:r>
      <w:r w:rsidR="00854152" w:rsidRPr="002539EA">
        <w:t>It allow to access large data at the same time which are impossible to reach such as cliff, mountains and gorges</w:t>
      </w:r>
      <w:r w:rsidR="00855E0C" w:rsidRPr="002539EA">
        <w:t xml:space="preserve"> </w:t>
      </w:r>
      <w:r w:rsidR="00650A04" w:rsidRPr="002539EA">
        <w:rPr>
          <w:rStyle w:val="FootnoteReference"/>
        </w:rPr>
        <w:fldChar w:fldCharType="begin" w:fldLock="1"/>
      </w:r>
      <w:r w:rsidR="00A309A8" w:rsidRPr="002539EA">
        <w:instrText>ADDIN CSL_CITATION {"citationItems":[{"id":"ITEM-1","itemData":{"ISBN":"9172834579","author":[{"dropping-particle":"","family":"Solomon","given":"Semere","non-dropping-particle":"","parse-names":false,"suffix":""}],"id":"ITEM-1","issue":"April","issued":{"date-parts":[["2003"]]},"title":"Remote Sensing and GIS : Applications for Groundwater Potential Assessment in Eritrea","type":"book"},"uris":["http://www.mendeley.com/documents/?uuid=e5179f2a-ace9-4c0e-b40d-e980fd202952"]}],"mendeley":{"formattedCitation":"(Solomon, 2003)","plainTextFormattedCitation":"(Solomon, 2003)","previouslyFormattedCitation":"(Solomon, 2003)"},"properties":{"noteIndex":0},"schema":"https://github.com/citation-style-language/schema/raw/master/csl-citation.json"}</w:instrText>
      </w:r>
      <w:r w:rsidR="00650A04" w:rsidRPr="002539EA">
        <w:rPr>
          <w:rStyle w:val="FootnoteReference"/>
        </w:rPr>
        <w:fldChar w:fldCharType="separate"/>
      </w:r>
      <w:r w:rsidR="00A309A8" w:rsidRPr="002539EA">
        <w:rPr>
          <w:noProof/>
        </w:rPr>
        <w:t>(Solomon, 2003)</w:t>
      </w:r>
      <w:r w:rsidR="00650A04" w:rsidRPr="002539EA">
        <w:rPr>
          <w:rStyle w:val="FootnoteReference"/>
        </w:rPr>
        <w:fldChar w:fldCharType="end"/>
      </w:r>
      <w:r w:rsidR="006F7716" w:rsidRPr="002539EA">
        <w:t xml:space="preserve">. </w:t>
      </w:r>
      <w:r w:rsidR="00DD17B8" w:rsidRPr="002539EA">
        <w:t xml:space="preserve">GIS and </w:t>
      </w:r>
      <w:r w:rsidR="00BF5290" w:rsidRPr="002539EA">
        <w:t>RS</w:t>
      </w:r>
      <w:r w:rsidR="00DD17B8" w:rsidRPr="002539EA">
        <w:t xml:space="preserve"> techniques can be used to easily characterize groundwater potential and recharge zone</w:t>
      </w:r>
      <w:r w:rsidR="006F7716" w:rsidRPr="002539EA">
        <w:t xml:space="preserve"> </w:t>
      </w:r>
      <w:r w:rsidR="00650A04" w:rsidRPr="002539EA">
        <w:rPr>
          <w:rStyle w:val="FootnoteReference"/>
        </w:rPr>
        <w:fldChar w:fldCharType="begin" w:fldLock="1"/>
      </w:r>
      <w:r w:rsidR="00A309A8" w:rsidRPr="002539EA">
        <w:instrText>ADDIN CSL_CITATION {"citationItems":[{"id":"ITEM-1","itemData":{"DOI":"10.1016/j.gsf.2015.03.002","ISSN":"1674-9871","author":[{"dropping-particle":"","family":"Senanayake","given":"I P","non-dropping-particle":"","parse-names":false,"suffix":""},{"dropping-particle":"","family":"Dissanayake","given":"D M D O K","non-dropping-particle":"","parse-names":false,"suffix":""},{"dropping-particle":"","family":"Mayadunna","given":"B B","non-dropping-particle":"","parse-names":false,"suffix":""},{"dropping-particle":"","family":"Weerasekera","given":"W L","non-dropping-particle":"","parse-names":false,"suffix":""}],"container-title":"Geoscience Frontiers","id":"ITEM-1","issue":"1","issued":{"date-parts":[["2016"]]},"page":"115-124","publisher":"Elsevier Ltd","title":"Geoscience Frontiers An approach to delineate groundwater recharge potential sites in Ambalantota , Sri Lanka using GIS techniques","type":"article-journal","volume":"7"},"uris":["http://www.mendeley.com/documents/?uuid=8fadf6ae-2912-44c4-8d2e-198c890b205a"]}],"mendeley":{"formattedCitation":"(Senanayake et al., 2016)","plainTextFormattedCitation":"(Senanayake et al., 2016)","previouslyFormattedCitation":"(Senanayake et al., 2016)"},"properties":{"noteIndex":0},"schema":"https://github.com/citation-style-language/schema/raw/master/csl-citation.json"}</w:instrText>
      </w:r>
      <w:r w:rsidR="00650A04" w:rsidRPr="002539EA">
        <w:rPr>
          <w:rStyle w:val="FootnoteReference"/>
        </w:rPr>
        <w:fldChar w:fldCharType="separate"/>
      </w:r>
      <w:r w:rsidR="001626FB" w:rsidRPr="002539EA">
        <w:rPr>
          <w:noProof/>
        </w:rPr>
        <w:t>(Senanayake et al., 2016)</w:t>
      </w:r>
      <w:r w:rsidR="00650A04" w:rsidRPr="002539EA">
        <w:rPr>
          <w:rStyle w:val="FootnoteReference"/>
        </w:rPr>
        <w:fldChar w:fldCharType="end"/>
      </w:r>
      <w:r w:rsidR="006F7716" w:rsidRPr="002539EA">
        <w:t>.</w:t>
      </w:r>
      <w:r w:rsidR="00501C8D" w:rsidRPr="002539EA">
        <w:t xml:space="preserve"> </w:t>
      </w:r>
      <w:r w:rsidR="00BF5290" w:rsidRPr="002539EA">
        <w:t>RS provides information with regard to spatial distribution of vegetation type and land use in less time and low cost in comparison to conventional data</w:t>
      </w:r>
      <w:r w:rsidR="00454AA7" w:rsidRPr="002539EA">
        <w:t xml:space="preserve"> </w:t>
      </w:r>
      <w:r w:rsidR="00650A04" w:rsidRPr="002539EA">
        <w:rPr>
          <w:rStyle w:val="FootnoteReference"/>
        </w:rPr>
        <w:fldChar w:fldCharType="begin" w:fldLock="1"/>
      </w:r>
      <w:r w:rsidR="00A309A8" w:rsidRPr="002539EA">
        <w:instrText>ADDIN CSL_CITATION {"citationItems":[{"id":"ITEM-1","itemData":{"author":[{"dropping-particle":"","family":"Waikar","given":"M L","non-dropping-particle":"","parse-names":false,"suffix":""},{"dropping-particle":"","family":"Nilawar","given":"Aditya P","non-dropping-particle":"","parse-names":false,"suffix":""}],"id":"ITEM-1","issue":"5","issued":{"date-parts":[["2014"]]},"page":"12163-12174","title":"Identification of Groundwater Potential Zone using Remote Sensing and GIS Technique","type":"article-journal","volume":"3"},"uris":["http://www.mendeley.com/documents/?uuid=51c5ad64-5f50-46bb-a9dd-8718cab47c42"]}],"mendeley":{"formattedCitation":"(Waikar &amp; Nilawar, 2014)","manualFormatting":"(Waikar and Nilawar, 2014)","plainTextFormattedCitation":"(Waikar &amp; Nilawar, 2014)","previouslyFormattedCitation":"(Waikar &amp; Nilawar, 2014)"},"properties":{"noteIndex":0},"schema":"https://github.com/citation-style-language/schema/raw/master/csl-citation.json"}</w:instrText>
      </w:r>
      <w:r w:rsidR="00650A04" w:rsidRPr="002539EA">
        <w:rPr>
          <w:rStyle w:val="FootnoteReference"/>
        </w:rPr>
        <w:fldChar w:fldCharType="separate"/>
      </w:r>
      <w:r w:rsidR="00A108C4" w:rsidRPr="002539EA">
        <w:rPr>
          <w:noProof/>
        </w:rPr>
        <w:t xml:space="preserve">(Waikar </w:t>
      </w:r>
      <w:r w:rsidR="00E230CE" w:rsidRPr="002539EA">
        <w:rPr>
          <w:noProof/>
        </w:rPr>
        <w:t>and</w:t>
      </w:r>
      <w:r w:rsidR="00A108C4" w:rsidRPr="002539EA">
        <w:rPr>
          <w:noProof/>
        </w:rPr>
        <w:t xml:space="preserve"> Nilawar, 2014)</w:t>
      </w:r>
      <w:r w:rsidR="00650A04" w:rsidRPr="002539EA">
        <w:rPr>
          <w:rStyle w:val="FootnoteReference"/>
        </w:rPr>
        <w:fldChar w:fldCharType="end"/>
      </w:r>
      <w:r w:rsidR="00454AA7" w:rsidRPr="002539EA">
        <w:t>.</w:t>
      </w:r>
      <w:r w:rsidR="00C10C60" w:rsidRPr="002539EA">
        <w:t xml:space="preserve"> </w:t>
      </w:r>
    </w:p>
    <w:p w:rsidR="00EB172A" w:rsidRPr="002539EA" w:rsidRDefault="00DE206A" w:rsidP="003A024A">
      <w:r w:rsidRPr="002539EA">
        <w:t>C</w:t>
      </w:r>
      <w:r w:rsidR="00F31DA7" w:rsidRPr="002539EA">
        <w:t>ompar</w:t>
      </w:r>
      <w:r w:rsidRPr="002539EA">
        <w:t>ing</w:t>
      </w:r>
      <w:r w:rsidR="00F31DA7" w:rsidRPr="002539EA">
        <w:t xml:space="preserve"> GIS and </w:t>
      </w:r>
      <w:r w:rsidR="00BF5290" w:rsidRPr="002539EA">
        <w:t xml:space="preserve">RS </w:t>
      </w:r>
      <w:r w:rsidR="00F31DA7" w:rsidRPr="002539EA">
        <w:t xml:space="preserve">applications </w:t>
      </w:r>
      <w:r w:rsidR="00B95177" w:rsidRPr="002539EA">
        <w:t>of</w:t>
      </w:r>
      <w:r w:rsidR="00F31DA7" w:rsidRPr="002539EA">
        <w:t xml:space="preserve"> groundwater delineation with other methods such</w:t>
      </w:r>
      <w:r w:rsidR="00B95177" w:rsidRPr="002539EA">
        <w:t xml:space="preserve"> as </w:t>
      </w:r>
      <w:r w:rsidR="00F31DA7" w:rsidRPr="002539EA">
        <w:t>geospatial, numerical modeling and geophysical methods</w:t>
      </w:r>
      <w:r w:rsidR="00DF2094" w:rsidRPr="002539EA">
        <w:t>,</w:t>
      </w:r>
      <w:r w:rsidRPr="002539EA">
        <w:t xml:space="preserve"> </w:t>
      </w:r>
      <w:r w:rsidR="00DF2094" w:rsidRPr="002539EA">
        <w:t xml:space="preserve">those methods are very expensive, laborious, time-consuming and destructive </w:t>
      </w:r>
      <w:r w:rsidR="00650A04" w:rsidRPr="002539EA">
        <w:rPr>
          <w:rStyle w:val="FootnoteReference"/>
        </w:rPr>
        <w:fldChar w:fldCharType="begin" w:fldLock="1"/>
      </w:r>
      <w:r w:rsidR="00A309A8" w:rsidRPr="002539EA">
        <w:instrText>ADDIN CSL_CITATION {"citationItems":[{"id":"ITEM-1","itemData":{"author":[{"dropping-particle":"","family":"Salwa","given":"F.","non-dropping-particle":"","parse-names":false,"suffix":""}],"container-title":"Ain Shams Engineering Journal","id":"ITEM-1","issue":"1","issued":{"date-parts":[["2015"]]},"page":"1-15","title":"An overview of integrated remote sensing and GIS for groundwater mapping in Egypt","type":"article-journal","volume":"6"},"uris":["http://www.mendeley.com/documents/?uuid=16fb0b10-bc65-4e86-b67f-9ddb1251b21b","http://www.mendeley.com/documents/?uuid=0b3fb5df-27b8-4ca1-81d9-14d39f3961ec"]}],"mendeley":{"formattedCitation":"(Salwa, 2015)","plainTextFormattedCitation":"(Salwa, 2015)","previouslyFormattedCitation":"(Salwa, 2015)"},"properties":{"noteIndex":0},"schema":"https://github.com/citation-style-language/schema/raw/master/csl-citation.json"}</w:instrText>
      </w:r>
      <w:r w:rsidR="00650A04" w:rsidRPr="002539EA">
        <w:rPr>
          <w:rStyle w:val="FootnoteReference"/>
        </w:rPr>
        <w:fldChar w:fldCharType="separate"/>
      </w:r>
      <w:r w:rsidR="00E539F2" w:rsidRPr="002539EA">
        <w:rPr>
          <w:bCs/>
          <w:noProof/>
        </w:rPr>
        <w:t>(Salwa, 2015)</w:t>
      </w:r>
      <w:r w:rsidR="00650A04" w:rsidRPr="002539EA">
        <w:rPr>
          <w:rStyle w:val="FootnoteReference"/>
        </w:rPr>
        <w:fldChar w:fldCharType="end"/>
      </w:r>
      <w:r w:rsidR="00DF2094" w:rsidRPr="002539EA">
        <w:t>.</w:t>
      </w:r>
      <w:r w:rsidR="00AE4297" w:rsidRPr="002539EA">
        <w:t xml:space="preserve"> </w:t>
      </w:r>
      <w:r w:rsidR="00610B4C" w:rsidRPr="002539EA">
        <w:t>Generally, a</w:t>
      </w:r>
      <w:r w:rsidR="00F31DA7" w:rsidRPr="002539EA">
        <w:t xml:space="preserve"> number of works done on the role of GIS and </w:t>
      </w:r>
      <w:r w:rsidR="00541707" w:rsidRPr="002539EA">
        <w:t xml:space="preserve">RS </w:t>
      </w:r>
      <w:r w:rsidR="00610B4C" w:rsidRPr="002539EA">
        <w:t xml:space="preserve">for </w:t>
      </w:r>
      <w:r w:rsidR="009B70BE" w:rsidRPr="002539EA">
        <w:t xml:space="preserve">GWPZ </w:t>
      </w:r>
      <w:r w:rsidR="00610B4C" w:rsidRPr="002539EA">
        <w:t xml:space="preserve">delineation </w:t>
      </w:r>
      <w:r w:rsidR="00A02BBE" w:rsidRPr="002539EA">
        <w:t xml:space="preserve">shows </w:t>
      </w:r>
      <w:r w:rsidR="00F515CC" w:rsidRPr="002539EA">
        <w:t xml:space="preserve">its </w:t>
      </w:r>
      <w:r w:rsidR="001E58C3" w:rsidRPr="002539EA">
        <w:t xml:space="preserve">efficiency, </w:t>
      </w:r>
      <w:r w:rsidR="00A02BBE" w:rsidRPr="002539EA">
        <w:t>time and cost effective</w:t>
      </w:r>
      <w:r w:rsidR="00EB172A" w:rsidRPr="002539EA">
        <w:t>ness of the</w:t>
      </w:r>
      <w:r w:rsidR="00A02BBE" w:rsidRPr="002539EA">
        <w:t xml:space="preserve"> technology</w:t>
      </w:r>
      <w:r w:rsidR="00610B4C" w:rsidRPr="002539EA">
        <w:t>.</w:t>
      </w:r>
    </w:p>
    <w:p w:rsidR="00D17EA0" w:rsidRPr="002539EA" w:rsidRDefault="00D17EA0" w:rsidP="003A024A">
      <w:pPr>
        <w:pStyle w:val="Heading3"/>
        <w:numPr>
          <w:ilvl w:val="2"/>
          <w:numId w:val="1"/>
        </w:numPr>
      </w:pPr>
      <w:bookmarkStart w:id="94" w:name="_Toc68025069"/>
      <w:bookmarkStart w:id="95" w:name="_Toc68761552"/>
      <w:r w:rsidRPr="002539EA">
        <w:t>ERDAS-</w:t>
      </w:r>
      <w:r w:rsidR="00C42784" w:rsidRPr="002539EA">
        <w:t>Imagine</w:t>
      </w:r>
      <w:bookmarkEnd w:id="94"/>
      <w:bookmarkEnd w:id="95"/>
    </w:p>
    <w:p w:rsidR="00CF4408" w:rsidRPr="002539EA" w:rsidRDefault="00D17EA0" w:rsidP="003A024A">
      <w:r w:rsidRPr="002539EA">
        <w:t>ERDAS-</w:t>
      </w:r>
      <w:r w:rsidR="004335C6" w:rsidRPr="002539EA">
        <w:t xml:space="preserve">imagine </w:t>
      </w:r>
      <w:r w:rsidRPr="002539EA">
        <w:t xml:space="preserve">is a remote sensing </w:t>
      </w:r>
      <w:r w:rsidR="00C318A4" w:rsidRPr="002539EA">
        <w:t>software package</w:t>
      </w:r>
      <w:r w:rsidRPr="002539EA">
        <w:t xml:space="preserve"> with raster graphics editor abilities designed by Earth Resources Data Analysis System (ERDAS) for geospatial applications. It is the </w:t>
      </w:r>
      <w:r w:rsidR="005F1A24" w:rsidRPr="002539EA">
        <w:t>frequently</w:t>
      </w:r>
      <w:r w:rsidRPr="002539EA">
        <w:t xml:space="preserve"> used </w:t>
      </w:r>
      <w:r w:rsidR="00F866D6" w:rsidRPr="002539EA">
        <w:t xml:space="preserve">RS </w:t>
      </w:r>
      <w:r w:rsidRPr="002539EA">
        <w:t xml:space="preserve">software package in order to provide true value, enhancing and classifying </w:t>
      </w:r>
      <w:r w:rsidR="00F866D6" w:rsidRPr="002539EA">
        <w:t xml:space="preserve">RS </w:t>
      </w:r>
      <w:r w:rsidRPr="002539EA">
        <w:t xml:space="preserve">imagery, </w:t>
      </w:r>
      <w:r w:rsidR="00CD1605" w:rsidRPr="002539EA">
        <w:t>re-</w:t>
      </w:r>
      <w:r w:rsidR="00A439CF" w:rsidRPr="002539EA">
        <w:t>projecting image data, geometric correction</w:t>
      </w:r>
      <w:r w:rsidR="009F142E" w:rsidRPr="002539EA">
        <w:t xml:space="preserve">, </w:t>
      </w:r>
      <w:r w:rsidR="008802C7" w:rsidRPr="002539EA">
        <w:t>etc.</w:t>
      </w:r>
      <w:r w:rsidR="00AF3A03" w:rsidRPr="002539EA">
        <w:t xml:space="preserve"> </w:t>
      </w:r>
      <w:r w:rsidR="00650A04" w:rsidRPr="002539EA">
        <w:rPr>
          <w:rStyle w:val="FootnoteReference"/>
        </w:rPr>
        <w:fldChar w:fldCharType="begin" w:fldLock="1"/>
      </w:r>
      <w:r w:rsidR="00A309A8" w:rsidRPr="002539EA">
        <w:instrText>ADDIN CSL_CITATION {"citationItems":[{"id":"ITEM-1","itemData":{"abstract":"This report describes a number of training modules for ERDAS Imagine, covering basic image processing techniques","author":[{"dropping-particle":"","family":"Hall","given":"M","non-dropping-particle":"","parse-names":false,"suffix":""},{"dropping-particle":"","family":"Bateson","given":"L","non-dropping-particle":"","parse-names":false,"suffix":""},{"dropping-particle":"","family":"Jordan","given":"C","non-dropping-particle":"","parse-names":false,"suffix":""}],"id":"ITEM-1","issued":{"date-parts":[["2004"]]},"number":"8.6","page":"1-83","publisher":"British Geological Survey (BGS)","publisher-place":"London Information Office at the Natural History Museum (Earth Galleries), Exhibition Road, South Kensington, London","title":"ERDAS Imagine 8.5 and 8.6 training manual","type":"article"},"uris":["http://www.mendeley.com/documents/?uuid=edf8686a-839b-45a1-be4e-def82091da55","http://www.mendeley.com/documents/?uuid=e90960db-3e35-4f6c-a269-5ba0cb6f8952"]},{"id":"ITEM-2","itemData":{"author":[{"dropping-particle":"","family":"Lemenkova","given":"Polina","non-dropping-particle":"","parse-names":false,"suffix":""}],"container-title":"Informatics","id":"ITEM-2","issue":"2","issued":{"date-parts":[["2015"]]},"page":"11-15","title":"Processing Remote sensing data using Erdas Imagine for mapping Aegean Sea Region, Turkey","type":"article-journal"},"uris":["http://www.mendeley.com/documents/?uuid=96a9d681-4a64-4ff3-926e-6f2fa6012da5","http://www.mendeley.com/documents/?uuid=0cdc56e5-ba25-4165-aee5-01e01ba2e953"]}],"mendeley":{"formattedCitation":"(Hall et al., 2004; Lemenkova, 2015)","plainTextFormattedCitation":"(Hall et al., 2004; Lemenkova, 2015)","previouslyFormattedCitation":"(Hall et al., 2004; Lemenkova, 2015)"},"properties":{"noteIndex":0},"schema":"https://github.com/citation-style-language/schema/raw/master/csl-citation.json"}</w:instrText>
      </w:r>
      <w:r w:rsidR="00650A04" w:rsidRPr="002539EA">
        <w:rPr>
          <w:rStyle w:val="FootnoteReference"/>
        </w:rPr>
        <w:fldChar w:fldCharType="separate"/>
      </w:r>
      <w:r w:rsidR="00A108C4" w:rsidRPr="002539EA">
        <w:rPr>
          <w:bCs/>
          <w:noProof/>
        </w:rPr>
        <w:t>(Hall et al., 2004; Lemenkova, 2015)</w:t>
      </w:r>
      <w:r w:rsidR="00650A04" w:rsidRPr="002539EA">
        <w:rPr>
          <w:rStyle w:val="FootnoteReference"/>
        </w:rPr>
        <w:fldChar w:fldCharType="end"/>
      </w:r>
      <w:r w:rsidR="00A04A82" w:rsidRPr="002539EA">
        <w:t>.</w:t>
      </w:r>
      <w:r w:rsidR="00C0403D" w:rsidRPr="002539EA">
        <w:t xml:space="preserve"> </w:t>
      </w:r>
      <w:r w:rsidR="00CF4408" w:rsidRPr="002539EA">
        <w:t xml:space="preserve">The </w:t>
      </w:r>
      <w:r w:rsidR="00C0403D" w:rsidRPr="002539EA">
        <w:t xml:space="preserve">classifier </w:t>
      </w:r>
      <w:r w:rsidR="00CA30BE" w:rsidRPr="002539EA">
        <w:t>processing features</w:t>
      </w:r>
      <w:r w:rsidR="000B4923" w:rsidRPr="002539EA">
        <w:t xml:space="preserve"> of </w:t>
      </w:r>
      <w:r w:rsidR="00CF4408" w:rsidRPr="002539EA">
        <w:t xml:space="preserve">ERDAS Imagine </w:t>
      </w:r>
      <w:r w:rsidR="00C0403D" w:rsidRPr="002539EA">
        <w:t xml:space="preserve">is </w:t>
      </w:r>
      <w:r w:rsidR="00CF4408" w:rsidRPr="002539EA">
        <w:t>used to classify image pixels based on their values in different spectral bands.</w:t>
      </w:r>
      <w:r w:rsidR="00C0403D" w:rsidRPr="002539EA">
        <w:t xml:space="preserve"> Classification of</w:t>
      </w:r>
      <w:r w:rsidR="00CF4408" w:rsidRPr="002539EA">
        <w:t xml:space="preserve"> LU</w:t>
      </w:r>
      <w:r w:rsidR="00ED4E6F" w:rsidRPr="002539EA">
        <w:t>/</w:t>
      </w:r>
      <w:r w:rsidR="00CF4408" w:rsidRPr="002539EA">
        <w:t>LC is</w:t>
      </w:r>
      <w:r w:rsidR="004538B2" w:rsidRPr="002539EA">
        <w:t xml:space="preserve"> carried out using unsupervised or supervised classifier </w:t>
      </w:r>
      <w:r w:rsidR="004538B2" w:rsidRPr="002539EA">
        <w:fldChar w:fldCharType="begin" w:fldLock="1"/>
      </w:r>
      <w:r w:rsidR="00993050" w:rsidRPr="002539EA">
        <w:instrText>ADDIN CSL_CITATION {"citationItems":[{"id":"ITEM-1","itemData":{"DOI":"10.1016/j.jum.2018.04.006","ISSN":"2226-5856","author":[{"dropping-particle":"","family":"Patra","given":"Suman","non-dropping-particle":"","parse-names":false,"suffix":""},{"dropping-particle":"","family":"Sahoo","given":"Satiprasad","non-dropping-particle":"","parse-names":false,"suffix":""},{"dropping-particle":"","family":"Mishra","given":"Pulak","non-dropping-particle":"","parse-names":false,"suffix":""},{"dropping-particle":"","family":"Mahapatra","given":"Subhash Chandra","non-dropping-particle":"","parse-names":false,"suffix":""}],"container-title":"Journal of Urban Management","id":"ITEM-1","issue":"2","issued":{"date-parts":[["2018"]]},"page":"70-84","publisher":"Elsevier B.V.","title":"Impacts of urbanization on land use /cover changes and its probable implications on local climate and groundwater level","type":"article-journal","volume":"7"},"uris":["http://www.mendeley.com/documents/?uuid=bf474098-fec4-4df9-b201-72526ad6c11d"]},{"id":"ITEM-2","itemData":{"DOI":"10.15242/ijrcmce.ae0317115","ISSN":"23491442","abstract":"Groundwater quantification needs a method which is not only flexible but also reliable in order to accurately quantify its spatial and temporal variability. As groundwater is dynamic and interdisciplinary in nature, an integrated approach of remote sensing (RS) and GIS technique is very useful in various groundwater management studies. Thus, the GIS water balance model (WetSpass) together with remote sensing (RS) can be used to quantify groundwater recharge. This paper discusses the concept of WetSpass in combination with GIS on the quantification of recharge with a view to managing water resources in an integrated framework. The paper presents the simulation procedures and expected output after simulation. Preliminary data are presented from GIS output only.","author":[{"dropping-particle":"","family":"Rwanga","given":"S S","non-dropping-particle":"","parse-names":false,"suffix":""},{"dropping-particle":"","family":"Ndambuki","given":"J M","non-dropping-particle":"","parse-names":false,"suffix":""}],"container-title":"International Journal of Research in Chemical, Metallurgical and Civil Engineering","id":"ITEM-2","issue":"1","issued":{"date-parts":[["2017"]]},"title":"Approach to Quantify Groundwater Recharge Using GIS Based Water Balance Model: A Review","type":"article-journal","volume":"4"},"uris":["http://www.mendeley.com/documents/?uuid=45f06cab-db9c-4244-9247-99fb7c2ff310"]},{"id":"ITEM-3","itemData":{"author":[{"dropping-particle":"","family":"Alemayehu","given":"Bireda","non-dropping-particle":"","parse-names":false,"suffix":""}],"id":"ITEM-3","issued":{"date-parts":[["2015"]]},"number-of-pages":"1-85","publisher":"Addis Ababa University","title":"GIS and Remote sensing based Land Use / Land Cover change detection and prediction in Fagita Lekoma Woreda, Awi Zone, North Western Ethiopia","type":"thesis"},"uris":["http://www.mendeley.com/documents/?uuid=af6794bc-9a9d-429e-bd28-ce6a857f99a4","http://www.mendeley.com/documents/?uuid=e550d487-5233-4711-b60a-14036fbe61ce"]}],"mendeley":{"formattedCitation":"(B. Alemayehu, 2015; Patra et al., 2018; S S Rwanga &amp; Ndambuki, 2017)","manualFormatting":"(Alemayehu, 2015; Patra et al., 2018; Rwanga and Ndambuki, 2017)","plainTextFormattedCitation":"(B. Alemayehu, 2015; Patra et al., 2018; S S Rwanga &amp; Ndambuki, 2017)","previouslyFormattedCitation":"(B. Alemayehu, 2015; Patra et al., 2018; S S Rwanga &amp; Ndambuki, 2017)"},"properties":{"noteIndex":0},"schema":"https://github.com/citation-style-language/schema/raw/master/csl-citation.json"}</w:instrText>
      </w:r>
      <w:r w:rsidR="004538B2" w:rsidRPr="002539EA">
        <w:fldChar w:fldCharType="separate"/>
      </w:r>
      <w:r w:rsidR="00993050" w:rsidRPr="002539EA">
        <w:rPr>
          <w:noProof/>
        </w:rPr>
        <w:t>(</w:t>
      </w:r>
      <w:r w:rsidR="004538B2" w:rsidRPr="002539EA">
        <w:rPr>
          <w:noProof/>
        </w:rPr>
        <w:t xml:space="preserve">Alemayehu, </w:t>
      </w:r>
      <w:r w:rsidR="006B6684" w:rsidRPr="002539EA">
        <w:rPr>
          <w:noProof/>
        </w:rPr>
        <w:t xml:space="preserve">2015; Patra et al., 2018; </w:t>
      </w:r>
      <w:r w:rsidR="004538B2" w:rsidRPr="002539EA">
        <w:rPr>
          <w:noProof/>
        </w:rPr>
        <w:t xml:space="preserve">Rwanga </w:t>
      </w:r>
      <w:r w:rsidR="006B6684" w:rsidRPr="002539EA">
        <w:rPr>
          <w:noProof/>
        </w:rPr>
        <w:t>and</w:t>
      </w:r>
      <w:r w:rsidR="004538B2" w:rsidRPr="002539EA">
        <w:rPr>
          <w:noProof/>
        </w:rPr>
        <w:t xml:space="preserve"> Ndambuki, 2017)</w:t>
      </w:r>
      <w:r w:rsidR="004538B2" w:rsidRPr="002539EA">
        <w:fldChar w:fldCharType="end"/>
      </w:r>
      <w:r w:rsidR="004538B2" w:rsidRPr="002539EA">
        <w:t>.</w:t>
      </w:r>
    </w:p>
    <w:p w:rsidR="00E87299" w:rsidRPr="002539EA" w:rsidRDefault="00E87299" w:rsidP="003A024A">
      <w:pPr>
        <w:pStyle w:val="Heading3"/>
        <w:numPr>
          <w:ilvl w:val="2"/>
          <w:numId w:val="1"/>
        </w:numPr>
      </w:pPr>
      <w:bookmarkStart w:id="96" w:name="_Toc68025070"/>
      <w:bookmarkStart w:id="97" w:name="_Toc68761553"/>
      <w:r w:rsidRPr="002539EA">
        <w:lastRenderedPageBreak/>
        <w:t xml:space="preserve">PCI </w:t>
      </w:r>
      <w:r w:rsidR="001D45DB" w:rsidRPr="002539EA">
        <w:t>Geomatics</w:t>
      </w:r>
      <w:bookmarkEnd w:id="96"/>
      <w:bookmarkEnd w:id="97"/>
    </w:p>
    <w:p w:rsidR="00CD4A39" w:rsidRPr="002539EA" w:rsidRDefault="00E87299" w:rsidP="003A024A">
      <w:pPr>
        <w:autoSpaceDE w:val="0"/>
        <w:autoSpaceDN w:val="0"/>
        <w:adjustRightInd w:val="0"/>
      </w:pPr>
      <w:r w:rsidRPr="002539EA">
        <w:t xml:space="preserve">PCI </w:t>
      </w:r>
      <w:r w:rsidR="001D45DB" w:rsidRPr="002539EA">
        <w:t>Geomatics</w:t>
      </w:r>
      <w:r w:rsidRPr="002539EA">
        <w:t xml:space="preserve"> is the remotely sensed image analysis softwa</w:t>
      </w:r>
      <w:r w:rsidR="009D516B" w:rsidRPr="002539EA">
        <w:t>re</w:t>
      </w:r>
      <w:r w:rsidR="00CD1605" w:rsidRPr="002539EA">
        <w:t xml:space="preserve">. </w:t>
      </w:r>
      <w:r w:rsidR="00F94788" w:rsidRPr="002539EA">
        <w:t xml:space="preserve">The software </w:t>
      </w:r>
      <w:r w:rsidR="00F10224" w:rsidRPr="002539EA">
        <w:t xml:space="preserve">use to </w:t>
      </w:r>
      <w:r w:rsidR="004B036A" w:rsidRPr="002539EA">
        <w:t>visualizes</w:t>
      </w:r>
      <w:r w:rsidR="00A34D40" w:rsidRPr="002539EA">
        <w:t xml:space="preserve"> and process raster and vector datasets. </w:t>
      </w:r>
      <w:r w:rsidR="00F10224" w:rsidRPr="002539EA">
        <w:t>T</w:t>
      </w:r>
      <w:r w:rsidR="00F94788" w:rsidRPr="002539EA">
        <w:t>ools em</w:t>
      </w:r>
      <w:r w:rsidR="00175375" w:rsidRPr="002539EA">
        <w:t xml:space="preserve">bedded in the software allow </w:t>
      </w:r>
      <w:r w:rsidR="009C49DA" w:rsidRPr="002539EA">
        <w:t>to extract lineament through algorithm librarian by using lineament extraction under line tools</w:t>
      </w:r>
      <w:r w:rsidR="00C4110E" w:rsidRPr="002539EA">
        <w:t xml:space="preserve"> </w:t>
      </w:r>
      <w:r w:rsidR="00650A04" w:rsidRPr="002539EA">
        <w:rPr>
          <w:rStyle w:val="FootnoteReference"/>
        </w:rPr>
        <w:fldChar w:fldCharType="begin" w:fldLock="1"/>
      </w:r>
      <w:r w:rsidR="00A309A8" w:rsidRPr="002539EA">
        <w:instrText>ADDIN CSL_CITATION {"citationItems":[{"id":"ITEM-1","itemData":{"author":[{"dropping-particle":"","family":"PCI Geomatics Enterprises","given":"","non-dropping-particle":"","parse-names":false,"suffix":""}],"id":"ITEM-1","issued":{"date-parts":[["2018"]]},"page":"1-26","publisher-place":"90 Allstate Parkway, Suite 501, Canada","title":"Geomatica I guide Version 2018","type":"article-journal"},"uris":["http://www.mendeley.com/documents/?uuid=afb2f6c7-48b4-4344-b4d2-542a2833cf6b","http://www.mendeley.com/documents/?uuid=5deb476a-92ff-4b0d-84a0-7680506ffb9c"]},{"id":"ITEM-2","itemData":{"author":[{"dropping-particle":"","family":"PCI Geomatics Enterprises","given":"","non-dropping-particle":"","parse-names":false,"suffix":""}],"id":"ITEM-2","issued":{"date-parts":[["2017"]]},"number-of-pages":"1-24","publisher":"PCI Geomatics Enterprises, Inc.","publisher-place":"90 Allstate Parkway, Suite 501, Markham, Ontario, Canada","title":"Geomatica 2017 Installation and licencing guide","type":"book"},"uris":["http://www.mendeley.com/documents/?uuid=17b59507-67e8-4829-ac48-e4576761d1b7","http://www.mendeley.com/documents/?uuid=bbb1d717-fc32-4dce-9d6d-74e1b645c71c"]}],"mendeley":{"formattedCitation":"(PCI Geomatics Enterprises, 2017, 2018)","plainTextFormattedCitation":"(PCI Geomatics Enterprises, 2017, 2018)","previouslyFormattedCitation":"(PCI Geomatics Enterprises, 2017, 2018)"},"properties":{"noteIndex":0},"schema":"https://github.com/citation-style-language/schema/raw/master/csl-citation.json"}</w:instrText>
      </w:r>
      <w:r w:rsidR="00650A04" w:rsidRPr="002539EA">
        <w:rPr>
          <w:rStyle w:val="FootnoteReference"/>
        </w:rPr>
        <w:fldChar w:fldCharType="separate"/>
      </w:r>
      <w:r w:rsidR="00CD1605" w:rsidRPr="002539EA">
        <w:rPr>
          <w:noProof/>
        </w:rPr>
        <w:t>(PCI Geomatics Enterprises, 2017, 2018)</w:t>
      </w:r>
      <w:r w:rsidR="00650A04" w:rsidRPr="002539EA">
        <w:rPr>
          <w:rStyle w:val="FootnoteReference"/>
        </w:rPr>
        <w:fldChar w:fldCharType="end"/>
      </w:r>
      <w:r w:rsidR="0003676A" w:rsidRPr="002539EA">
        <w:t xml:space="preserve">. </w:t>
      </w:r>
      <w:r w:rsidR="00F94788" w:rsidRPr="002539EA">
        <w:t xml:space="preserve">PCI </w:t>
      </w:r>
      <w:r w:rsidR="001D45DB" w:rsidRPr="002539EA">
        <w:t>Geomatics</w:t>
      </w:r>
      <w:r w:rsidR="00F94788" w:rsidRPr="002539EA">
        <w:t xml:space="preserve"> </w:t>
      </w:r>
      <w:r w:rsidR="0003676A" w:rsidRPr="002539EA">
        <w:t>was</w:t>
      </w:r>
      <w:r w:rsidR="0068065D" w:rsidRPr="002539EA">
        <w:t xml:space="preserve"> </w:t>
      </w:r>
      <w:r w:rsidR="0009686D" w:rsidRPr="002539EA">
        <w:t>employed</w:t>
      </w:r>
      <w:r w:rsidR="0068065D" w:rsidRPr="002539EA">
        <w:t xml:space="preserve"> </w:t>
      </w:r>
      <w:r w:rsidR="000B77B6" w:rsidRPr="002539EA">
        <w:t>in study conducted by</w:t>
      </w:r>
      <w:r w:rsidR="0003676A" w:rsidRPr="002539EA">
        <w:t xml:space="preserve"> </w:t>
      </w:r>
      <w:r w:rsidR="0003676A" w:rsidRPr="002539EA">
        <w:rPr>
          <w:noProof/>
        </w:rPr>
        <w:t xml:space="preserve">Gebru et al., (2020) </w:t>
      </w:r>
      <w:r w:rsidR="000B77B6" w:rsidRPr="002539EA">
        <w:t xml:space="preserve">to identify </w:t>
      </w:r>
      <w:r w:rsidR="009B70BE" w:rsidRPr="002539EA">
        <w:t xml:space="preserve">GWPZ </w:t>
      </w:r>
      <w:r w:rsidR="000B77B6" w:rsidRPr="002539EA">
        <w:t>of Golina River Basin, Northern Ethiopia.</w:t>
      </w:r>
      <w:r w:rsidR="00DE36A6" w:rsidRPr="002539EA">
        <w:t xml:space="preserve"> </w:t>
      </w:r>
      <w:r w:rsidR="00437664" w:rsidRPr="002539EA">
        <w:t>L</w:t>
      </w:r>
      <w:r w:rsidR="00010865" w:rsidRPr="002539EA">
        <w:t xml:space="preserve">and use classification and lineament extraction </w:t>
      </w:r>
      <w:r w:rsidR="005570F1" w:rsidRPr="002539EA">
        <w:t>of Megech watershed</w:t>
      </w:r>
      <w:r w:rsidR="00437664" w:rsidRPr="002539EA">
        <w:t xml:space="preserve">, </w:t>
      </w:r>
      <w:r w:rsidR="005570F1" w:rsidRPr="002539EA">
        <w:t xml:space="preserve">Ethiopia </w:t>
      </w:r>
      <w:r w:rsidR="00437664" w:rsidRPr="002539EA">
        <w:t xml:space="preserve">was prepared </w:t>
      </w:r>
      <w:r w:rsidR="00010865" w:rsidRPr="002539EA">
        <w:t>from Landsat 8 OLI/TIRS multi-spectral image</w:t>
      </w:r>
      <w:r w:rsidR="005570F1" w:rsidRPr="002539EA">
        <w:t xml:space="preserve"> by using PCI Geomatics</w:t>
      </w:r>
      <w:r w:rsidR="00010865" w:rsidRPr="002539EA">
        <w:t>.</w:t>
      </w:r>
      <w:r w:rsidR="005570F1" w:rsidRPr="002539EA">
        <w:t xml:space="preserve"> </w:t>
      </w:r>
      <w:r w:rsidR="000F5AC5" w:rsidRPr="002539EA">
        <w:t xml:space="preserve">Automatic lineament extraction method </w:t>
      </w:r>
      <w:r w:rsidR="006E3471" w:rsidRPr="002539EA">
        <w:t>was</w:t>
      </w:r>
      <w:r w:rsidR="000F5AC5" w:rsidRPr="002539EA">
        <w:t xml:space="preserve"> preferred due to its time effectiveness and user friendliness compared to the manual lineament extraction. The prepared thematic map was used for i</w:t>
      </w:r>
      <w:r w:rsidR="00437664" w:rsidRPr="002539EA">
        <w:t xml:space="preserve">dentification of </w:t>
      </w:r>
      <w:r w:rsidR="00D07352" w:rsidRPr="002539EA">
        <w:t>GWPZ’s</w:t>
      </w:r>
      <w:r w:rsidR="00437664" w:rsidRPr="002539EA">
        <w:t xml:space="preserve"> using GIS and </w:t>
      </w:r>
      <w:r w:rsidR="00F866D6" w:rsidRPr="002539EA">
        <w:t>RS</w:t>
      </w:r>
      <w:r w:rsidR="00F714D4" w:rsidRPr="002539EA">
        <w:t xml:space="preserve"> </w:t>
      </w:r>
      <w:r w:rsidR="00650A04" w:rsidRPr="002539EA">
        <w:rPr>
          <w:rStyle w:val="FootnoteReference"/>
        </w:rPr>
        <w:fldChar w:fldCharType="begin" w:fldLock="1"/>
      </w:r>
      <w:r w:rsidR="00A309A8" w:rsidRPr="002539EA">
        <w:instrText>ADDIN CSL_CITATION {"citationItems":[{"id":"ITEM-1","itemData":{"ISSN":"22145818","abstract":"Study Region: Part of the Lake Tana sub-basin of the Blue Nile, Ethiopia Study focus: This study is aimed to identify and locate the groundwater potential zones of Megech watershed using geographic information system (GIS) and remote sensing. Lithology, lineament density, slope, geomorphology, soil, land use and land cover, rainfall, drainage density and elevation were used as proxy data to map the groundwater potential zones of the watershed. Weights were assigned for each thematic layer and thematic layer classes using the PriEsT Analytical Hierarchy Process (AHP) tool. Suitably ArcGIS overlay analysis was conducted to obtain the groundwater potential map. Geology, lineament density, slope and geomorphology were found to be the dominant and sensitive factors for groundwater zoning as portrayed in the map removal analysis. New hydrological insights for the region: Three groundwater potential zones were identified in the study area namely low, moderate and high. These groundwater potential zones were compared with an independent set of groundwater inventory data to validate the results. The validation analysis showed 78.5 % agreement between the groundwater inventory data and the qualitative results. Use of proxy data can serve as a credible source of information for groundwater potential zoning and could greatly help in the groundwater development and management of a region.","author":[{"dropping-particle":"","family":"Berhanu","given":"Kibrit Gedam","non-dropping-particle":"","parse-names":false,"suffix":""},{"dropping-particle":"","family":"Hatiye","given":"Samuel Dagalo","non-dropping-particle":"","parse-names":false,"suffix":""}],"container-title":"Journal of Hydrology: Regional Studies","id":"ITEM-1","issue":"2","issued":{"date-parts":[["2020"]]},"page":"1-20","publisher":"Elsevier","title":"Identification of Groundwater Potential Zones Using Proxy Data: Case study of Megech Watershed, Ethiopia","type":"article-journal","volume":"28"},"uris":["http://www.mendeley.com/documents/?uuid=3490be92-453d-4041-a8ee-a20a1819fce5","http://www.mendeley.com/documents/?uuid=eb26e103-6c48-4c4c-ba99-ee12644d8c83"]}],"mendeley":{"formattedCitation":"(K. G. Berhanu &amp; Hatiye, 2020)","manualFormatting":"(Berhanu and Hatiye, 2020)","plainTextFormattedCitation":"(K. G. Berhanu &amp; Hatiye, 2020)","previouslyFormattedCitation":"(K. G. Berhanu &amp; Hatiye, 2020)"},"properties":{"noteIndex":0},"schema":"https://github.com/citation-style-language/schema/raw/master/csl-citation.json"}</w:instrText>
      </w:r>
      <w:r w:rsidR="00650A04" w:rsidRPr="002539EA">
        <w:rPr>
          <w:rStyle w:val="FootnoteReference"/>
        </w:rPr>
        <w:fldChar w:fldCharType="separate"/>
      </w:r>
      <w:r w:rsidR="00E230CE" w:rsidRPr="002539EA">
        <w:rPr>
          <w:noProof/>
        </w:rPr>
        <w:t>(Berhanu and</w:t>
      </w:r>
      <w:r w:rsidR="00F714D4" w:rsidRPr="002539EA">
        <w:rPr>
          <w:noProof/>
        </w:rPr>
        <w:t xml:space="preserve"> Hatiye, 2020)</w:t>
      </w:r>
      <w:r w:rsidR="00650A04" w:rsidRPr="002539EA">
        <w:rPr>
          <w:rStyle w:val="FootnoteReference"/>
        </w:rPr>
        <w:fldChar w:fldCharType="end"/>
      </w:r>
      <w:r w:rsidR="003D60AA" w:rsidRPr="002539EA">
        <w:t>.</w:t>
      </w:r>
    </w:p>
    <w:p w:rsidR="001D7FD9" w:rsidRPr="002539EA" w:rsidRDefault="001D7FD9" w:rsidP="003A024A">
      <w:pPr>
        <w:pStyle w:val="Heading3"/>
        <w:numPr>
          <w:ilvl w:val="2"/>
          <w:numId w:val="1"/>
        </w:numPr>
      </w:pPr>
      <w:bookmarkStart w:id="98" w:name="_Toc68025071"/>
      <w:bookmarkStart w:id="99" w:name="_Toc68761554"/>
      <w:r w:rsidRPr="002539EA">
        <w:t>Rockworks16</w:t>
      </w:r>
      <w:bookmarkEnd w:id="98"/>
      <w:bookmarkEnd w:id="99"/>
    </w:p>
    <w:p w:rsidR="005B042D" w:rsidRPr="002539EA" w:rsidRDefault="001D7FD9" w:rsidP="003A024A">
      <w:r w:rsidRPr="002539EA">
        <w:t xml:space="preserve">RockWorks16 is the newest version of </w:t>
      </w:r>
      <w:r w:rsidR="00F659EC" w:rsidRPr="002539EA">
        <w:t>Rock Ware’s</w:t>
      </w:r>
      <w:r w:rsidRPr="002539EA">
        <w:t xml:space="preserve"> integrated software package for geolo</w:t>
      </w:r>
      <w:r w:rsidR="00A432B8" w:rsidRPr="002539EA">
        <w:t>gical data management, analysis</w:t>
      </w:r>
      <w:r w:rsidRPr="002539EA">
        <w:t xml:space="preserve"> and visualization. </w:t>
      </w:r>
      <w:r w:rsidR="00F659EC" w:rsidRPr="002539EA">
        <w:t>Rockworks specialize</w:t>
      </w:r>
      <w:r w:rsidRPr="002539EA">
        <w:t xml:space="preserve"> in visualization of sub</w:t>
      </w:r>
      <w:r w:rsidR="00E60EB5" w:rsidRPr="002539EA">
        <w:t>-</w:t>
      </w:r>
      <w:r w:rsidRPr="002539EA">
        <w:t>surface data as logs, cross sections, fence diagrams, solid models, structural and isopach maps</w:t>
      </w:r>
      <w:r w:rsidR="005B042D" w:rsidRPr="002539EA">
        <w:t xml:space="preserve">. </w:t>
      </w:r>
      <w:r w:rsidRPr="002539EA">
        <w:t xml:space="preserve">The Rockworks </w:t>
      </w:r>
      <w:r w:rsidR="00677563" w:rsidRPr="002539EA">
        <w:t xml:space="preserve">Lineation’s utilities used to </w:t>
      </w:r>
      <w:r w:rsidRPr="002539EA">
        <w:t>import lineation endpoint data from a DXF file</w:t>
      </w:r>
      <w:r w:rsidR="00CE7004" w:rsidRPr="002539EA">
        <w:t xml:space="preserve"> and </w:t>
      </w:r>
      <w:r w:rsidRPr="002539EA">
        <w:t>storing the endpoint coordinates in the main Rockworks data sheet</w:t>
      </w:r>
      <w:r w:rsidR="00677563" w:rsidRPr="002539EA">
        <w:t xml:space="preserve">. The other Rockworks utilities, </w:t>
      </w:r>
      <w:r w:rsidRPr="002539EA">
        <w:t>Rose diagram/from bearings and from endpoints read either bearing data or line endpoint data and generate a directional diagram that depicts the orien</w:t>
      </w:r>
      <w:r w:rsidR="003444E1" w:rsidRPr="002539EA">
        <w:t xml:space="preserve">tations of the linear features </w:t>
      </w:r>
      <w:r w:rsidRPr="002539EA">
        <w:rPr>
          <w:rStyle w:val="FootnoteReference"/>
        </w:rPr>
        <w:fldChar w:fldCharType="begin" w:fldLock="1"/>
      </w:r>
      <w:r w:rsidR="00A309A8" w:rsidRPr="002539EA">
        <w:instrText>ADDIN CSL_CITATION {"citationItems":[{"id":"ITEM-1","itemData":{"ISBN":"9788578110796","ISSN":"1098-6596","PMID":"25246403","author":[{"dropping-particle":"","family":"RockWorks","given":"","non-dropping-particle":"","parse-names":false,"suffix":""}],"edition":"first edit","id":"ITEM-1","issued":{"date-parts":[["2008"]]},"number-of-pages":"1-371","publisher":"RockWare, Inc.","publisher-place":"2221 East St., Suite 101 80401 Golden, CO USA","title":"RockWorks Manual: Earth Science &amp; GIS Software","type":"book","volume":"1"},"uris":["http://www.mendeley.com/documents/?uuid=c398d223-28aa-4488-b772-7bded239526a","http://www.mendeley.com/documents/?uuid=a684a54c-0ba2-4217-a761-a3c2ab76dff1"]}],"mendeley":{"formattedCitation":"(RockWorks, 2008)","plainTextFormattedCitation":"(RockWorks, 2008)","previouslyFormattedCitation":"(RockWorks, 2008)"},"properties":{"noteIndex":0},"schema":"https://github.com/citation-style-language/schema/raw/master/csl-citation.json"}</w:instrText>
      </w:r>
      <w:r w:rsidRPr="002539EA">
        <w:rPr>
          <w:rStyle w:val="FootnoteReference"/>
        </w:rPr>
        <w:fldChar w:fldCharType="separate"/>
      </w:r>
      <w:r w:rsidRPr="002539EA">
        <w:rPr>
          <w:noProof/>
        </w:rPr>
        <w:t>(RockWorks, 2008)</w:t>
      </w:r>
      <w:r w:rsidRPr="002539EA">
        <w:rPr>
          <w:rStyle w:val="FootnoteReference"/>
        </w:rPr>
        <w:fldChar w:fldCharType="end"/>
      </w:r>
      <w:r w:rsidRPr="002539EA">
        <w:t xml:space="preserve">. </w:t>
      </w:r>
    </w:p>
    <w:p w:rsidR="001D7FD9" w:rsidRPr="002539EA" w:rsidRDefault="001D7FD9" w:rsidP="003A024A">
      <w:r w:rsidRPr="002539EA">
        <w:t xml:space="preserve">Rockworks software was </w:t>
      </w:r>
      <w:r w:rsidR="00A432B8" w:rsidRPr="002539EA">
        <w:t>employed</w:t>
      </w:r>
      <w:r w:rsidRPr="002539EA">
        <w:t xml:space="preserve"> to analyze the distribution of </w:t>
      </w:r>
      <w:r w:rsidR="0060006D" w:rsidRPr="002539EA">
        <w:t>lineaments of Alarasah area of S</w:t>
      </w:r>
      <w:r w:rsidRPr="002539EA">
        <w:t xml:space="preserve">outheastern central Yemen. The rose diagrams showing orientation trend of lineament was prepared based on the frequency of lineaments </w:t>
      </w:r>
      <w:r w:rsidRPr="002539EA">
        <w:rPr>
          <w:rStyle w:val="FootnoteReference"/>
        </w:rPr>
        <w:fldChar w:fldCharType="begin" w:fldLock="1"/>
      </w:r>
      <w:r w:rsidR="00A309A8" w:rsidRPr="002539EA">
        <w:instrText>ADDIN CSL_CITATION {"citationItems":[{"id":"ITEM-1","itemData":{"abstract":"Remote Sensing data are being used in solving various earth related problems by digital image processing in a computer. Detection of the geological linear features contributes significantly towards the understanding of structural scenario of the area. The purpose of this study was to identify lineaments on Alarasah area, Shabwah Province, Southeastern central Yemen, with the aid of Satellite images. Therefore, automated and manual methods were applied to extract lineaments from Satellite images. In general, automated extraction does not work properly to identify the faults or fault zones present in the area, the problem faced is related to the length and the pattern of the faults. For this reason, it has been decided to use the manually extracted lineaments for further analysis. The manual method is believed to extract the lineaments showing similarity with geological lineaments/faults present in the area. The resultant lineament map is tested with the fault map of the area compiled from the literature and geological map. Good relationship was observed between lineaments extracted from Satellite images and the geological structure in the study area. The final lineament map generated for the study area will help to identify potential zonation of hydrocarbon resources.","author":[{"dropping-particle":"","family":"Aldharab","given":"Hamdi S.","non-dropping-particle":"","parse-names":false,"suffix":""},{"dropping-particle":"","family":"Ali","given":"Syed Ahmad","non-dropping-particle":"","parse-names":false,"suffix":""},{"dropping-particle":"","family":"Ikbal","given":"Javed","non-dropping-particle":"","parse-names":false,"suffix":""},{"dropping-particle":"","family":"Ghareb","given":"Saleh A.","non-dropping-particle":"","parse-names":false,"suffix":""}],"container-title":"Journal of Geography, Environment and Earth Science International","id":"ITEM-1","issue":"2","issued":{"date-parts":[["2018"]]},"page":"1-13","title":"Spatial analysis of lineaments and their tectonic significance using Landsat imagery in Alarasah area-Southeastern Central Yemen","type":"article-journal","volume":"18"},"uris":["http://www.mendeley.com/documents/?uuid=b2ed1a80-d43c-454e-a9e5-090dd5069cb1","http://www.mendeley.com/documents/?uuid=2c927097-499c-47a2-8605-304771939086"]}],"mendeley":{"formattedCitation":"(Aldharab et al., 2018)","plainTextFormattedCitation":"(Aldharab et al., 2018)","previouslyFormattedCitation":"(Aldharab et al., 2018)"},"properties":{"noteIndex":0},"schema":"https://github.com/citation-style-language/schema/raw/master/csl-citation.json"}</w:instrText>
      </w:r>
      <w:r w:rsidRPr="002539EA">
        <w:rPr>
          <w:rStyle w:val="FootnoteReference"/>
        </w:rPr>
        <w:fldChar w:fldCharType="separate"/>
      </w:r>
      <w:r w:rsidRPr="002539EA">
        <w:rPr>
          <w:bCs/>
          <w:noProof/>
        </w:rPr>
        <w:t>(Aldharab et al., 2018)</w:t>
      </w:r>
      <w:r w:rsidRPr="002539EA">
        <w:rPr>
          <w:rStyle w:val="FootnoteReference"/>
        </w:rPr>
        <w:fldChar w:fldCharType="end"/>
      </w:r>
      <w:r w:rsidRPr="002539EA">
        <w:t xml:space="preserve">. </w:t>
      </w:r>
      <w:r w:rsidRPr="002539EA">
        <w:rPr>
          <w:noProof/>
        </w:rPr>
        <w:t>Study conducted by Doyo, (2020) apply similar tool</w:t>
      </w:r>
      <w:r w:rsidRPr="002539EA">
        <w:t xml:space="preserve"> to analyze the lineament of study area for mapping the groundwater potential of Meki watershed, Central Rift valley, Ethiopia</w:t>
      </w:r>
      <w:r w:rsidRPr="002539EA">
        <w:rPr>
          <w:noProof/>
        </w:rPr>
        <w:t xml:space="preserve">. </w:t>
      </w:r>
    </w:p>
    <w:p w:rsidR="00727EA1" w:rsidRPr="002539EA" w:rsidRDefault="00C14D6F" w:rsidP="003A024A">
      <w:pPr>
        <w:pStyle w:val="Heading3"/>
        <w:numPr>
          <w:ilvl w:val="2"/>
          <w:numId w:val="1"/>
        </w:numPr>
      </w:pPr>
      <w:bookmarkStart w:id="100" w:name="_Toc68025072"/>
      <w:bookmarkStart w:id="101" w:name="_Toc68761555"/>
      <w:r w:rsidRPr="002539EA">
        <w:t xml:space="preserve">System for </w:t>
      </w:r>
      <w:r w:rsidR="00C42784" w:rsidRPr="002539EA">
        <w:t xml:space="preserve">Automated Geoscientific Analysis </w:t>
      </w:r>
      <w:r w:rsidRPr="002539EA">
        <w:t>(</w:t>
      </w:r>
      <w:r w:rsidR="00002C9B" w:rsidRPr="002539EA">
        <w:t>SAGA</w:t>
      </w:r>
      <w:r w:rsidRPr="002539EA">
        <w:t>)</w:t>
      </w:r>
      <w:r w:rsidR="00002C9B" w:rsidRPr="002539EA">
        <w:t xml:space="preserve"> GIS</w:t>
      </w:r>
      <w:bookmarkEnd w:id="100"/>
      <w:bookmarkEnd w:id="101"/>
    </w:p>
    <w:p w:rsidR="00544305" w:rsidRPr="002539EA" w:rsidRDefault="00F32333" w:rsidP="003A024A">
      <w:r w:rsidRPr="002539EA">
        <w:t>SAGA is a free Geogr</w:t>
      </w:r>
      <w:r w:rsidR="009276D8" w:rsidRPr="002539EA">
        <w:t>aphical Information System</w:t>
      </w:r>
      <w:r w:rsidRPr="002539EA">
        <w:t xml:space="preserve"> with support for vector and specially raster data</w:t>
      </w:r>
      <w:r w:rsidR="00CF6CDD" w:rsidRPr="002539EA">
        <w:t xml:space="preserve"> </w:t>
      </w:r>
      <w:r w:rsidR="00650A04" w:rsidRPr="002539EA">
        <w:rPr>
          <w:rStyle w:val="FootnoteReference"/>
        </w:rPr>
        <w:fldChar w:fldCharType="begin" w:fldLock="1"/>
      </w:r>
      <w:r w:rsidR="00A309A8" w:rsidRPr="002539EA">
        <w:instrText>ADDIN CSL_CITATION {"citationItems":[{"id":"ITEM-1","itemData":{"abstract":"SAGA is a free Geographical Information System (GIS) with support for vector and — spe- cially — raster data. This book describes the main features of SAGA, and its aimed at every user who wants to use the program whether as a learning tool (SAGA is a very good choice to discover GIS fundamentals) or as an all–purpose GIS with which develop “real” geographical analysis.","author":[{"dropping-particle":"","family":"Olaya","given":"Victor","non-dropping-particle":"","parse-names":false,"suffix":""}],"container-title":"The SAGA User Group eV, Gottingen, Germany","edition":"1.1","editor":[{"dropping-particle":"","family":"Pineda","given":"Javier","non-dropping-particle":"","parse-names":false,"suffix":""},{"dropping-particle":"","family":"Olaya","given":"Victor","non-dropping-particle":"","parse-names":false,"suffix":""}],"id":"ITEM-1","issued":{"date-parts":[["2004"]]},"number-of-pages":"216","title":"A gentle introduction to SAGA GIS","type":"book"},"uris":["http://www.mendeley.com/documents/?uuid=7df6f0cb-eb20-4cfc-8a2f-1341729d8295","http://www.mendeley.com/documents/?uuid=cbc8b85d-ce38-45c4-8526-85b1be47db33"]}],"mendeley":{"formattedCitation":"(Olaya, 2004)","plainTextFormattedCitation":"(Olaya, 2004)","previouslyFormattedCitation":"(Olaya, 2004)"},"properties":{"noteIndex":0},"schema":"https://github.com/citation-style-language/schema/raw/master/csl-citation.json"}</w:instrText>
      </w:r>
      <w:r w:rsidR="00650A04" w:rsidRPr="002539EA">
        <w:rPr>
          <w:rStyle w:val="FootnoteReference"/>
        </w:rPr>
        <w:fldChar w:fldCharType="separate"/>
      </w:r>
      <w:r w:rsidR="00E539F2" w:rsidRPr="002539EA">
        <w:rPr>
          <w:bCs/>
          <w:noProof/>
        </w:rPr>
        <w:t>(Olaya, 2004)</w:t>
      </w:r>
      <w:r w:rsidR="00650A04" w:rsidRPr="002539EA">
        <w:rPr>
          <w:rStyle w:val="FootnoteReference"/>
        </w:rPr>
        <w:fldChar w:fldCharType="end"/>
      </w:r>
      <w:r w:rsidR="00F713DA" w:rsidRPr="002539EA">
        <w:t xml:space="preserve">. </w:t>
      </w:r>
      <w:r w:rsidR="004C1020" w:rsidRPr="002539EA">
        <w:t xml:space="preserve">SAGA GIS software, </w:t>
      </w:r>
      <w:r w:rsidR="00782FD6" w:rsidRPr="002539EA">
        <w:t xml:space="preserve">which was developed by a team of geospatialists at the Department of Physical Geography, University of Gottingen, Germany, facilitates faster geomorphometrical calculations and terrain computations. </w:t>
      </w:r>
    </w:p>
    <w:p w:rsidR="001310E0" w:rsidRPr="002539EA" w:rsidRDefault="00782FD6" w:rsidP="003A024A">
      <w:r w:rsidRPr="002539EA">
        <w:lastRenderedPageBreak/>
        <w:t>This particular software has been designed for easy and effective implementation of spatial algorithms</w:t>
      </w:r>
      <w:r w:rsidR="00F713DA" w:rsidRPr="002539EA">
        <w:t xml:space="preserve"> </w:t>
      </w:r>
      <w:r w:rsidR="00650A04" w:rsidRPr="002539EA">
        <w:rPr>
          <w:rStyle w:val="FootnoteReference"/>
        </w:rPr>
        <w:fldChar w:fldCharType="begin" w:fldLock="1"/>
      </w:r>
      <w:r w:rsidR="00A309A8" w:rsidRPr="002539EA">
        <w:instrText>ADDIN CSL_CITATION {"citationItems":[{"id":"ITEM-1","itemData":{"ISSN":"01266039","abstract":"In this paper, we present an automated classification method of landform elements using an application of SAGA GIS software. The spatial assessment was done on the Yambaru forest area (YFA) in the northernmost part of Okinawa Island, Japan. This task is performed through the detailed elevation grid analyses from DTM of YFA with a spatial scale of 10 × 10 m2 supported by The Geospatial Information Authority of Japan. The classification has ten classes; high ridges, midslope ridges, upland drainage, upper slopes, open slopes, plains, valleys, local ridges, midslope drainage and streams. Classes were defined using the 'topographical position index' module and selected terrain variables were integrated to vegetation data for site evaluation. Information on terrain characteristics is very important to explain geographical constraints and map variability of natural resources in maintaining sustainable forest management as well as supporting decision making processes. Taking this into account, we adapted a traditional concept of forest terrain introduced by Sai On, a council member of the Ryukyu Kingdom (former name of Okinawa Island) when evaluating the potential site for forestry use.","author":[{"dropping-particle":"","family":"Zawawi","given":"Azita Ahmad","non-dropping-particle":"","parse-names":false,"suffix":""},{"dropping-particle":"","family":"Shiba","given":"Masami","non-dropping-particle":"","parse-names":false,"suffix":""},{"dropping-particle":"","family":"Jemali","given":"Noor Janatun Naim","non-dropping-particle":"","parse-names":false,"suffix":""}],"container-title":"Sains Malaysiana","id":"ITEM-1","issue":"3","issued":{"date-parts":[["2014"]]},"page":"349-358","title":"Landform classification for site evaluation and forest planning: Integration between scientific approach and traditional concept","type":"article-journal","volume":"43"},"uris":["http://www.mendeley.com/documents/?uuid=6cbb28ab-f3ed-4cf9-9b48-138fbef2a51b","http://www.mendeley.com/documents/?uuid=f4517d33-0dc2-4871-8f6a-75ace08d62de"]}],"mendeley":{"formattedCitation":"(Zawawi et al., 2014)","plainTextFormattedCitation":"(Zawawi et al., 2014)","previouslyFormattedCitation":"(Zawawi et al., 2014)"},"properties":{"noteIndex":0},"schema":"https://github.com/citation-style-language/schema/raw/master/csl-citation.json"}</w:instrText>
      </w:r>
      <w:r w:rsidR="00650A04" w:rsidRPr="002539EA">
        <w:rPr>
          <w:rStyle w:val="FootnoteReference"/>
        </w:rPr>
        <w:fldChar w:fldCharType="separate"/>
      </w:r>
      <w:r w:rsidR="00A108C4" w:rsidRPr="002539EA">
        <w:rPr>
          <w:bCs/>
          <w:noProof/>
        </w:rPr>
        <w:t>(Zawawi et al., 2014)</w:t>
      </w:r>
      <w:r w:rsidR="00650A04" w:rsidRPr="002539EA">
        <w:rPr>
          <w:rStyle w:val="FootnoteReference"/>
        </w:rPr>
        <w:fldChar w:fldCharType="end"/>
      </w:r>
      <w:r w:rsidR="00F713DA" w:rsidRPr="002539EA">
        <w:t xml:space="preserve">. </w:t>
      </w:r>
      <w:r w:rsidR="0029725D" w:rsidRPr="002539EA">
        <w:t>It</w:t>
      </w:r>
      <w:r w:rsidR="00384B28" w:rsidRPr="002539EA">
        <w:t xml:space="preserve"> </w:t>
      </w:r>
      <w:r w:rsidR="0046650A" w:rsidRPr="002539EA">
        <w:t>simplifies</w:t>
      </w:r>
      <w:r w:rsidR="00384B28" w:rsidRPr="002539EA">
        <w:t xml:space="preserve"> </w:t>
      </w:r>
      <w:r w:rsidR="0046650A" w:rsidRPr="002539EA">
        <w:t xml:space="preserve">the </w:t>
      </w:r>
      <w:r w:rsidR="00384D1F" w:rsidRPr="002539EA">
        <w:t>analysis of raster data, particularly of</w:t>
      </w:r>
      <w:r w:rsidR="00381744" w:rsidRPr="002539EA">
        <w:t xml:space="preserve"> </w:t>
      </w:r>
      <w:r w:rsidR="004C1020" w:rsidRPr="002539EA">
        <w:t>DEM</w:t>
      </w:r>
      <w:r w:rsidR="00384D1F" w:rsidRPr="002539EA">
        <w:t>, which have been used</w:t>
      </w:r>
      <w:r w:rsidR="004A2E49" w:rsidRPr="002539EA">
        <w:t xml:space="preserve"> </w:t>
      </w:r>
      <w:r w:rsidR="004657E1" w:rsidRPr="002539EA">
        <w:t xml:space="preserve">to predict </w:t>
      </w:r>
      <w:r w:rsidR="00384D1F" w:rsidRPr="002539EA">
        <w:t>terrain-controlle</w:t>
      </w:r>
      <w:r w:rsidR="004657E1" w:rsidRPr="002539EA">
        <w:t xml:space="preserve">d process dynamics </w:t>
      </w:r>
      <w:r w:rsidR="006A0730" w:rsidRPr="002539EA">
        <w:t>(Conrad et al., 2015)</w:t>
      </w:r>
      <w:r w:rsidR="00BE0BF0" w:rsidRPr="002539EA">
        <w:t xml:space="preserve">. </w:t>
      </w:r>
      <w:r w:rsidR="00316712" w:rsidRPr="002539EA">
        <w:t xml:space="preserve">Whilst there are a number of sophisticated free open source raster analysis packages available, SAGA GIS was </w:t>
      </w:r>
      <w:r w:rsidR="00492172" w:rsidRPr="002539EA">
        <w:t>chosen</w:t>
      </w:r>
      <w:r w:rsidR="00316712" w:rsidRPr="002539EA">
        <w:t xml:space="preserve"> as </w:t>
      </w:r>
      <w:r w:rsidR="00EF287F" w:rsidRPr="002539EA">
        <w:t xml:space="preserve">it </w:t>
      </w:r>
      <w:r w:rsidR="00EE6A37" w:rsidRPr="002539EA">
        <w:t xml:space="preserve">provides the </w:t>
      </w:r>
      <w:r w:rsidR="00730EA0" w:rsidRPr="002539EA">
        <w:t>simple process for sophisticated hydrological an</w:t>
      </w:r>
      <w:r w:rsidR="00224059" w:rsidRPr="002539EA">
        <w:t xml:space="preserve">d terrain modelling, </w:t>
      </w:r>
      <w:r w:rsidR="00CB3FBF" w:rsidRPr="002539EA">
        <w:t xml:space="preserve">easily comprehensible </w:t>
      </w:r>
      <w:r w:rsidR="00EE6A37" w:rsidRPr="002539EA">
        <w:t>interfac</w:t>
      </w:r>
      <w:r w:rsidR="004F527E" w:rsidRPr="002539EA">
        <w:t>e</w:t>
      </w:r>
      <w:r w:rsidR="00CB3FBF" w:rsidRPr="002539EA">
        <w:t xml:space="preserve"> </w:t>
      </w:r>
      <w:r w:rsidR="004F527E" w:rsidRPr="002539EA">
        <w:t>similar to other GIS packages</w:t>
      </w:r>
      <w:r w:rsidR="00F943F6" w:rsidRPr="002539EA">
        <w:t xml:space="preserve"> and </w:t>
      </w:r>
      <w:r w:rsidR="00EE6A37" w:rsidRPr="002539EA">
        <w:t>works seamlessly wit</w:t>
      </w:r>
      <w:r w:rsidR="007664BA" w:rsidRPr="002539EA">
        <w:t>h all standard GIS data formats</w:t>
      </w:r>
      <w:r w:rsidR="00F943F6" w:rsidRPr="002539EA">
        <w:t>.</w:t>
      </w:r>
      <w:r w:rsidR="00E36B60" w:rsidRPr="002539EA">
        <w:t xml:space="preserve"> </w:t>
      </w:r>
      <w:r w:rsidR="00732AE0" w:rsidRPr="002539EA">
        <w:t>SAGA GIS software was effectively used in process of terrain attributes computation t</w:t>
      </w:r>
      <w:r w:rsidR="000F6601" w:rsidRPr="002539EA">
        <w:t xml:space="preserve">hat characterized the landform </w:t>
      </w:r>
      <w:r w:rsidR="00650A04" w:rsidRPr="002539EA">
        <w:rPr>
          <w:rStyle w:val="FootnoteReference"/>
        </w:rPr>
        <w:fldChar w:fldCharType="begin" w:fldLock="1"/>
      </w:r>
      <w:r w:rsidR="00A309A8" w:rsidRPr="002539EA">
        <w:instrText>ADDIN CSL_CITATION {"citationItems":[{"id":"ITEM-1","itemData":{"ISSN":"01266039","abstract":"In this paper, we present an automated classification method of landform elements using an application of SAGA GIS software. The spatial assessment was done on the Yambaru forest area (YFA) in the northernmost part of Okinawa Island, Japan. This task is performed through the detailed elevation grid analyses from DTM of YFA with a spatial scale of 10 × 10 m2 supported by The Geospatial Information Authority of Japan. The classification has ten classes; high ridges, midslope ridges, upland drainage, upper slopes, open slopes, plains, valleys, local ridges, midslope drainage and streams. Classes were defined using the 'topographical position index' module and selected terrain variables were integrated to vegetation data for site evaluation. Information on terrain characteristics is very important to explain geographical constraints and map variability of natural resources in maintaining sustainable forest management as well as supporting decision making processes. Taking this into account, we adapted a traditional concept of forest terrain introduced by Sai On, a council member of the Ryukyu Kingdom (former name of Okinawa Island) when evaluating the potential site for forestry use.","author":[{"dropping-particle":"","family":"Zawawi","given":"Azita Ahmad","non-dropping-particle":"","parse-names":false,"suffix":""},{"dropping-particle":"","family":"Shiba","given":"Masami","non-dropping-particle":"","parse-names":false,"suffix":""},{"dropping-particle":"","family":"Jemali","given":"Noor Janatun Naim","non-dropping-particle":"","parse-names":false,"suffix":""}],"container-title":"Sains Malaysiana","id":"ITEM-1","issue":"3","issued":{"date-parts":[["2014"]]},"page":"349-358","title":"Landform classification for site evaluation and forest planning: Integration between scientific approach and traditional concept","type":"article-journal","volume":"43"},"uris":["http://www.mendeley.com/documents/?uuid=f4517d33-0dc2-4871-8f6a-75ace08d62de","http://www.mendeley.com/documents/?uuid=6cbb28ab-f3ed-4cf9-9b48-138fbef2a51b"]}],"mendeley":{"formattedCitation":"(Zawawi et al., 2014)","plainTextFormattedCitation":"(Zawawi et al., 2014)","previouslyFormattedCitation":"(Zawawi et al., 2014)"},"properties":{"noteIndex":0},"schema":"https://github.com/citation-style-language/schema/raw/master/csl-citation.json"}</w:instrText>
      </w:r>
      <w:r w:rsidR="00650A04" w:rsidRPr="002539EA">
        <w:rPr>
          <w:rStyle w:val="FootnoteReference"/>
        </w:rPr>
        <w:fldChar w:fldCharType="separate"/>
      </w:r>
      <w:r w:rsidR="00A108C4" w:rsidRPr="002539EA">
        <w:rPr>
          <w:noProof/>
        </w:rPr>
        <w:t>(Zawawi et al., 2014)</w:t>
      </w:r>
      <w:r w:rsidR="00650A04" w:rsidRPr="002539EA">
        <w:rPr>
          <w:rStyle w:val="FootnoteReference"/>
        </w:rPr>
        <w:fldChar w:fldCharType="end"/>
      </w:r>
      <w:r w:rsidR="00732AE0" w:rsidRPr="002539EA">
        <w:t>.</w:t>
      </w:r>
      <w:r w:rsidR="00C251DE" w:rsidRPr="002539EA">
        <w:t xml:space="preserve"> </w:t>
      </w:r>
      <w:r w:rsidR="00E36B60" w:rsidRPr="002539EA">
        <w:t>C</w:t>
      </w:r>
      <w:r w:rsidR="0052262E" w:rsidRPr="002539EA">
        <w:t xml:space="preserve">onsidering the above advantages </w:t>
      </w:r>
      <w:r w:rsidR="0028597E" w:rsidRPr="002539EA">
        <w:t xml:space="preserve">application of SAGA GIS was </w:t>
      </w:r>
      <w:r w:rsidR="009276D8" w:rsidRPr="002539EA">
        <w:t>employed</w:t>
      </w:r>
      <w:r w:rsidR="0028597E" w:rsidRPr="002539EA">
        <w:t xml:space="preserve"> by </w:t>
      </w:r>
      <w:r w:rsidR="00E36B60" w:rsidRPr="002539EA">
        <w:t>various researchers</w:t>
      </w:r>
      <w:r w:rsidR="0028597E" w:rsidRPr="002539EA">
        <w:t>.</w:t>
      </w:r>
      <w:r w:rsidR="00B53235" w:rsidRPr="002539EA">
        <w:t xml:space="preserve"> </w:t>
      </w:r>
      <w:r w:rsidR="001D4B53" w:rsidRPr="002539EA">
        <w:t>The TPI based landforms</w:t>
      </w:r>
      <w:r w:rsidR="000A6F4E" w:rsidRPr="002539EA">
        <w:t xml:space="preserve"> </w:t>
      </w:r>
      <w:r w:rsidR="001D4B53" w:rsidRPr="002539EA">
        <w:t xml:space="preserve">of Golina River Basin, Northern Ethiopia was prepared using SAGA GIS software from the </w:t>
      </w:r>
      <w:r w:rsidR="00451D8E" w:rsidRPr="002539EA">
        <w:t>digital elevation model</w:t>
      </w:r>
      <w:r w:rsidR="00E67364" w:rsidRPr="002539EA">
        <w:t xml:space="preserve"> (DEM)</w:t>
      </w:r>
      <w:r w:rsidR="00732AE0" w:rsidRPr="002539EA">
        <w:t xml:space="preserve">. </w:t>
      </w:r>
    </w:p>
    <w:p w:rsidR="001D7FD9" w:rsidRPr="002539EA" w:rsidRDefault="001D7FD9" w:rsidP="003A024A">
      <w:pPr>
        <w:pStyle w:val="Heading3"/>
        <w:numPr>
          <w:ilvl w:val="2"/>
          <w:numId w:val="1"/>
        </w:numPr>
      </w:pPr>
      <w:bookmarkStart w:id="102" w:name="_Toc68025074"/>
      <w:bookmarkStart w:id="103" w:name="_Toc23171168"/>
      <w:bookmarkStart w:id="104" w:name="_Toc23256452"/>
      <w:bookmarkStart w:id="105" w:name="_Toc68761556"/>
      <w:r w:rsidRPr="002539EA">
        <w:t xml:space="preserve">Soil </w:t>
      </w:r>
      <w:r w:rsidR="00C42784" w:rsidRPr="002539EA">
        <w:t>Texture Calculator</w:t>
      </w:r>
      <w:bookmarkEnd w:id="102"/>
      <w:bookmarkEnd w:id="105"/>
    </w:p>
    <w:p w:rsidR="001D7FD9" w:rsidRPr="002539EA" w:rsidRDefault="001D7FD9" w:rsidP="003A024A">
      <w:r w:rsidRPr="002539EA">
        <w:t>The soil texture calculator web is a tool which allows the user to input sand and clay percentages to obtain the soil texture. The web tool is developed by United State Department of Agriculture (</w:t>
      </w:r>
      <w:r w:rsidRPr="002539EA">
        <w:rPr>
          <w:rFonts w:eastAsia="TimesNewRomanPSMT"/>
        </w:rPr>
        <w:t>USDA</w:t>
      </w:r>
      <w:r w:rsidRPr="002539EA">
        <w:t xml:space="preserve">) and </w:t>
      </w:r>
      <w:r w:rsidRPr="002539EA">
        <w:rPr>
          <w:rFonts w:eastAsia="TimesNewRomanPSMT"/>
        </w:rPr>
        <w:t xml:space="preserve">simplify a tedious </w:t>
      </w:r>
      <w:r w:rsidRPr="002539EA">
        <w:t xml:space="preserve">USDA </w:t>
      </w:r>
      <w:r w:rsidRPr="002539EA">
        <w:rPr>
          <w:rFonts w:eastAsia="TimesNewRomanPSMT"/>
        </w:rPr>
        <w:t xml:space="preserve">soil texture classification process </w:t>
      </w:r>
      <w:r w:rsidRPr="002539EA">
        <w:rPr>
          <w:rStyle w:val="FootnoteReference"/>
        </w:rPr>
        <w:fldChar w:fldCharType="begin" w:fldLock="1"/>
      </w:r>
      <w:r w:rsidR="00A309A8" w:rsidRPr="002539EA">
        <w:instrText>ADDIN CSL_CITATION {"citationItems":[{"id":"ITEM-1","itemData":{"author":[{"dropping-particle":"","family":"Michael","given":"Pelagio C.","non-dropping-particle":"","parse-names":false,"suffix":""},{"dropping-particle":"","family":"Navarro","given":"Divina A.","non-dropping-particle":"","parse-names":false,"suffix":""},{"dropping-particle":"","family":"Janik","given":"Les J.","non-dropping-particle":"","parse-names":false,"suffix":""},{"dropping-particle":"","family":"Lamorena","given":"Rheo B.","non-dropping-particle":"","parse-names":false,"suffix":""}],"container-title":"Potential application of Laser</w:instrText>
      </w:r>
      <w:r w:rsidR="00A309A8" w:rsidRPr="002539EA">
        <w:rPr>
          <w:rFonts w:ascii="Cambria Math" w:hAnsi="Cambria Math" w:cs="Cambria Math"/>
        </w:rPr>
        <w:instrText>‐</w:instrText>
      </w:r>
      <w:r w:rsidR="00A309A8" w:rsidRPr="002539EA">
        <w:instrText>Induced breakdown spectroscopy (LIBS) data for the determination of cation exchange capacity of agricultural soils, chemistry","id":"ITEM-1","issued":{"date-parts":[["2020"]]},"page":"3798-3804","title":"USDA soil texture calculator","type":"webpage"},"uris":["http://www.mendeley.com/documents/?uuid=db9b0a61-8b37-4e82-8538-f8f0c61df460","http://www.mendeley.com/documents/?uuid=0824479f-5045-46a9-9c47-6f64742cecd0"]}],"mendeley":{"formattedCitation":"(Michael et al., 2020)","plainTextFormattedCitation":"(Michael et al., 2020)","previouslyFormattedCitation":"(Michael et al., 2020)"},"properties":{"noteIndex":0},"schema":"https://github.com/citation-style-language/schema/raw/master/csl-citation.json"}</w:instrText>
      </w:r>
      <w:r w:rsidRPr="002539EA">
        <w:rPr>
          <w:rStyle w:val="FootnoteReference"/>
        </w:rPr>
        <w:fldChar w:fldCharType="separate"/>
      </w:r>
      <w:r w:rsidR="006E3939" w:rsidRPr="002539EA">
        <w:rPr>
          <w:noProof/>
        </w:rPr>
        <w:t>(Michael et al., 2020)</w:t>
      </w:r>
      <w:r w:rsidRPr="002539EA">
        <w:rPr>
          <w:rStyle w:val="FootnoteReference"/>
        </w:rPr>
        <w:fldChar w:fldCharType="end"/>
      </w:r>
      <w:r w:rsidRPr="002539EA">
        <w:t>.</w:t>
      </w:r>
    </w:p>
    <w:p w:rsidR="001D7FD9" w:rsidRPr="002539EA" w:rsidRDefault="001D7FD9" w:rsidP="003A024A">
      <w:pPr>
        <w:pStyle w:val="Heading3"/>
        <w:numPr>
          <w:ilvl w:val="2"/>
          <w:numId w:val="1"/>
        </w:numPr>
      </w:pPr>
      <w:bookmarkStart w:id="106" w:name="_Toc68025075"/>
      <w:bookmarkStart w:id="107" w:name="_Toc68761557"/>
      <w:r w:rsidRPr="002539EA">
        <w:t>IDRISI Selva</w:t>
      </w:r>
      <w:bookmarkEnd w:id="106"/>
      <w:bookmarkEnd w:id="107"/>
    </w:p>
    <w:p w:rsidR="005D003E" w:rsidRPr="002539EA" w:rsidRDefault="001C2834" w:rsidP="00950435">
      <w:r w:rsidRPr="002539EA">
        <w:t>IDRISI is not an acronym. It is the name of Muslim scholar of international reputation in the Mediterranean world of his day; Abu Abdullah</w:t>
      </w:r>
      <w:r w:rsidR="002F0048" w:rsidRPr="002539EA">
        <w:t xml:space="preserve"> Muhammad al-Idrisi (1100-1166 AD).</w:t>
      </w:r>
      <w:r w:rsidR="005D003E" w:rsidRPr="002539EA">
        <w:t xml:space="preserve"> Al-Idrisi was a cartographer and geographer of major significance during the medieval period. Commissioned by the Norman king Roger of Sicily to prepare a geographical survey of the world, al-Idrisi led a fifteen-year collaborative effort by scholars and technicians based at the Norman Court at Palermo.</w:t>
      </w:r>
      <w:r w:rsidR="00950435" w:rsidRPr="002539EA">
        <w:t xml:space="preserve"> Based on direct field studies as well as archival sources, the maps and texts that resulted from that collaborative effort served as primary reference material for over 500 years. It is to this spirit of collaboration in geographic inquiry that the IDRI</w:t>
      </w:r>
      <w:r w:rsidR="00160F6C" w:rsidRPr="002539EA">
        <w:t>SI software system is dedicated by Clark lab</w:t>
      </w:r>
      <w:r w:rsidR="00097ECE" w:rsidRPr="002539EA">
        <w:t xml:space="preserve"> (Eastman, 2012)</w:t>
      </w:r>
      <w:r w:rsidR="00160F6C" w:rsidRPr="002539EA">
        <w:t>.</w:t>
      </w:r>
    </w:p>
    <w:p w:rsidR="00544305" w:rsidRPr="002539EA" w:rsidRDefault="001D7FD9" w:rsidP="003A024A">
      <w:r w:rsidRPr="002539EA">
        <w:t xml:space="preserve">IDRISI system provides a structured approach for understanding GIS, image processing and other geographic analysis techniques. The tools can perform multi-criteria decision making, multi-objective decision making and the use of the decision Wizard. </w:t>
      </w:r>
    </w:p>
    <w:p w:rsidR="00BD30DC" w:rsidRPr="002539EA" w:rsidRDefault="001D7FD9" w:rsidP="003A024A">
      <w:r w:rsidRPr="002539EA">
        <w:lastRenderedPageBreak/>
        <w:t xml:space="preserve">The procedure of pairwise </w:t>
      </w:r>
      <w:r w:rsidR="00EB569B" w:rsidRPr="002539EA">
        <w:t xml:space="preserve">comparisons associated with the </w:t>
      </w:r>
      <w:r w:rsidRPr="002539EA">
        <w:t>AHP</w:t>
      </w:r>
      <w:r w:rsidR="00EB569B" w:rsidRPr="002539EA">
        <w:t xml:space="preserve"> </w:t>
      </w:r>
      <w:r w:rsidRPr="002539EA">
        <w:t xml:space="preserve">is appropriate to consider the varying interest in the outcome. In IDRISI, the module WEIGHT utilizes </w:t>
      </w:r>
      <w:r w:rsidR="00F40814" w:rsidRPr="002539EA">
        <w:t>pairwise comparison techniques that allow</w:t>
      </w:r>
      <w:r w:rsidRPr="002539EA">
        <w:t xml:space="preserve"> to develop a set of factor weights that will sum to 1.0.</w:t>
      </w:r>
      <w:r w:rsidR="00FF08CD" w:rsidRPr="002539EA">
        <w:t xml:space="preserve"> </w:t>
      </w:r>
      <w:r w:rsidRPr="002539EA">
        <w:t>WEIGHT requires the decision maker’s judgment about the relative importance of pairwise combinations of the factors involved</w:t>
      </w:r>
      <w:r w:rsidR="00FF08CD" w:rsidRPr="002539EA">
        <w:t xml:space="preserve"> </w:t>
      </w:r>
      <w:r w:rsidR="00FF08CD" w:rsidRPr="002539EA">
        <w:rPr>
          <w:rStyle w:val="FootnoteReference"/>
        </w:rPr>
        <w:fldChar w:fldCharType="begin" w:fldLock="1"/>
      </w:r>
      <w:r w:rsidR="00FF08CD" w:rsidRPr="002539EA">
        <w:instrText>ADDIN CSL_CITATION {"citationItems":[{"id":"ITEM-1","itemData":{"author":[{"dropping-particle":"","family":"Eastman","given":"J. Ronald","non-dropping-particle":"","parse-names":false,"suffix":""}],"edition":"1st","id":"ITEM-1","issued":{"date-parts":[["2012"]]},"number":"17","number-of-pages":"51-63","publisher":"Idrisi Production, Clark Labs-Clark University, Main Street. Worcester, MA. 01610-1477. USA","publisher-place":"Clark Labs. Clark University. 950 Main Street. Worcester, MA. 01610-1477. USA","title":"IDRISI Selva Tutorial","type":"book","volume":"45"},"uris":["http://www.mendeley.com/documents/?uuid=9267ba10-8807-4cca-8adb-0d7b32a2577c","http://www.mendeley.com/documents/?uuid=5d3428a3-51f8-4257-b6d7-c2af4cad8937"]}],"mendeley":{"formattedCitation":"(Eastman, 2012)","plainTextFormattedCitation":"(Eastman, 2012)","previouslyFormattedCitation":"(Eastman, 2012)"},"properties":{"noteIndex":0},"schema":"https://github.com/citation-style-language/schema/raw/master/csl-citation.json"}</w:instrText>
      </w:r>
      <w:r w:rsidR="00FF08CD" w:rsidRPr="002539EA">
        <w:rPr>
          <w:rStyle w:val="FootnoteReference"/>
        </w:rPr>
        <w:fldChar w:fldCharType="separate"/>
      </w:r>
      <w:r w:rsidR="00FF08CD" w:rsidRPr="002539EA">
        <w:rPr>
          <w:noProof/>
        </w:rPr>
        <w:t>(Eastman, 2012)</w:t>
      </w:r>
      <w:r w:rsidR="00FF08CD" w:rsidRPr="002539EA">
        <w:rPr>
          <w:rStyle w:val="FootnoteReference"/>
        </w:rPr>
        <w:fldChar w:fldCharType="end"/>
      </w:r>
      <w:r w:rsidRPr="002539EA">
        <w:t>.</w:t>
      </w:r>
      <w:r w:rsidR="003119E0">
        <w:t xml:space="preserve"> </w:t>
      </w:r>
      <w:r w:rsidRPr="002539EA">
        <w:t>In mak</w:t>
      </w:r>
      <w:r w:rsidR="001F0432" w:rsidRPr="002539EA">
        <w:t xml:space="preserve">ing these judgments, a nine </w:t>
      </w:r>
      <w:r w:rsidRPr="002539EA">
        <w:t>point rating scale is used</w:t>
      </w:r>
      <w:r w:rsidR="00FF08CD" w:rsidRPr="002539EA">
        <w:t xml:space="preserve">. </w:t>
      </w:r>
      <w:r w:rsidRPr="002539EA">
        <w:t xml:space="preserve">Factors are compared twice at a time in terms of their importance relative to the stated objective. After all possible combinations of two factors are comparison, the module calculates a set of weights and, importantly, a consistency ratio. The ratio indicates any inconsistencies that may have been made during the pairwise comparison process </w:t>
      </w:r>
      <w:r w:rsidRPr="002539EA">
        <w:rPr>
          <w:rStyle w:val="FootnoteReference"/>
        </w:rPr>
        <w:fldChar w:fldCharType="begin" w:fldLock="1"/>
      </w:r>
      <w:r w:rsidR="009906F2" w:rsidRPr="002539EA">
        <w:instrText>ADDIN CSL_CITATION {"citationItems":[{"id":"ITEM-1","itemData":{"author":[{"dropping-particle":"","family":"Desta","given":"Wallelign Alem","non-dropping-particle":"","parse-names":false,"suffix":""}],"id":"ITEM-1","issued":{"date-parts":[["2007"]]},"number-of-pages":"1-88","publisher":"Addis Abeba University","title":"Assessment of Land Use Land Cover dynamics at Bale Mountains National Park using GIS and Remote sensing","type":"thesis"},"uris":["http://www.mendeley.com/documents/?uuid=93dbfd98-b07f-4496-8935-67c5b8d16502","http://www.mendeley.com/documents/?uuid=a280a64d-6448-47a2-b757-2de473e050cd"]},{"id":"ITEM-2","itemData":{"author":[{"dropping-particle":"","family":"Lemecha","given":"Gezahegn","non-dropping-particle":"","parse-names":false,"suffix":""}],"id":"ITEM-2","issued":{"date-parts":[["2007"]]},"number-of-pages":"1-86","publisher":"Addis Abeba University","title":"Delineation of groundwater potential zones of Upper Tumet Catchment, Menge Area, Western Ethiopia Using Remote Sensing and GIS","type":"thesis"},"uris":["http://www.mendeley.com/documents/?uuid=1b5e709a-39ed-4f7d-80c7-c1cbbcc5381f","http://www.mendeley.com/documents/?uuid=7047ed10-9882-4fab-8df4-a92aac27a5a9"]}],"mendeley":{"formattedCitation":"(Desta, 2007; Lemecha, 2007)","plainTextFormattedCitation":"(Desta, 2007; Lemecha, 2007)","previouslyFormattedCitation":"(Desta, 2007; Lemecha, 2007)"},"properties":{"noteIndex":0},"schema":"https://github.com/citation-style-language/schema/raw/master/csl-citation.json"}</w:instrText>
      </w:r>
      <w:r w:rsidRPr="002539EA">
        <w:rPr>
          <w:rStyle w:val="FootnoteReference"/>
        </w:rPr>
        <w:fldChar w:fldCharType="separate"/>
      </w:r>
      <w:r w:rsidR="00993050" w:rsidRPr="002539EA">
        <w:rPr>
          <w:noProof/>
        </w:rPr>
        <w:t>(Desta, 2007; Lemecha, 2007)</w:t>
      </w:r>
      <w:r w:rsidRPr="002539EA">
        <w:rPr>
          <w:rStyle w:val="FootnoteReference"/>
        </w:rPr>
        <w:fldChar w:fldCharType="end"/>
      </w:r>
      <w:r w:rsidRPr="002539EA">
        <w:t xml:space="preserve">. </w:t>
      </w:r>
    </w:p>
    <w:p w:rsidR="00FB0F54" w:rsidRPr="002539EA" w:rsidRDefault="004B2B3B" w:rsidP="003A024A">
      <w:pPr>
        <w:pStyle w:val="Heading3"/>
        <w:numPr>
          <w:ilvl w:val="2"/>
          <w:numId w:val="1"/>
        </w:numPr>
      </w:pPr>
      <w:bookmarkStart w:id="108" w:name="_Toc68025076"/>
      <w:bookmarkStart w:id="109" w:name="_Toc68761558"/>
      <w:r w:rsidRPr="002539EA">
        <w:t xml:space="preserve">Surfer </w:t>
      </w:r>
      <w:r w:rsidR="003D3396" w:rsidRPr="002539EA">
        <w:t>17.1</w:t>
      </w:r>
      <w:bookmarkEnd w:id="108"/>
      <w:bookmarkEnd w:id="109"/>
    </w:p>
    <w:p w:rsidR="008A0A10" w:rsidRPr="002539EA" w:rsidRDefault="00375E90" w:rsidP="007B2840">
      <w:r w:rsidRPr="002539EA">
        <w:t>Surfer is a powerful cont</w:t>
      </w:r>
      <w:r w:rsidR="00B96D7F" w:rsidRPr="002539EA">
        <w:t>ouring, gridding</w:t>
      </w:r>
      <w:r w:rsidRPr="002539EA">
        <w:t xml:space="preserve"> and surface mapping </w:t>
      </w:r>
      <w:r w:rsidR="004D2821" w:rsidRPr="002539EA">
        <w:t>packag</w:t>
      </w:r>
      <w:r w:rsidR="001E6304" w:rsidRPr="002539EA">
        <w:t xml:space="preserve">e </w:t>
      </w:r>
      <w:r w:rsidRPr="002539EA">
        <w:t>that interpolates irregularly spaced XYZ data into a regularly spaced grid. The grid is used to produce different types of maps includi</w:t>
      </w:r>
      <w:r w:rsidR="006B5025" w:rsidRPr="002539EA">
        <w:t xml:space="preserve">ng contour, color relief, </w:t>
      </w:r>
      <w:r w:rsidR="001E6304" w:rsidRPr="002539EA">
        <w:t xml:space="preserve">cross-sectional profiles </w:t>
      </w:r>
      <w:r w:rsidR="006B5025" w:rsidRPr="002539EA">
        <w:t xml:space="preserve">and </w:t>
      </w:r>
      <w:r w:rsidR="001E6304" w:rsidRPr="002539EA">
        <w:t>3D</w:t>
      </w:r>
      <w:r w:rsidRPr="002539EA">
        <w:t xml:space="preserve"> surface</w:t>
      </w:r>
      <w:r w:rsidR="006D677C" w:rsidRPr="002539EA">
        <w:t xml:space="preserve">s. </w:t>
      </w:r>
      <w:r w:rsidR="00A663AE" w:rsidRPr="002539EA">
        <w:t xml:space="preserve">The </w:t>
      </w:r>
      <w:r w:rsidR="006B5025" w:rsidRPr="002539EA">
        <w:t xml:space="preserve">program </w:t>
      </w:r>
      <w:r w:rsidR="00AA2498" w:rsidRPr="002539EA">
        <w:t>allow</w:t>
      </w:r>
      <w:r w:rsidR="00A663AE" w:rsidRPr="002539EA">
        <w:t xml:space="preserve"> users to</w:t>
      </w:r>
      <w:r w:rsidR="00AA2498" w:rsidRPr="002539EA">
        <w:t xml:space="preserve"> </w:t>
      </w:r>
      <w:r w:rsidR="00A663AE" w:rsidRPr="002539EA">
        <w:t xml:space="preserve">produce </w:t>
      </w:r>
      <w:r w:rsidR="006D677C" w:rsidRPr="002539EA">
        <w:t xml:space="preserve">easy and quick </w:t>
      </w:r>
      <w:r w:rsidR="00A663AE" w:rsidRPr="002539EA">
        <w:t>publication quality</w:t>
      </w:r>
      <w:r w:rsidR="00AA2498" w:rsidRPr="002539EA">
        <w:t xml:space="preserve"> maps</w:t>
      </w:r>
      <w:r w:rsidR="006D677C" w:rsidRPr="002539EA">
        <w:t>,</w:t>
      </w:r>
      <w:r w:rsidR="00E65752" w:rsidRPr="002539EA">
        <w:t xml:space="preserve"> by </w:t>
      </w:r>
      <w:r w:rsidR="00AA2498" w:rsidRPr="002539EA">
        <w:t>adding multiple map layers and objects, customizing the map display and annotating with text to create attractive and informative maps map that best represents data</w:t>
      </w:r>
      <w:r w:rsidR="00DC136D" w:rsidRPr="002539EA">
        <w:t>.</w:t>
      </w:r>
    </w:p>
    <w:p w:rsidR="00F40814" w:rsidRDefault="00F40814" w:rsidP="007B2840"/>
    <w:p w:rsidR="00F40814" w:rsidRDefault="00F40814" w:rsidP="007B2840"/>
    <w:p w:rsidR="00227C5D" w:rsidRDefault="00227C5D" w:rsidP="007B2840"/>
    <w:p w:rsidR="00227C5D" w:rsidRDefault="00227C5D" w:rsidP="007B2840"/>
    <w:p w:rsidR="00227C5D" w:rsidRDefault="00227C5D" w:rsidP="007B2840"/>
    <w:p w:rsidR="00227C5D" w:rsidRDefault="00227C5D" w:rsidP="007B2840"/>
    <w:p w:rsidR="00227C5D" w:rsidRDefault="00227C5D" w:rsidP="007B2840"/>
    <w:p w:rsidR="00227C5D" w:rsidRDefault="00227C5D" w:rsidP="007B2840"/>
    <w:p w:rsidR="00227C5D" w:rsidRDefault="00227C5D" w:rsidP="007B2840"/>
    <w:p w:rsidR="00227C5D" w:rsidRDefault="00227C5D" w:rsidP="007B2840"/>
    <w:p w:rsidR="00C21754" w:rsidRPr="00601FD1" w:rsidRDefault="00C21754" w:rsidP="007B2840"/>
    <w:p w:rsidR="008C1CFA" w:rsidRPr="00601FD1" w:rsidRDefault="006C4D6A" w:rsidP="00D12190">
      <w:pPr>
        <w:pStyle w:val="Heading1"/>
        <w:numPr>
          <w:ilvl w:val="0"/>
          <w:numId w:val="1"/>
        </w:numPr>
      </w:pPr>
      <w:bookmarkStart w:id="110" w:name="_Toc68025077"/>
      <w:bookmarkStart w:id="111" w:name="_Toc68761559"/>
      <w:r w:rsidRPr="00601FD1">
        <w:lastRenderedPageBreak/>
        <w:t>MATERIAL</w:t>
      </w:r>
      <w:r w:rsidR="00BF1BAD" w:rsidRPr="00601FD1">
        <w:t xml:space="preserve"> A</w:t>
      </w:r>
      <w:r w:rsidRPr="00601FD1">
        <w:t>ND METHODS</w:t>
      </w:r>
      <w:bookmarkEnd w:id="103"/>
      <w:bookmarkEnd w:id="104"/>
      <w:bookmarkEnd w:id="110"/>
      <w:bookmarkEnd w:id="111"/>
    </w:p>
    <w:p w:rsidR="008C1CFA" w:rsidRPr="00601FD1" w:rsidRDefault="008C1CFA" w:rsidP="00EE74B8">
      <w:pPr>
        <w:pStyle w:val="Heading2"/>
        <w:numPr>
          <w:ilvl w:val="1"/>
          <w:numId w:val="1"/>
        </w:numPr>
        <w:rPr>
          <w:szCs w:val="24"/>
        </w:rPr>
      </w:pPr>
      <w:bookmarkStart w:id="112" w:name="_Toc23171169"/>
      <w:bookmarkStart w:id="113" w:name="_Toc23256453"/>
      <w:bookmarkStart w:id="114" w:name="_Toc68025078"/>
      <w:bookmarkStart w:id="115" w:name="_Toc68761560"/>
      <w:r w:rsidRPr="00601FD1">
        <w:rPr>
          <w:szCs w:val="24"/>
        </w:rPr>
        <w:t xml:space="preserve">Description of the </w:t>
      </w:r>
      <w:r w:rsidR="00C42784" w:rsidRPr="00601FD1">
        <w:rPr>
          <w:szCs w:val="24"/>
        </w:rPr>
        <w:t>Study Area</w:t>
      </w:r>
      <w:bookmarkEnd w:id="112"/>
      <w:bookmarkEnd w:id="113"/>
      <w:bookmarkEnd w:id="114"/>
      <w:bookmarkEnd w:id="115"/>
    </w:p>
    <w:p w:rsidR="00575B40" w:rsidRPr="007972BC" w:rsidRDefault="008C1CFA" w:rsidP="00EE74B8">
      <w:pPr>
        <w:pStyle w:val="Heading3"/>
        <w:numPr>
          <w:ilvl w:val="2"/>
          <w:numId w:val="1"/>
        </w:numPr>
      </w:pPr>
      <w:bookmarkStart w:id="116" w:name="_Toc23171171"/>
      <w:bookmarkStart w:id="117" w:name="_Toc23256454"/>
      <w:bookmarkStart w:id="118" w:name="_Toc68025079"/>
      <w:bookmarkStart w:id="119" w:name="_Toc68761561"/>
      <w:r w:rsidRPr="007972BC">
        <w:t>Location</w:t>
      </w:r>
      <w:bookmarkEnd w:id="116"/>
      <w:bookmarkEnd w:id="117"/>
      <w:bookmarkEnd w:id="118"/>
      <w:bookmarkEnd w:id="119"/>
    </w:p>
    <w:p w:rsidR="00531D88" w:rsidRPr="00601FD1" w:rsidRDefault="00452199" w:rsidP="008B3F83">
      <w:r w:rsidRPr="00601FD1">
        <w:t>Weyib S</w:t>
      </w:r>
      <w:r w:rsidR="00DB75E9" w:rsidRPr="00601FD1">
        <w:t>ub-</w:t>
      </w:r>
      <w:r w:rsidR="0060006D" w:rsidRPr="00601FD1">
        <w:t xml:space="preserve">basin is found in </w:t>
      </w:r>
      <w:r w:rsidR="00484D49" w:rsidRPr="00601FD1">
        <w:t xml:space="preserve">the </w:t>
      </w:r>
      <w:r w:rsidR="0060006D" w:rsidRPr="00601FD1">
        <w:t>S</w:t>
      </w:r>
      <w:r w:rsidR="00E91209" w:rsidRPr="00601FD1">
        <w:t>outheastern part of Ethiopia in Oromia regional state, Bale zon</w:t>
      </w:r>
      <w:r w:rsidR="00B73273" w:rsidRPr="00601FD1">
        <w:t>e at about 423 km from Addis Ababa</w:t>
      </w:r>
      <w:r w:rsidRPr="00601FD1">
        <w:t>. The S</w:t>
      </w:r>
      <w:r w:rsidR="004A01B3" w:rsidRPr="00601FD1">
        <w:t>ub-</w:t>
      </w:r>
      <w:r w:rsidR="00E91209" w:rsidRPr="00601FD1">
        <w:t xml:space="preserve">basin is geographically situated at the uppermost portions </w:t>
      </w:r>
      <w:r w:rsidR="00176430" w:rsidRPr="00601FD1">
        <w:t xml:space="preserve">of </w:t>
      </w:r>
      <w:r w:rsidR="00484D49" w:rsidRPr="00601FD1">
        <w:t xml:space="preserve">the </w:t>
      </w:r>
      <w:r w:rsidR="00A916BC" w:rsidRPr="00601FD1">
        <w:t>Genale-Dawa</w:t>
      </w:r>
      <w:r w:rsidR="00176430" w:rsidRPr="00601FD1">
        <w:t xml:space="preserve"> </w:t>
      </w:r>
      <w:r w:rsidR="00484D49" w:rsidRPr="00601FD1">
        <w:t xml:space="preserve">river </w:t>
      </w:r>
      <w:r w:rsidR="00176430" w:rsidRPr="00601FD1">
        <w:t>basin</w:t>
      </w:r>
      <w:r w:rsidR="00F34629" w:rsidRPr="00601FD1">
        <w:t>,</w:t>
      </w:r>
      <w:r w:rsidR="00176430" w:rsidRPr="00601FD1">
        <w:t xml:space="preserve"> </w:t>
      </w:r>
      <w:r w:rsidR="00484D49" w:rsidRPr="00601FD1">
        <w:t>the third-</w:t>
      </w:r>
      <w:r w:rsidR="00F34629" w:rsidRPr="00601FD1">
        <w:t>largest basin in the country, after Abay and Wabe</w:t>
      </w:r>
      <w:r w:rsidR="00F721D9" w:rsidRPr="00601FD1">
        <w:t>-</w:t>
      </w:r>
      <w:r w:rsidR="00DC330D" w:rsidRPr="00601FD1">
        <w:t>Shebelle.</w:t>
      </w:r>
      <w:r w:rsidR="00F34629" w:rsidRPr="00601FD1">
        <w:t xml:space="preserve"> </w:t>
      </w:r>
    </w:p>
    <w:p w:rsidR="003E380C" w:rsidRPr="00601FD1" w:rsidRDefault="0043520A" w:rsidP="0043520A">
      <w:pPr>
        <w:jc w:val="center"/>
      </w:pPr>
      <w:r w:rsidRPr="00601FD1">
        <w:rPr>
          <w:noProof/>
        </w:rPr>
        <w:drawing>
          <wp:inline distT="0" distB="0" distL="0" distR="0" wp14:anchorId="71C1C3E5" wp14:editId="31850D6C">
            <wp:extent cx="4535936" cy="6035675"/>
            <wp:effectExtent l="19050" t="19050" r="17145" b="22225"/>
            <wp:docPr id="3" name="Picture 3" descr="C:\Users\Abdul Gafar\Desktop\Report_MXD_JPEG\Study_Area\Study_area_nw - FN_OF_FN.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dul Gafar\Desktop\Report_MXD_JPEG\Study_Area\Study_area_nw - FN_OF_FN.bmp"/>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577342" cy="6090772"/>
                    </a:xfrm>
                    <a:prstGeom prst="rect">
                      <a:avLst/>
                    </a:prstGeom>
                    <a:noFill/>
                    <a:ln w="12700">
                      <a:solidFill>
                        <a:schemeClr val="tx1">
                          <a:lumMod val="95000"/>
                          <a:lumOff val="5000"/>
                        </a:schemeClr>
                      </a:solidFill>
                    </a:ln>
                  </pic:spPr>
                </pic:pic>
              </a:graphicData>
            </a:graphic>
          </wp:inline>
        </w:drawing>
      </w:r>
    </w:p>
    <w:p w:rsidR="009721EC" w:rsidRPr="00601FD1" w:rsidRDefault="00C267B4" w:rsidP="003E380C">
      <w:bookmarkStart w:id="120" w:name="_Toc68761611"/>
      <w:r w:rsidRPr="00601FD1">
        <w:t>Figure</w:t>
      </w:r>
      <w:r w:rsidR="000B4B08" w:rsidRPr="00601FD1">
        <w:t xml:space="preserve"> </w:t>
      </w:r>
      <w:r w:rsidR="00515F3B">
        <w:rPr>
          <w:noProof/>
        </w:rPr>
        <w:fldChar w:fldCharType="begin"/>
      </w:r>
      <w:r w:rsidR="00515F3B">
        <w:rPr>
          <w:noProof/>
        </w:rPr>
        <w:instrText xml:space="preserve"> STYLEREF 1 \s </w:instrText>
      </w:r>
      <w:r w:rsidR="00515F3B">
        <w:rPr>
          <w:noProof/>
        </w:rPr>
        <w:fldChar w:fldCharType="separate"/>
      </w:r>
      <w:r w:rsidR="00BD510E">
        <w:rPr>
          <w:noProof/>
        </w:rPr>
        <w:t>3</w:t>
      </w:r>
      <w:r w:rsidR="00515F3B">
        <w:rPr>
          <w:noProof/>
        </w:rPr>
        <w:fldChar w:fldCharType="end"/>
      </w:r>
      <w:r w:rsidR="001342E5">
        <w:t>.</w:t>
      </w:r>
      <w:r w:rsidR="00515F3B">
        <w:rPr>
          <w:noProof/>
        </w:rPr>
        <w:fldChar w:fldCharType="begin"/>
      </w:r>
      <w:r w:rsidR="00515F3B">
        <w:rPr>
          <w:noProof/>
        </w:rPr>
        <w:instrText xml:space="preserve"> SEQ Figure \* ARABIC \s 1 </w:instrText>
      </w:r>
      <w:r w:rsidR="00515F3B">
        <w:rPr>
          <w:noProof/>
        </w:rPr>
        <w:fldChar w:fldCharType="separate"/>
      </w:r>
      <w:r w:rsidR="00BD510E">
        <w:rPr>
          <w:noProof/>
        </w:rPr>
        <w:t>1</w:t>
      </w:r>
      <w:r w:rsidR="00515F3B">
        <w:rPr>
          <w:noProof/>
        </w:rPr>
        <w:fldChar w:fldCharType="end"/>
      </w:r>
      <w:r w:rsidR="00416B82" w:rsidRPr="00601FD1">
        <w:t>:</w:t>
      </w:r>
      <w:r w:rsidR="000B4B08" w:rsidRPr="00601FD1">
        <w:t xml:space="preserve"> </w:t>
      </w:r>
      <w:r w:rsidR="006831F3" w:rsidRPr="00601FD1">
        <w:t>The l</w:t>
      </w:r>
      <w:r w:rsidR="005A120D" w:rsidRPr="00601FD1">
        <w:t>ocation map of the study area</w:t>
      </w:r>
      <w:bookmarkEnd w:id="120"/>
    </w:p>
    <w:p w:rsidR="009B0853" w:rsidRDefault="0005314D" w:rsidP="006512C4">
      <w:r w:rsidRPr="00601FD1">
        <w:lastRenderedPageBreak/>
        <w:t>Weyib Sub-</w:t>
      </w:r>
      <w:r w:rsidRPr="00B932CD">
        <w:t>basin extends over a drainage area of 4</w:t>
      </w:r>
      <w:r w:rsidR="00F7662F" w:rsidRPr="00B932CD">
        <w:t>,</w:t>
      </w:r>
      <w:r w:rsidRPr="00B932CD">
        <w:t>413.11 km</w:t>
      </w:r>
      <w:r w:rsidRPr="00B932CD">
        <w:rPr>
          <w:vertAlign w:val="superscript"/>
        </w:rPr>
        <w:t xml:space="preserve">2 </w:t>
      </w:r>
      <w:r w:rsidRPr="00B932CD">
        <w:t>between 6</w:t>
      </w:r>
      <w:r w:rsidRPr="00B932CD">
        <w:rPr>
          <w:vertAlign w:val="superscript"/>
        </w:rPr>
        <w:t>0</w:t>
      </w:r>
      <w:r w:rsidRPr="00B932CD">
        <w:t>50'-7</w:t>
      </w:r>
      <w:r w:rsidRPr="00B932CD">
        <w:rPr>
          <w:vertAlign w:val="superscript"/>
        </w:rPr>
        <w:t>0</w:t>
      </w:r>
      <w:r w:rsidRPr="00B932CD">
        <w:t>25' Northern latitudes and from 39</w:t>
      </w:r>
      <w:r w:rsidRPr="00B932CD">
        <w:rPr>
          <w:vertAlign w:val="superscript"/>
        </w:rPr>
        <w:t>0</w:t>
      </w:r>
      <w:r w:rsidRPr="00B932CD">
        <w:t>33'-40</w:t>
      </w:r>
      <w:r w:rsidRPr="00B932CD">
        <w:rPr>
          <w:vertAlign w:val="superscript"/>
        </w:rPr>
        <w:t>0</w:t>
      </w:r>
      <w:r w:rsidRPr="00B932CD">
        <w:t>50' Eastern longitude (Figure 3.1).</w:t>
      </w:r>
      <w:r w:rsidR="00C91724" w:rsidRPr="00B932CD">
        <w:t xml:space="preserve"> </w:t>
      </w:r>
      <w:r w:rsidR="00BE4761" w:rsidRPr="00B932CD">
        <w:t xml:space="preserve">The Sub-basin </w:t>
      </w:r>
      <w:r w:rsidR="000D27A2" w:rsidRPr="00B932CD">
        <w:t xml:space="preserve">is fortunately </w:t>
      </w:r>
      <w:r w:rsidR="0038700C" w:rsidRPr="00B932CD">
        <w:t>found be</w:t>
      </w:r>
      <w:r w:rsidR="00DD2CB7">
        <w:t>tween the second-</w:t>
      </w:r>
      <w:r w:rsidR="00DC30DA">
        <w:t>highest peaks “</w:t>
      </w:r>
      <w:r w:rsidR="0038700C" w:rsidRPr="00B932CD">
        <w:rPr>
          <w:i/>
        </w:rPr>
        <w:t>Tullu Dimtu’’</w:t>
      </w:r>
      <w:r w:rsidR="00DC30DA">
        <w:t xml:space="preserve"> of </w:t>
      </w:r>
      <w:r w:rsidR="00DD2CB7">
        <w:t xml:space="preserve">the </w:t>
      </w:r>
      <w:r w:rsidR="00DC30DA">
        <w:rPr>
          <w:i/>
        </w:rPr>
        <w:t>”</w:t>
      </w:r>
      <w:r w:rsidR="0038700C" w:rsidRPr="00B932CD">
        <w:rPr>
          <w:i/>
        </w:rPr>
        <w:t>Sanetti’’</w:t>
      </w:r>
      <w:r w:rsidR="009B0853">
        <w:t xml:space="preserve"> p</w:t>
      </w:r>
      <w:r w:rsidR="0038700C" w:rsidRPr="00B932CD">
        <w:t xml:space="preserve">lateau and the </w:t>
      </w:r>
      <w:r w:rsidR="00DC30DA">
        <w:t>longest cave in Ethiopia ”</w:t>
      </w:r>
      <w:r w:rsidR="007972BC">
        <w:rPr>
          <w:i/>
        </w:rPr>
        <w:t>Sof-Umar</w:t>
      </w:r>
      <w:r w:rsidR="0038700C" w:rsidRPr="00B932CD">
        <w:rPr>
          <w:i/>
        </w:rPr>
        <w:t>’’</w:t>
      </w:r>
      <w:r w:rsidR="0038700C" w:rsidRPr="00B932CD">
        <w:t xml:space="preserve"> caves.</w:t>
      </w:r>
      <w:r w:rsidR="007972BC">
        <w:t xml:space="preserve"> </w:t>
      </w:r>
    </w:p>
    <w:p w:rsidR="006512C4" w:rsidRDefault="007972BC" w:rsidP="006512C4">
      <w:r>
        <w:t>Sof-U</w:t>
      </w:r>
      <w:r w:rsidR="00DC30DA">
        <w:t>ma</w:t>
      </w:r>
      <w:r w:rsidR="00DC30DA" w:rsidRPr="00DC30DA">
        <w:t>r cave is an extraordinary, unique</w:t>
      </w:r>
      <w:r w:rsidR="00DD2CB7">
        <w:t>,</w:t>
      </w:r>
      <w:r w:rsidR="00DC30DA" w:rsidRPr="00DC30DA">
        <w:t xml:space="preserve"> and unsurpassed natural phenomenon of breathtaking beauty longest cave in Ethiopia</w:t>
      </w:r>
      <w:r w:rsidR="00DC30DA">
        <w:t>.</w:t>
      </w:r>
      <w:r w:rsidR="009B0853">
        <w:t xml:space="preserve"> </w:t>
      </w:r>
      <w:r w:rsidR="00DC30DA" w:rsidRPr="00DC30DA">
        <w:t>The subterranean Weyib River sinks at t</w:t>
      </w:r>
      <w:r w:rsidR="00DC30DA">
        <w:t>he ‘</w:t>
      </w:r>
      <w:r w:rsidR="00DC30DA" w:rsidRPr="00DC30DA">
        <w:rPr>
          <w:i/>
        </w:rPr>
        <w:t>’Ayo Mako’’</w:t>
      </w:r>
      <w:r w:rsidR="00DC30DA" w:rsidRPr="00DC30DA">
        <w:t xml:space="preserve"> entrance and reappears at the </w:t>
      </w:r>
      <w:r w:rsidR="00DC30DA">
        <w:t>‘</w:t>
      </w:r>
      <w:r w:rsidR="00DC30DA" w:rsidRPr="00DC30DA">
        <w:rPr>
          <w:i/>
        </w:rPr>
        <w:t>’</w:t>
      </w:r>
      <w:r w:rsidR="00DC30DA">
        <w:rPr>
          <w:i/>
        </w:rPr>
        <w:t>Holluq</w:t>
      </w:r>
      <w:r w:rsidR="00DC30DA" w:rsidRPr="00DC30DA">
        <w:rPr>
          <w:i/>
        </w:rPr>
        <w:t>a’’</w:t>
      </w:r>
      <w:r w:rsidR="00DC30DA" w:rsidRPr="00DC30DA">
        <w:t xml:space="preserve"> resurgence 1 </w:t>
      </w:r>
      <w:r w:rsidR="00DC30DA" w:rsidRPr="005531F3">
        <w:t>kilometer away leading to the unique harmony between nature</w:t>
      </w:r>
      <w:r w:rsidR="0045573A">
        <w:t xml:space="preserve"> and cultural</w:t>
      </w:r>
      <w:r w:rsidR="00DC30DA" w:rsidRPr="005531F3">
        <w:t xml:space="preserve"> heritage site that requires an active geo-conservation (Bob, 2020; Cou</w:t>
      </w:r>
      <w:r w:rsidR="005531F3" w:rsidRPr="005531F3">
        <w:t xml:space="preserve">rbon et al., 1989; Asrat, 2015). </w:t>
      </w:r>
      <w:r w:rsidR="00DC30DA" w:rsidRPr="005531F3">
        <w:t>Tullu Dimtu is found in t</w:t>
      </w:r>
      <w:r w:rsidR="00FF5F4C" w:rsidRPr="005531F3">
        <w:t>he Bale Mountains National Park</w:t>
      </w:r>
      <w:r w:rsidR="00DC30DA" w:rsidRPr="005531F3">
        <w:t xml:space="preserve">, </w:t>
      </w:r>
      <w:r w:rsidR="00FF5F4C" w:rsidRPr="005531F3">
        <w:t xml:space="preserve">an important area for several </w:t>
      </w:r>
      <w:r w:rsidR="00FF5F4C" w:rsidRPr="007972BC">
        <w:t>threatened Ethiopian endemic species.</w:t>
      </w:r>
      <w:r w:rsidR="005531F3" w:rsidRPr="007972BC">
        <w:t xml:space="preserve"> Tullu Dimtu is the second highest peak in Ethiopia after Ras Dashen, though its topographic prominence is relatively low due to its location in the Sanetti Plateau</w:t>
      </w:r>
      <w:r w:rsidR="00025699" w:rsidRPr="007972BC">
        <w:t xml:space="preserve"> (</w:t>
      </w:r>
      <w:r w:rsidR="006512C4">
        <w:t>Bayih</w:t>
      </w:r>
      <w:r w:rsidR="006512C4" w:rsidRPr="007972BC">
        <w:t xml:space="preserve"> </w:t>
      </w:r>
      <w:r w:rsidR="006512C4">
        <w:t xml:space="preserve">and Tola, 2017; </w:t>
      </w:r>
      <w:r w:rsidR="00025699" w:rsidRPr="007972BC">
        <w:t>Richman and Admassu, 2013).</w:t>
      </w:r>
    </w:p>
    <w:p w:rsidR="00A830B8" w:rsidRPr="00601FD1" w:rsidRDefault="009A784A" w:rsidP="00EE74B8">
      <w:pPr>
        <w:pStyle w:val="Heading3"/>
        <w:numPr>
          <w:ilvl w:val="2"/>
          <w:numId w:val="1"/>
        </w:numPr>
      </w:pPr>
      <w:bookmarkStart w:id="121" w:name="_Toc68025080"/>
      <w:bookmarkStart w:id="122" w:name="_Toc68761562"/>
      <w:r w:rsidRPr="00601FD1">
        <w:t>Topography</w:t>
      </w:r>
      <w:bookmarkEnd w:id="121"/>
      <w:bookmarkEnd w:id="122"/>
    </w:p>
    <w:p w:rsidR="00B67EAD" w:rsidRDefault="00F627C7" w:rsidP="00EE74B8">
      <w:r w:rsidRPr="00601FD1">
        <w:t xml:space="preserve">The uppermost part of </w:t>
      </w:r>
      <w:r w:rsidR="009F57FC" w:rsidRPr="00601FD1">
        <w:t xml:space="preserve">the </w:t>
      </w:r>
      <w:r w:rsidRPr="00601FD1">
        <w:t>Weyib R</w:t>
      </w:r>
      <w:r w:rsidR="00D40F60" w:rsidRPr="00601FD1">
        <w:t xml:space="preserve">iver basin is characterized by the </w:t>
      </w:r>
      <w:r w:rsidR="00D227D5" w:rsidRPr="00601FD1">
        <w:t>mountainous</w:t>
      </w:r>
      <w:r w:rsidR="00D40F60" w:rsidRPr="00601FD1">
        <w:t xml:space="preserve"> land </w:t>
      </w:r>
      <w:r w:rsidR="00453F39" w:rsidRPr="00601FD1">
        <w:t>of</w:t>
      </w:r>
      <w:r w:rsidR="00D40F60" w:rsidRPr="00601FD1">
        <w:t xml:space="preserve"> </w:t>
      </w:r>
      <w:r w:rsidR="00453F39" w:rsidRPr="00601FD1">
        <w:t xml:space="preserve">Bale mountains </w:t>
      </w:r>
      <w:r w:rsidR="00D40F60" w:rsidRPr="00601FD1">
        <w:t xml:space="preserve">rugged </w:t>
      </w:r>
      <w:r w:rsidR="00FD66BD" w:rsidRPr="00601FD1">
        <w:t xml:space="preserve">slope </w:t>
      </w:r>
      <w:r w:rsidR="00F16CEE" w:rsidRPr="00601FD1">
        <w:t xml:space="preserve">up to 76% maximum slope. </w:t>
      </w:r>
      <w:r w:rsidR="00B14A7D" w:rsidRPr="00601FD1">
        <w:t>Batu</w:t>
      </w:r>
      <w:r w:rsidR="00B41E26" w:rsidRPr="00601FD1">
        <w:t>-</w:t>
      </w:r>
      <w:r w:rsidR="00B14A7D" w:rsidRPr="00601FD1">
        <w:t>San</w:t>
      </w:r>
      <w:r w:rsidR="00B41E26" w:rsidRPr="00601FD1">
        <w:t>a</w:t>
      </w:r>
      <w:r w:rsidR="00B14A7D" w:rsidRPr="00601FD1">
        <w:t>te chain forms the thi</w:t>
      </w:r>
      <w:r w:rsidR="0060006D" w:rsidRPr="00601FD1">
        <w:t>ckest volcanic sequence in the S</w:t>
      </w:r>
      <w:r w:rsidR="00B14A7D" w:rsidRPr="00601FD1">
        <w:t>outheastern highlands.</w:t>
      </w:r>
      <w:r w:rsidR="008F35F2" w:rsidRPr="00601FD1">
        <w:t xml:space="preserve"> </w:t>
      </w:r>
      <w:r w:rsidR="00F0508C" w:rsidRPr="00601FD1">
        <w:t xml:space="preserve">Tulu-Dimtu </w:t>
      </w:r>
      <w:r w:rsidR="004C4917" w:rsidRPr="00601FD1">
        <w:t>(</w:t>
      </w:r>
      <w:r w:rsidR="00F0508C" w:rsidRPr="00601FD1">
        <w:t>Batu</w:t>
      </w:r>
      <w:r w:rsidR="004C4917" w:rsidRPr="00601FD1">
        <w:t xml:space="preserve">) </w:t>
      </w:r>
      <w:r w:rsidR="00CC63A7" w:rsidRPr="00601FD1">
        <w:t>r</w:t>
      </w:r>
      <w:r w:rsidR="00D227D5" w:rsidRPr="00601FD1">
        <w:t>idge</w:t>
      </w:r>
      <w:r w:rsidR="0099025A" w:rsidRPr="00601FD1">
        <w:t>,</w:t>
      </w:r>
      <w:r w:rsidR="004432B5" w:rsidRPr="00601FD1">
        <w:t xml:space="preserve"> </w:t>
      </w:r>
      <w:r w:rsidR="0099025A" w:rsidRPr="00601FD1">
        <w:t>which rise</w:t>
      </w:r>
      <w:r w:rsidR="00B671EB" w:rsidRPr="00601FD1">
        <w:t>s</w:t>
      </w:r>
      <w:r w:rsidR="0099025A" w:rsidRPr="00601FD1">
        <w:t xml:space="preserve"> from </w:t>
      </w:r>
      <w:r w:rsidR="00B671EB" w:rsidRPr="00601FD1">
        <w:t xml:space="preserve">the </w:t>
      </w:r>
      <w:r w:rsidR="0099025A" w:rsidRPr="00601FD1">
        <w:t xml:space="preserve">Sanate plateau, </w:t>
      </w:r>
      <w:r w:rsidR="00B671EB" w:rsidRPr="00601FD1">
        <w:t>is the highest peak</w:t>
      </w:r>
      <w:r w:rsidR="00F16CEE" w:rsidRPr="00601FD1">
        <w:t xml:space="preserve"> of the area (</w:t>
      </w:r>
      <w:r w:rsidR="00506120" w:rsidRPr="00601FD1">
        <w:t xml:space="preserve">reach </w:t>
      </w:r>
      <w:r w:rsidR="0099025A" w:rsidRPr="00601FD1">
        <w:t>4377</w:t>
      </w:r>
      <w:r w:rsidR="00B671EB" w:rsidRPr="00601FD1">
        <w:t>-</w:t>
      </w:r>
      <w:r w:rsidR="0099025A" w:rsidRPr="00601FD1">
        <w:t>meter</w:t>
      </w:r>
      <w:r w:rsidR="00F16CEE" w:rsidRPr="00601FD1">
        <w:t xml:space="preserve"> </w:t>
      </w:r>
      <w:r w:rsidR="00506120" w:rsidRPr="00601FD1">
        <w:t xml:space="preserve">altitude </w:t>
      </w:r>
      <w:r w:rsidR="00F16CEE" w:rsidRPr="00601FD1">
        <w:t>m.a.s.l.)</w:t>
      </w:r>
      <w:r w:rsidR="00F21DBD" w:rsidRPr="00601FD1">
        <w:t xml:space="preserve"> </w:t>
      </w:r>
      <w:r w:rsidR="00650A04" w:rsidRPr="00601FD1">
        <w:rPr>
          <w:rStyle w:val="FootnoteReference"/>
        </w:rPr>
        <w:fldChar w:fldCharType="begin" w:fldLock="1"/>
      </w:r>
      <w:r w:rsidR="00A309A8">
        <w:instrText>ADDIN CSL_CITATION {"citationItems":[{"id":"ITEM-1","itemData":{"ISBN":"978-87-7304-347-9","abstract":"A new map of the potential vegetation types of Ethiopia has been produced at the scale of 1:2,000,000. It is published here as an atlas with 29 map plates. The map shows the distribution o f twelve potential vegetation types that can be mapped using environmental parameters and GIS-methodology. In the accompanying text these vegetation types have been described and further divided into a number o f subtypes. The types and subtypes are: (1) Desert and semi-desert scrubland. (2) Acacia-Commiphora woodland and bushland (with the subtypes (2a) Acacia-Commiphora woodland and bushland proper and (2b) Acacia wooded grassland of the Riß Valley). (3) Wooded grassland of the western Gambela region. (4) Combretum-Terminalia woodland and wooded grassland. (5) Dry evergreen Afromontaneforest and grassland complex (with the subtypes (5a) Undifferentiated Afromontane forest, (5b) Dry single-dominant Afromontane forest of the Ethiopian highlands, (5c) Afromontane woodland, wooded grassland and grassland, (5d) Transition between Afromontane vegetation and Acacia-Commiphora bushland on the Eastern escarpment). (6) Moist evergreen Afromontane forest (with the subtypes (6a) Primary or mature secondary moist evergreen Afromontane forest, and (6b) Edges of moist evergreen Afromontane forest, bushland, woodland and wooded grassland. (7) Transitional rainforest. (8) Ericaceous belt. (9) Afroalpine belt. (10) Riverine vegetation. (11) Fresh-water lakes, etc. (with the subtypes (na) Fresh-water lake vegetation (open water) and (nb) Freshwater marshes and swamps, floodplains and lake shore vegetation). (12) Salt lakes, etc. (with the subtypes (12a) Salt lake vegetation (open-water) and (12b) Saltpans, saline/brackish and intermittent wetlands and salt-lake shore vegetation). The taxonomic revision of the Ethiopian flora for the Flora of Ethiopia and Eritrea has been completed, and intensive field studies of the flora have been carried out over nearly the entire country, after the publication of two previous detailed vegetation maps of Ethiopia, by Pichi Sermolli in 1957 and by Frank White in 1983 - both at the scale of 1:5,000,000; this new information has been incorporated in the present map. New ideas about the classification of Ethiopian vegetation have also been put forward on maps produced on smaller scale. Here, the vegetation types used for the last two vegetation maps in 1:5,000,000 and the later maps on smaller scales are reviewed and discussed, and the definitions of mo…","author":[{"dropping-particle":"","family":"Friis","given":"Ib","non-dropping-particle":"","parse-names":false,"suffix":""},{"dropping-particle":"","family":"Demissew","given":"Sebsebe","non-dropping-particle":"","parse-names":false,"suffix":""},{"dropping-particle":"van","family":"Breugel","given":"Paulo","non-dropping-particle":"","parse-names":false,"suffix":""}],"container-title":"The Royal Danish Academy of Sciences and Letters","editor":[{"dropping-particle":"","family":"Boulevard","given":"H. C. Andersens","non-dropping-particle":"","parse-names":false,"suffix":""},{"dropping-particle":"","family":"Nielsen","given":"Marita Akhøj","non-dropping-particle":"","parse-names":false,"suffix":""}],"id":"ITEM-1","issued":{"date-parts":[["2010"]]},"number-of-pages":"1-305","publisher":"Det Kongelige Danske Videnskabernes Selskab","publisher-place":"Copenhagen V, Denmark","title":"Atlas of the potential vegetation of Ethiopia","type":"book","volume":"107"},"uris":["http://www.mendeley.com/documents/?uuid=a18aa776-c24c-4804-b8f7-38b9154a18dd","http://www.mendeley.com/documents/?uuid=b73267b2-ee25-4344-b9ac-23157e9b106e"]},{"id":"ITEM-2","itemData":{"abstract":"The Dodola area is partially underlain by Precambrian crystalline basement rocks. Mesozoic sedimentary and Cenozoic volcanic rocks unconformably overlying the Precambrian cover large areas. The precambrian basement is divided into two major groups, low-grade and high-grade metamorphic rocks. Plutons of Precambrian age are also present. These rocks were affected by two main deformational events designated Dl and D2. . The Dl event affected the high-grade gneisses only, while both the high-grade and low- grade rocks were subjected to the D2 event. The precambrian rocks of the area were subjected to the M1 and M2 metamorphic episodes that accompanied Dl and D2' respectively. The high-grade rocks were metamorphosed to middle amphibolite facies (M1), the low-grade rocks to greenschist facies (M2). Four Mesozoic sedimentary map units, both sandstones and limestones, were identified. Eight Cenozoic volcanic map units were delineated in the area. Seven of these are of Tertiary age, the eighth of Quaternary age. Intrusive alkali-feldspar syenites are also present. Quaternary eluvial and alluvial sediments cover parts of the area. Placer gold in the southwestern part of the area and iron ore in unit pga (metagabbro) are the main types of mineralization in the map area. viii","author":[{"dropping-particle":"","family":"Gobena","given":"Hambisa","non-dropping-particle":"","parse-names":false,"suffix":""},{"dropping-particle":"","family":"Belayneh","given":"Mandefro","non-dropping-particle":"","parse-names":false,"suffix":""},{"dropping-particle":"","family":"Kebede","given":"Tesfaye","non-dropping-particle":"","parse-names":false,"suffix":""},{"dropping-particle":"","family":"Tesfaye","given":"Samson","non-dropping-particle":"","parse-names":false,"suffix":""},{"dropping-particle":"","family":"Abraham","given":"Amenti","non-dropping-particle":"","parse-names":false,"suffix":""}],"id":"ITEM-2","issued":{"date-parts":[["1997"]]},"number-of-pages":"1-150","publisher":"Geological survey of Ethiopia","publisher-place":"Addis Abeba, Ethiopia","title":"Geology of the Dodola area memoir 10","type":"thesis"},"uris":["http://www.mendeley.com/documents/?uuid=c79ad758-07cb-4295-b419-a4c7d1b0c8f2","http://www.mendeley.com/documents/?uuid=b840fa1f-1773-4952-a482-26e12eb52c1d"]}],"mendeley":{"formattedCitation":"(Friis et al., 2010; Gobena et al., 1997)","plainTextFormattedCitation":"(Friis et al., 2010; Gobena et al., 1997)","previouslyFormattedCitation":"(Friis et al., 2010; Gobena et al., 1997)"},"properties":{"noteIndex":0},"schema":"https://github.com/citation-style-language/schema/raw/master/csl-citation.json"}</w:instrText>
      </w:r>
      <w:r w:rsidR="00650A04" w:rsidRPr="00601FD1">
        <w:rPr>
          <w:rStyle w:val="FootnoteReference"/>
        </w:rPr>
        <w:fldChar w:fldCharType="separate"/>
      </w:r>
      <w:r w:rsidR="00A108C4" w:rsidRPr="00601FD1">
        <w:rPr>
          <w:noProof/>
        </w:rPr>
        <w:t>(Friis et al., 2010; Gobena et al., 1997)</w:t>
      </w:r>
      <w:r w:rsidR="00650A04" w:rsidRPr="00601FD1">
        <w:rPr>
          <w:rStyle w:val="FootnoteReference"/>
        </w:rPr>
        <w:fldChar w:fldCharType="end"/>
      </w:r>
      <w:r w:rsidR="00F16CEE" w:rsidRPr="00601FD1">
        <w:t>.</w:t>
      </w:r>
      <w:r w:rsidR="00506120" w:rsidRPr="00601FD1">
        <w:t xml:space="preserve"> </w:t>
      </w:r>
      <w:r w:rsidR="00B14A7D" w:rsidRPr="00601FD1">
        <w:t xml:space="preserve">Sanate plateau is </w:t>
      </w:r>
      <w:r w:rsidR="00EB6CB3" w:rsidRPr="00601FD1">
        <w:t xml:space="preserve">a </w:t>
      </w:r>
      <w:r w:rsidR="00B14A7D" w:rsidRPr="00601FD1">
        <w:t>flat-topped area of highly dissected edge, ch</w:t>
      </w:r>
      <w:r w:rsidR="00EB6CB3" w:rsidRPr="00601FD1">
        <w:t>aracterized by very sharp peaks</w:t>
      </w:r>
      <w:r w:rsidR="00317470" w:rsidRPr="00601FD1">
        <w:t xml:space="preserve"> </w:t>
      </w:r>
      <w:r w:rsidR="00B14A7D" w:rsidRPr="00601FD1">
        <w:t xml:space="preserve">and </w:t>
      </w:r>
      <w:r w:rsidR="00D0100B" w:rsidRPr="00601FD1">
        <w:t>b</w:t>
      </w:r>
      <w:r w:rsidR="00B14A7D" w:rsidRPr="00601FD1">
        <w:t>roken rocky surfaces underlain by relatively recent lava flows</w:t>
      </w:r>
      <w:r w:rsidR="004D592A" w:rsidRPr="00601FD1">
        <w:t xml:space="preserve"> </w:t>
      </w:r>
      <w:r w:rsidR="00650A04" w:rsidRPr="00601FD1">
        <w:rPr>
          <w:rStyle w:val="FootnoteReference"/>
        </w:rPr>
        <w:fldChar w:fldCharType="begin" w:fldLock="1"/>
      </w:r>
      <w:r w:rsidR="00A309A8">
        <w:instrText>ADDIN CSL_CITATION {"citationItems":[{"id":"ITEM-1","itemData":{"abstract":"Dodola map sheet (NB37-7) is covering parts of south eastern Ethiopian plateau and associated low lands. It is located at 430 km from Addis Ababa within Oromia and SNNP Regional states and bounded in between 6o 00’ to 7 o 00’ N Latitude and 39o00’ to 40o30’ E Longitude. The main and principal objective of the project is to produce hydrogeological and hydrochemical map of Dodola map sheet in 1:250,000 scale with accompanying report. Different materials like geological map, topographic map, GPS, PH meter, EC meter etc and appropriate software were used to achieve the objective. Geologically Dodolla map sheet is covered by Precambrian crystalline basement rocks, Mesozoic Sedimentary units at the middle, Cenozoic volcanic rocks at the top with a very few recent sediment deposit. Based on hydrodynamic properties of rocks and their hydraulic characteristics all Mesozoic sedimentary units are classified under high productive aquifer except upper sand stone which is local and low productive aquifer. Within the Cenozoic volcanic rocks, Ankaramite and syanite are massive, slightly weathered and can be characterized as low productive, where as the rest of volcanic rocks in the area possess moderate to high productive characteristics. The highly sheared, foliated and weathered high grade basement rocks of the area classified as low to moderate productive. Low grade basement rocks, mainly intrusives and metasedimentary units are massive and fresh without water points and classified as medium of very low water holding and transmitting capacity/Aquifuge. From topographic set up and ground water table map , the general ground water flow direction in the area is towards south and mainly south east (sedimentary covering low land) and the minimum mean recharge of the area from precipitation is estimated as 1127.2 mm/year. From the collected 97 water samples about 78 water samples are within the permissible level of water quality standard of WHO and good for drinking purpose. The Sodium Adsorption Ratio (SAR) value of the water in the area is &lt;5, which is within excellent range for irrigation, but TDS irrigation suitability criteria shows 87 water samples are excellent, 7 are suitable and the rest are unsuitable. Most of analyzed water samples show the ground water quality of the area is also suitable for Dairy, Sugar, Food processing and Tanning industries. Shallow well of Dello Mena town (dshw_4) and dDw_11 of Dodola area shows harmful (high) concentration of NO3 and sho…","author":[{"dropping-particle":"","family":"Kifle","given":"Astatike","non-dropping-particle":"","parse-names":false,"suffix":""},{"dropping-particle":"","family":"Hailemriam","given":"Mulugeta","non-dropping-particle":"","parse-names":false,"suffix":""}],"id":"ITEM-1","issued":{"date-parts":[["2010"]]},"number-of-pages":"1-104","publisher-place":"Addis Abeba, Ethiopia","title":"Integrated hydrogeological mapping of Dodola map sheet (NB 37-7) South Eastern Ethiopia high lands with associated low lands","type":"report"},"uris":["http://www.mendeley.com/documents/?uuid=a08bf45a-48bd-4814-bf25-2789c5c1d393","http://www.mendeley.com/documents/?uuid=0265e2e7-316d-4ea6-8541-27380974830d"]}],"mendeley":{"formattedCitation":"(Kifle &amp; Hailemriam, 2010)","manualFormatting":"(Kifle and Hailemriam, 2010)","plainTextFormattedCitation":"(Kifle &amp; Hailemriam, 2010)","previouslyFormattedCitation":"(Kifle &amp; Hailemriam, 2010)"},"properties":{"noteIndex":0},"schema":"https://github.com/citation-style-language/schema/raw/master/csl-citation.json"}</w:instrText>
      </w:r>
      <w:r w:rsidR="00650A04" w:rsidRPr="00601FD1">
        <w:rPr>
          <w:rStyle w:val="FootnoteReference"/>
        </w:rPr>
        <w:fldChar w:fldCharType="separate"/>
      </w:r>
      <w:r w:rsidR="00E230CE" w:rsidRPr="00601FD1">
        <w:rPr>
          <w:noProof/>
        </w:rPr>
        <w:t>(Kifle and</w:t>
      </w:r>
      <w:r w:rsidR="001A5CDA" w:rsidRPr="00601FD1">
        <w:rPr>
          <w:noProof/>
        </w:rPr>
        <w:t xml:space="preserve"> Hailemriam, 2010)</w:t>
      </w:r>
      <w:r w:rsidR="00650A04" w:rsidRPr="00601FD1">
        <w:rPr>
          <w:rStyle w:val="FootnoteReference"/>
        </w:rPr>
        <w:fldChar w:fldCharType="end"/>
      </w:r>
      <w:r w:rsidR="00B14A7D" w:rsidRPr="00601FD1">
        <w:t xml:space="preserve">. </w:t>
      </w:r>
      <w:r w:rsidR="0089238B" w:rsidRPr="00601FD1">
        <w:t>This flat-topped</w:t>
      </w:r>
      <w:r w:rsidR="0033779D" w:rsidRPr="00601FD1">
        <w:t xml:space="preserve"> highland area marks a nearly East-West </w:t>
      </w:r>
      <w:r w:rsidR="0089238B" w:rsidRPr="00601FD1">
        <w:t xml:space="preserve">oriented watershed characterized by swampy areas and many small shallow lakes </w:t>
      </w:r>
      <w:r w:rsidR="00650A04" w:rsidRPr="00601FD1">
        <w:rPr>
          <w:rStyle w:val="FootnoteReference"/>
        </w:rPr>
        <w:fldChar w:fldCharType="begin" w:fldLock="1"/>
      </w:r>
      <w:r w:rsidR="00A309A8">
        <w:instrText>ADDIN CSL_CITATION {"citationItems":[{"id":"ITEM-1","itemData":{"abstract":"The Dodola area is partially underlain by Precambrian crystalline basement rocks. Mesozoic sedimentary and Cenozoic volcanic rocks unconformably overlying the Precambrian cover large areas. The precambrian basement is divided into two major groups, low-grade and high-grade metamorphic rocks. Plutons of Precambrian age are also present. These rocks were affected by two main deformational events designated Dl and D2. . The Dl event affected the high-grade gneisses only, while both the high-grade and low- grade rocks were subjected to the D2 event. The precambrian rocks of the area were subjected to the M1 and M2 metamorphic episodes that accompanied Dl and D2' respectively. The high-grade rocks were metamorphosed to middle amphibolite facies (M1), the low-grade rocks to greenschist facies (M2). Four Mesozoic sedimentary map units, both sandstones and limestones, were identified. Eight Cenozoic volcanic map units were delineated in the area. Seven of these are of Tertiary age, the eighth of Quaternary age. Intrusive alkali-feldspar syenites are also present. Quaternary eluvial and alluvial sediments cover parts of the area. Placer gold in the southwestern part of the area and iron ore in unit pga (metagabbro) are the main types of mineralization in the map area. viii","author":[{"dropping-particle":"","family":"Gobena","given":"Hambisa","non-dropping-particle":"","parse-names":false,"suffix":""},{"dropping-particle":"","family":"Belayneh","given":"Mandefro","non-dropping-particle":"","parse-names":false,"suffix":""},{"dropping-particle":"","family":"Kebede","given":"Tesfaye","non-dropping-particle":"","parse-names":false,"suffix":""},{"dropping-particle":"","family":"Tesfaye","given":"Samson","non-dropping-particle":"","parse-names":false,"suffix":""},{"dropping-particle":"","family":"Abraham","given":"Amenti","non-dropping-particle":"","parse-names":false,"suffix":""}],"id":"ITEM-1","issued":{"date-parts":[["1997"]]},"number-of-pages":"1-150","publisher":"Geological survey of Ethiopia","publisher-place":"Addis Abeba, Ethiopia","title":"Geology of the Dodola area memoir 10","type":"thesis"},"uris":["http://www.mendeley.com/documents/?uuid=c79ad758-07cb-4295-b419-a4c7d1b0c8f2","http://www.mendeley.com/documents/?uuid=b840fa1f-1773-4952-a482-26e12eb52c1d"]}],"mendeley":{"formattedCitation":"(Gobena et al., 1997)","plainTextFormattedCitation":"(Gobena et al., 1997)","previouslyFormattedCitation":"(Gobena et al., 1997)"},"properties":{"noteIndex":0},"schema":"https://github.com/citation-style-language/schema/raw/master/csl-citation.json"}</w:instrText>
      </w:r>
      <w:r w:rsidR="00650A04" w:rsidRPr="00601FD1">
        <w:rPr>
          <w:rStyle w:val="FootnoteReference"/>
        </w:rPr>
        <w:fldChar w:fldCharType="separate"/>
      </w:r>
      <w:r w:rsidR="001626FB" w:rsidRPr="00601FD1">
        <w:rPr>
          <w:noProof/>
        </w:rPr>
        <w:t>(Gobena et al., 1997)</w:t>
      </w:r>
      <w:r w:rsidR="00650A04" w:rsidRPr="00601FD1">
        <w:rPr>
          <w:rStyle w:val="FootnoteReference"/>
        </w:rPr>
        <w:fldChar w:fldCharType="end"/>
      </w:r>
      <w:r w:rsidR="0020702D" w:rsidRPr="00601FD1">
        <w:t>.</w:t>
      </w:r>
      <w:r w:rsidR="00C00B88" w:rsidRPr="00601FD1">
        <w:t xml:space="preserve"> </w:t>
      </w:r>
      <w:r w:rsidR="0020702D" w:rsidRPr="00601FD1">
        <w:t>The</w:t>
      </w:r>
      <w:r w:rsidR="00C00B88" w:rsidRPr="00601FD1">
        <w:t xml:space="preserve"> accumulated </w:t>
      </w:r>
      <w:r w:rsidR="0020702D" w:rsidRPr="00601FD1">
        <w:t xml:space="preserve">shallow lakes </w:t>
      </w:r>
      <w:r w:rsidR="00C00B88" w:rsidRPr="00601FD1">
        <w:t>in volcanic flow depressions</w:t>
      </w:r>
      <w:r w:rsidR="0020702D" w:rsidRPr="00601FD1">
        <w:t xml:space="preserve"> </w:t>
      </w:r>
      <w:r w:rsidR="00C00B88" w:rsidRPr="00601FD1">
        <w:t xml:space="preserve">recharge the downside springs </w:t>
      </w:r>
      <w:r w:rsidR="00650A04" w:rsidRPr="00601FD1">
        <w:rPr>
          <w:rStyle w:val="FootnoteReference"/>
        </w:rPr>
        <w:fldChar w:fldCharType="begin" w:fldLock="1"/>
      </w:r>
      <w:r w:rsidR="00A309A8">
        <w:instrText>ADDIN CSL_CITATION {"citationItems":[{"id":"ITEM-1","itemData":{"author":[{"dropping-particle":"","family":"Kiflu","given":"Astatke","non-dropping-particle":"","parse-names":false,"suffix":""},{"dropping-particle":"","family":"Tafa","given":"Yosef","non-dropping-particle":"","parse-names":false,"suffix":""},{"dropping-particle":"","family":"Mulugeta","given":"Yonas","non-dropping-particle":"","parse-names":false,"suffix":""}],"id":"ITEM-1","issued":{"date-parts":[["2009"]]},"number-of-pages":"1-74","publisher-place":"Addis Abeba, Ethiopia","title":"Hydrogeological mapping of part of Asela map sheet (NB 37-3) South eastern high land of Ethiopia","type":"report"},"uris":["http://www.mendeley.com/documents/?uuid=00ac486c-3b45-4648-a467-648ee30a24fa","http://www.mendeley.com/documents/?uuid=b3043dd7-ee9c-4f47-9f3e-21b95483fb89"]}],"mendeley":{"formattedCitation":"(Kiflu et al., 2009)","plainTextFormattedCitation":"(Kiflu et al., 2009)","previouslyFormattedCitation":"(Kiflu et al., 2009)"},"properties":{"noteIndex":0},"schema":"https://github.com/citation-style-language/schema/raw/master/csl-citation.json"}</w:instrText>
      </w:r>
      <w:r w:rsidR="00650A04" w:rsidRPr="00601FD1">
        <w:rPr>
          <w:rStyle w:val="FootnoteReference"/>
        </w:rPr>
        <w:fldChar w:fldCharType="separate"/>
      </w:r>
      <w:r w:rsidR="00A108C4" w:rsidRPr="00601FD1">
        <w:rPr>
          <w:noProof/>
        </w:rPr>
        <w:t>(Kiflu et al., 2009)</w:t>
      </w:r>
      <w:r w:rsidR="00650A04" w:rsidRPr="00601FD1">
        <w:rPr>
          <w:rStyle w:val="FootnoteReference"/>
        </w:rPr>
        <w:fldChar w:fldCharType="end"/>
      </w:r>
      <w:r w:rsidR="00C00B88" w:rsidRPr="00601FD1">
        <w:t>.</w:t>
      </w:r>
      <w:r w:rsidR="003B56D4" w:rsidRPr="00601FD1">
        <w:t xml:space="preserve"> </w:t>
      </w:r>
    </w:p>
    <w:p w:rsidR="00C72C44" w:rsidRDefault="00E6207F" w:rsidP="00EE74B8">
      <w:r w:rsidRPr="00601FD1">
        <w:t xml:space="preserve">The central part of the sub-basin is characterized by low relief tabular plateau of flat to gentle slope separated by deep River incisions </w:t>
      </w:r>
      <w:r w:rsidRPr="00601FD1">
        <w:rPr>
          <w:rStyle w:val="FootnoteReference"/>
        </w:rPr>
        <w:fldChar w:fldCharType="begin" w:fldLock="1"/>
      </w:r>
      <w:r>
        <w:instrText>ADDIN CSL_CITATION {"citationItems":[{"id":"ITEM-1","itemData":{"DOI":"10.1007/978-3-642-30391-3","ISBN":"9783642303906","author":[{"dropping-particle":"","family":"Kebede","given":"Seifu","non-dropping-particle":"","parse-names":false,"suffix":""}],"container-title":"springer hydrogeology","id":"ITEM-1","issued":{"date-parts":[["2013"]]},"number-of-pages":"285","publisher":"Springer-Verlag Berlin Heidelberg 2013","publisher-place":"Springer Heidelberg New York Dordrecht London","title":"Groundwater in Ethiopia: features, numbers and opportunities","type":"book"},"uris":["http://www.mendeley.com/documents/?uuid=68668900-1994-451e-8bd8-4a5bbe63bfd6","http://www.mendeley.com/documents/?uuid=f82a50ed-31f3-42a6-8bdc-b9dfb41cfd7f"]}],"mendeley":{"formattedCitation":"(S. Kebede, 2013)","manualFormatting":"(Kebede, 2013)","plainTextFormattedCitation":"(S. Kebede, 2013)","previouslyFormattedCitation":"(S. Kebede, 2013)"},"properties":{"noteIndex":0},"schema":"https://github.com/citation-style-language/schema/raw/master/csl-citation.json"}</w:instrText>
      </w:r>
      <w:r w:rsidRPr="00601FD1">
        <w:rPr>
          <w:rStyle w:val="FootnoteReference"/>
        </w:rPr>
        <w:fldChar w:fldCharType="separate"/>
      </w:r>
      <w:r w:rsidRPr="00601FD1">
        <w:rPr>
          <w:noProof/>
        </w:rPr>
        <w:t>(Kebede, 2013)</w:t>
      </w:r>
      <w:r w:rsidRPr="00601FD1">
        <w:rPr>
          <w:rStyle w:val="FootnoteReference"/>
        </w:rPr>
        <w:fldChar w:fldCharType="end"/>
      </w:r>
      <w:r w:rsidRPr="00601FD1">
        <w:t xml:space="preserve">. The relatively extensive flat terrain of Robe-Ginnir are generally called Sheneka plain </w:t>
      </w:r>
      <w:r w:rsidRPr="00601FD1">
        <w:rPr>
          <w:rStyle w:val="FootnoteReference"/>
        </w:rPr>
        <w:fldChar w:fldCharType="begin" w:fldLock="1"/>
      </w:r>
      <w:r>
        <w:instrText>ADDIN CSL_CITATION {"citationItems":[{"id":"ITEM-1","itemData":{"author":[{"dropping-particle":"","family":"Kiflu","given":"Astatke","non-dropping-particle":"","parse-names":false,"suffix":""},{"dropping-particle":"","family":"Tafa","given":"Yosef","non-dropping-particle":"","parse-names":false,"suffix":""},{"dropping-particle":"","family":"Mulugeta","given":"Yonas","non-dropping-particle":"","parse-names":false,"suffix":""}],"id":"ITEM-1","issued":{"date-parts":[["2009"]]},"number-of-pages":"1-74","publisher-place":"Addis Abeba, Ethiopia","title":"Hydrogeological mapping of part of Asela map sheet (NB 37-3) South eastern high land of Ethiopia","type":"report"},"uris":["http://www.mendeley.com/documents/?uuid=00ac486c-3b45-4648-a467-648ee30a24fa","http://www.mendeley.com/documents/?uuid=b3043dd7-ee9c-4f47-9f3e-21b95483fb89"]}],"mendeley":{"formattedCitation":"(Kiflu et al., 2009)","plainTextFormattedCitation":"(Kiflu et al., 2009)","previouslyFormattedCitation":"(Kiflu et al., 2009)"},"properties":{"noteIndex":0},"schema":"https://github.com/citation-style-language/schema/raw/master/csl-citation.json"}</w:instrText>
      </w:r>
      <w:r w:rsidRPr="00601FD1">
        <w:rPr>
          <w:rStyle w:val="FootnoteReference"/>
        </w:rPr>
        <w:fldChar w:fldCharType="separate"/>
      </w:r>
      <w:r w:rsidRPr="00601FD1">
        <w:rPr>
          <w:noProof/>
        </w:rPr>
        <w:t>(Kiflu et al., 2009)</w:t>
      </w:r>
      <w:r w:rsidRPr="00601FD1">
        <w:rPr>
          <w:rStyle w:val="FootnoteReference"/>
        </w:rPr>
        <w:fldChar w:fldCharType="end"/>
      </w:r>
      <w:r w:rsidRPr="00601FD1">
        <w:t>. The downstream lowland of the study area is characterized by a slightly undulating narrowed gorge and plain. The famous Sof-U</w:t>
      </w:r>
      <w:r>
        <w:t>ma</w:t>
      </w:r>
      <w:r w:rsidRPr="00601FD1">
        <w:t xml:space="preserve">r cave is parts of this unique topography. Weyib River flow within the cave and its entrance and exit into and out of the cave are about 300 meters apart </w:t>
      </w:r>
      <w:r w:rsidRPr="00601FD1">
        <w:rPr>
          <w:rStyle w:val="FootnoteReference"/>
        </w:rPr>
        <w:fldChar w:fldCharType="begin" w:fldLock="1"/>
      </w:r>
      <w:r>
        <w:instrText>ADDIN CSL_CITATION {"citationItems":[{"id":"ITEM-1","itemData":{"abstract":"Megalo Map Sheet (NB 37/8) is located in the specific location southeastern part of the country about 590 km from Addis Ababa. It is bounded between 40˚ 30’ 00” to 42˚00’ 00” E longitude and 6˚00’00”to 7˚00’00”N latitude which covers an area of 18,000 sq km. The aim of this work is to compile the geological map of megalo map sheet at a scale of 1:250,000 with accompanying report. The Department has aim to cover the countries geology at this scale for immediate use for the customers. The aim is also to renew systematically the geology of the country in accordance to the growing need of science. Several lithologically variable and stratigraphically wide units were mapped. Three major units make up the geology of the area. These are (i) Quaternary alluvial and calcret deposits, Tartary basalts of lower and (ii) upper basaltic Formation that are confined at the northern and northwestern parts and (iii) Mesozoic sedimentary rocks mainly lower limestone, upper limestone, Raso evaporite and Harbucha type sandstone,the Oda sandstone units that cover the remaining vast portion. The structures in the area are represented by lineaments consists of fractures and/or joints of variable strike and length which are mostly related to, the northwest-southeast trending Marda fault; and primary structures. In the map sheet we have mapped the huge reserve of gypsum as well as the silvite (kcl) outcrop in an economic level that can be a huge raw material reserve for potash factory. The gravity map shows the presence of prominent gravity ridge along the western flank of Ogaden Basin. This ridge named as Ginir-Argadeb-Cheretti gravity ridge and it extends northwards across chercher mountains to the southern Afar escarpments. This ridge is one of the major gravity lineaments in the eastern of Ethiopia. The gravity anomaly source is less than 20 km as shown on power spectrum curve of maps. So, it is easy to find hidden features and simple to drill for any hydrocarbon, petroleum, natural gas and mineral exploration. However, the data density in some parts of western areas of the survey due to poor accessibility is not sufficient to give a more reliable interpretation. From the Geochemical analysis we have done the stream sediment and heavy concentrate analysis. In the stream sediment we have anomalous Gold result and very low base metal result. From the heavy concentrate the major constituents are magnetite,ilimenite,limonite,feldspar and olivine and no gold grains are identified…","author":[{"dropping-particle":"","family":"Yismaw","given":"Aman","non-dropping-particle":"","parse-names":false,"suffix":""},{"dropping-particle":"","family":"Besufikad","given":"Asaminew","non-dropping-particle":"","parse-names":false,"suffix":""},{"dropping-particle":"","family":"Dure","given":"Tarekegn","non-dropping-particle":"","parse-names":false,"suffix":""},{"dropping-particle":"","family":"Ersido","given":"Argaw","non-dropping-particle":"","parse-names":false,"suffix":""},{"dropping-particle":"","family":"Kebede","given":"Eriko","non-dropping-particle":"","parse-names":false,"suffix":""},{"dropping-particle":"","family":"Besfiat","given":"Dimberu","non-dropping-particle":"","parse-names":false,"suffix":""},{"dropping-particle":"","family":"Wondfraw","given":"Tsegaye","non-dropping-particle":"","parse-names":false,"suffix":""},{"dropping-particle":"","family":"Abdulahid","given":"Tewodros","non-dropping-particle":"","parse-names":false,"suffix":""}],"id":"ITEM-1","issued":{"date-parts":[["2015"]]},"publisher-place":"Addis Abeba, Ethiopia","title":"Geology geochemistryand gravity survey of Megalo map sheet memoir 45","type":"report"},"uris":["http://www.mendeley.com/documents/?uuid=895561a1-f7de-438e-b4fa-3ec2e76f7a05","http://www.mendeley.com/documents/?uuid=6dfc1e50-ffd0-4122-ae0b-7fa6ad28c746"]}],"mendeley":{"formattedCitation":"(Yismaw et al., 2015)","plainTextFormattedCitation":"(Yismaw et al., 2015)","previouslyFormattedCitation":"(Yismaw et al., 2015)"},"properties":{"noteIndex":0},"schema":"https://github.com/citation-style-language/schema/raw/master/csl-citation.json"}</w:instrText>
      </w:r>
      <w:r w:rsidRPr="00601FD1">
        <w:rPr>
          <w:rStyle w:val="FootnoteReference"/>
        </w:rPr>
        <w:fldChar w:fldCharType="separate"/>
      </w:r>
      <w:r w:rsidRPr="00601FD1">
        <w:rPr>
          <w:noProof/>
        </w:rPr>
        <w:t>(Yismaw et al., 2015)</w:t>
      </w:r>
      <w:r w:rsidRPr="00601FD1">
        <w:rPr>
          <w:rStyle w:val="FootnoteReference"/>
        </w:rPr>
        <w:fldChar w:fldCharType="end"/>
      </w:r>
      <w:r w:rsidRPr="00601FD1">
        <w:t>.</w:t>
      </w:r>
      <w:r>
        <w:t xml:space="preserve"> </w:t>
      </w:r>
    </w:p>
    <w:p w:rsidR="00E6207F" w:rsidRPr="00601FD1" w:rsidRDefault="00E6207F" w:rsidP="00EE74B8">
      <w:r w:rsidRPr="00E6207F">
        <w:lastRenderedPageBreak/>
        <w:t>The basin falls in elevation between 4346-meter m.a.s.l at the Southwest (around the Bale Mountains) and decreases to 1199-meter m.a.s.l toward Nor</w:t>
      </w:r>
      <w:r w:rsidR="00C72C44">
        <w:t xml:space="preserve">theastwards at Sof-Umar outlet. </w:t>
      </w:r>
      <w:r w:rsidRPr="00E6207F">
        <w:t>Large area (of 2753 km2) fall in the range of altitude between 1000 and 3000-meter m.a.s.l, while 1006 km2 and 654 km2 of the areas are less than 1000-meter m.a.s.l and greater than 3000-meter m.a.s.l respectively.</w:t>
      </w:r>
    </w:p>
    <w:p w:rsidR="00CB355C" w:rsidRPr="00601FD1" w:rsidRDefault="00410A4D" w:rsidP="00EE74B8">
      <w:pPr>
        <w:jc w:val="center"/>
      </w:pPr>
      <w:r w:rsidRPr="00601FD1">
        <w:rPr>
          <w:noProof/>
        </w:rPr>
        <w:drawing>
          <wp:inline distT="0" distB="0" distL="0" distR="0" wp14:anchorId="5860AAFF" wp14:editId="0F8CCC69">
            <wp:extent cx="5438692" cy="4124318"/>
            <wp:effectExtent l="19050" t="19050" r="10160" b="10160"/>
            <wp:docPr id="87" name="Picture 31" descr="C:\Users\pc\Desktop\Report_MXD_JPEG\topography\profi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pc\Desktop\Report_MXD_JPEG\topography\profile.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507624" cy="4176591"/>
                    </a:xfrm>
                    <a:prstGeom prst="rect">
                      <a:avLst/>
                    </a:prstGeom>
                    <a:noFill/>
                    <a:ln>
                      <a:solidFill>
                        <a:schemeClr val="tx1"/>
                      </a:solidFill>
                    </a:ln>
                  </pic:spPr>
                </pic:pic>
              </a:graphicData>
            </a:graphic>
          </wp:inline>
        </w:drawing>
      </w:r>
    </w:p>
    <w:p w:rsidR="003926AF" w:rsidRPr="00601FD1" w:rsidRDefault="00C267B4" w:rsidP="00EE74B8">
      <w:pPr>
        <w:rPr>
          <w:noProof/>
        </w:rPr>
      </w:pPr>
      <w:bookmarkStart w:id="123" w:name="_Toc68761612"/>
      <w:r w:rsidRPr="00601FD1">
        <w:t>Figure</w:t>
      </w:r>
      <w:r w:rsidR="00E21A13" w:rsidRPr="00601FD1">
        <w:t xml:space="preserve"> </w:t>
      </w:r>
      <w:r w:rsidR="00515F3B">
        <w:rPr>
          <w:noProof/>
        </w:rPr>
        <w:fldChar w:fldCharType="begin"/>
      </w:r>
      <w:r w:rsidR="00515F3B">
        <w:rPr>
          <w:noProof/>
        </w:rPr>
        <w:instrText xml:space="preserve"> STYLEREF 1 \s </w:instrText>
      </w:r>
      <w:r w:rsidR="00515F3B">
        <w:rPr>
          <w:noProof/>
        </w:rPr>
        <w:fldChar w:fldCharType="separate"/>
      </w:r>
      <w:r w:rsidR="00BD510E">
        <w:rPr>
          <w:noProof/>
        </w:rPr>
        <w:t>3</w:t>
      </w:r>
      <w:r w:rsidR="00515F3B">
        <w:rPr>
          <w:noProof/>
        </w:rPr>
        <w:fldChar w:fldCharType="end"/>
      </w:r>
      <w:r w:rsidR="001342E5">
        <w:t>.</w:t>
      </w:r>
      <w:r w:rsidR="00515F3B">
        <w:rPr>
          <w:noProof/>
        </w:rPr>
        <w:fldChar w:fldCharType="begin"/>
      </w:r>
      <w:r w:rsidR="00515F3B">
        <w:rPr>
          <w:noProof/>
        </w:rPr>
        <w:instrText xml:space="preserve"> SEQ Figure \* ARABIC \s 1 </w:instrText>
      </w:r>
      <w:r w:rsidR="00515F3B">
        <w:rPr>
          <w:noProof/>
        </w:rPr>
        <w:fldChar w:fldCharType="separate"/>
      </w:r>
      <w:r w:rsidR="00BD510E">
        <w:rPr>
          <w:noProof/>
        </w:rPr>
        <w:t>2</w:t>
      </w:r>
      <w:r w:rsidR="00515F3B">
        <w:rPr>
          <w:noProof/>
        </w:rPr>
        <w:fldChar w:fldCharType="end"/>
      </w:r>
      <w:r w:rsidR="00416B82" w:rsidRPr="00601FD1">
        <w:t>:</w:t>
      </w:r>
      <w:r w:rsidR="00E21A13" w:rsidRPr="00601FD1">
        <w:rPr>
          <w:noProof/>
        </w:rPr>
        <w:t xml:space="preserve"> </w:t>
      </w:r>
      <w:r w:rsidR="00E755B2" w:rsidRPr="00601FD1">
        <w:rPr>
          <w:noProof/>
        </w:rPr>
        <w:t>The s</w:t>
      </w:r>
      <w:r w:rsidR="00270AD0" w:rsidRPr="00601FD1">
        <w:rPr>
          <w:noProof/>
        </w:rPr>
        <w:t xml:space="preserve">haded </w:t>
      </w:r>
      <w:r w:rsidR="00E755B2" w:rsidRPr="00601FD1">
        <w:rPr>
          <w:noProof/>
        </w:rPr>
        <w:t xml:space="preserve">DEM </w:t>
      </w:r>
      <w:r w:rsidR="003926AF" w:rsidRPr="00601FD1">
        <w:rPr>
          <w:noProof/>
        </w:rPr>
        <w:t xml:space="preserve">and </w:t>
      </w:r>
      <w:r w:rsidR="00E755B2" w:rsidRPr="00601FD1">
        <w:rPr>
          <w:noProof/>
        </w:rPr>
        <w:t xml:space="preserve">the </w:t>
      </w:r>
      <w:r w:rsidR="00B8446E" w:rsidRPr="00601FD1">
        <w:rPr>
          <w:noProof/>
        </w:rPr>
        <w:t>cross</w:t>
      </w:r>
      <w:r w:rsidR="00C60459" w:rsidRPr="00601FD1">
        <w:rPr>
          <w:noProof/>
        </w:rPr>
        <w:t>-</w:t>
      </w:r>
      <w:r w:rsidR="00B8446E" w:rsidRPr="00601FD1">
        <w:rPr>
          <w:noProof/>
        </w:rPr>
        <w:t>section along the downstream</w:t>
      </w:r>
      <w:bookmarkEnd w:id="123"/>
      <w:r w:rsidR="00392E30" w:rsidRPr="00601FD1">
        <w:rPr>
          <w:noProof/>
        </w:rPr>
        <w:t xml:space="preserve"> </w:t>
      </w:r>
    </w:p>
    <w:p w:rsidR="00E2595A" w:rsidRPr="00601FD1" w:rsidRDefault="00D43A75" w:rsidP="00EE74B8">
      <w:pPr>
        <w:pStyle w:val="Heading3"/>
        <w:numPr>
          <w:ilvl w:val="2"/>
          <w:numId w:val="1"/>
        </w:numPr>
      </w:pPr>
      <w:bookmarkStart w:id="124" w:name="_Toc23171173"/>
      <w:bookmarkStart w:id="125" w:name="_Toc23256456"/>
      <w:bookmarkStart w:id="126" w:name="_Toc68025081"/>
      <w:bookmarkStart w:id="127" w:name="_Hlk51912332"/>
      <w:bookmarkStart w:id="128" w:name="_Toc68761563"/>
      <w:r w:rsidRPr="00601FD1">
        <w:t>Climate</w:t>
      </w:r>
      <w:bookmarkEnd w:id="124"/>
      <w:bookmarkEnd w:id="125"/>
      <w:bookmarkEnd w:id="126"/>
      <w:bookmarkEnd w:id="128"/>
    </w:p>
    <w:p w:rsidR="00C72C44" w:rsidRDefault="00FA1D46" w:rsidP="00EE74B8">
      <w:r w:rsidRPr="00601FD1">
        <w:t>Climatic conditions in Ethiopia</w:t>
      </w:r>
      <w:r w:rsidR="00682AF0" w:rsidRPr="00601FD1">
        <w:t xml:space="preserve"> </w:t>
      </w:r>
      <w:r w:rsidRPr="00601FD1">
        <w:t>and most equatorial regions are strongly influenced</w:t>
      </w:r>
      <w:r w:rsidR="00682AF0" w:rsidRPr="00601FD1">
        <w:t xml:space="preserve"> </w:t>
      </w:r>
      <w:r w:rsidRPr="00601FD1">
        <w:t>by their altitude</w:t>
      </w:r>
      <w:r w:rsidR="00280B1B" w:rsidRPr="00601FD1">
        <w:t>.</w:t>
      </w:r>
      <w:r w:rsidR="004532F5" w:rsidRPr="00601FD1">
        <w:t xml:space="preserve"> </w:t>
      </w:r>
      <w:r w:rsidR="004610F3" w:rsidRPr="00601FD1">
        <w:t>The</w:t>
      </w:r>
      <w:r w:rsidR="0060006D" w:rsidRPr="00601FD1">
        <w:t xml:space="preserve"> climate progressively changes S</w:t>
      </w:r>
      <w:r w:rsidR="004610F3" w:rsidRPr="00601FD1">
        <w:t>outh</w:t>
      </w:r>
      <w:r w:rsidR="008B189E" w:rsidRPr="00601FD1">
        <w:t>east</w:t>
      </w:r>
      <w:r w:rsidR="004610F3" w:rsidRPr="00601FD1">
        <w:t>ward from tro</w:t>
      </w:r>
      <w:r w:rsidR="0060006D" w:rsidRPr="00601FD1">
        <w:t>pical to semi-arid and arid in S</w:t>
      </w:r>
      <w:r w:rsidR="004610F3" w:rsidRPr="00601FD1">
        <w:t xml:space="preserve">outhern Ethiopia </w:t>
      </w:r>
      <w:r w:rsidR="00650A04" w:rsidRPr="00601FD1">
        <w:rPr>
          <w:rStyle w:val="FootnoteReference"/>
        </w:rPr>
        <w:fldChar w:fldCharType="begin" w:fldLock="1"/>
      </w:r>
      <w:r w:rsidR="00A309A8">
        <w:instrText>ADDIN CSL_CITATION {"citationItems":[{"id":"ITEM-1","itemData":{"abstract":"The Dodola area is partially underlain by Precambrian crystalline basement rocks. Mesozoic sedimentary and Cenozoic volcanic rocks unconformably overlying the Precambrian cover large areas. The precambrian basement is divided into two major groups, low-grade and high-grade metamorphic rocks. Plutons of Precambrian age are also present. These rocks were affected by two main deformational events designated Dl and D2. . The Dl event affected the high-grade gneisses only, while both the high-grade and low- grade rocks were subjected to the D2 event. The precambrian rocks of the area were subjected to the M1 and M2 metamorphic episodes that accompanied Dl and D2' respectively. The high-grade rocks were metamorphosed to middle amphibolite facies (M1), the low-grade rocks to greenschist facies (M2). Four Mesozoic sedimentary map units, both sandstones and limestones, were identified. Eight Cenozoic volcanic map units were delineated in the area. Seven of these are of Tertiary age, the eighth of Quaternary age. Intrusive alkali-feldspar syenites are also present. Quaternary eluvial and alluvial sediments cover parts of the area. Placer gold in the southwestern part of the area and iron ore in unit pga (metagabbro) are the main types of mineralization in the map area. viii","author":[{"dropping-particle":"","family":"Gobena","given":"Hambisa","non-dropping-particle":"","parse-names":false,"suffix":""},{"dropping-particle":"","family":"Belayneh","given":"Mandefro","non-dropping-particle":"","parse-names":false,"suffix":""},{"dropping-particle":"","family":"Kebede","given":"Tesfaye","non-dropping-particle":"","parse-names":false,"suffix":""},{"dropping-particle":"","family":"Tesfaye","given":"Samson","non-dropping-particle":"","parse-names":false,"suffix":""},{"dropping-particle":"","family":"Abraham","given":"Amenti","non-dropping-particle":"","parse-names":false,"suffix":""}],"id":"ITEM-1","issued":{"date-parts":[["1997"]]},"number-of-pages":"1-150","publisher":"Geological survey of Ethiopia","publisher-place":"Addis Abeba, Ethiopia","title":"Geology of the Dodola area memoir 10","type":"thesis"},"uris":["http://www.mendeley.com/documents/?uuid=c79ad758-07cb-4295-b419-a4c7d1b0c8f2","http://www.mendeley.com/documents/?uuid=b840fa1f-1773-4952-a482-26e12eb52c1d"]}],"mendeley":{"formattedCitation":"(Gobena et al., 1997)","plainTextFormattedCitation":"(Gobena et al., 1997)","previouslyFormattedCitation":"(Gobena et al., 1997)"},"properties":{"noteIndex":0},"schema":"https://github.com/citation-style-language/schema/raw/master/csl-citation.json"}</w:instrText>
      </w:r>
      <w:r w:rsidR="00650A04" w:rsidRPr="00601FD1">
        <w:rPr>
          <w:rStyle w:val="FootnoteReference"/>
        </w:rPr>
        <w:fldChar w:fldCharType="separate"/>
      </w:r>
      <w:r w:rsidR="001626FB" w:rsidRPr="00601FD1">
        <w:rPr>
          <w:noProof/>
        </w:rPr>
        <w:t>(Gobena et al., 1997)</w:t>
      </w:r>
      <w:r w:rsidR="00650A04" w:rsidRPr="00601FD1">
        <w:rPr>
          <w:rStyle w:val="FootnoteReference"/>
        </w:rPr>
        <w:fldChar w:fldCharType="end"/>
      </w:r>
      <w:r w:rsidR="004610F3" w:rsidRPr="00601FD1">
        <w:t>.</w:t>
      </w:r>
      <w:r w:rsidR="00817911" w:rsidRPr="00601FD1">
        <w:t xml:space="preserve"> </w:t>
      </w:r>
      <w:r w:rsidR="006412FB" w:rsidRPr="00601FD1">
        <w:t xml:space="preserve">Due to the wide range of altitudinal extent, the seasonal variation of </w:t>
      </w:r>
      <w:r w:rsidR="003D768E" w:rsidRPr="00601FD1">
        <w:t>Weyib Sub-</w:t>
      </w:r>
      <w:r w:rsidR="00A4427C" w:rsidRPr="00601FD1">
        <w:t>basin</w:t>
      </w:r>
      <w:r w:rsidR="006412FB" w:rsidRPr="00601FD1">
        <w:t xml:space="preserve"> range from drought in ‘</w:t>
      </w:r>
      <w:r w:rsidR="006412FB" w:rsidRPr="00601FD1">
        <w:rPr>
          <w:iCs/>
        </w:rPr>
        <w:t>Bega’</w:t>
      </w:r>
      <w:r w:rsidR="006412FB" w:rsidRPr="00601FD1">
        <w:t xml:space="preserve"> to heavy rainfall in ‘</w:t>
      </w:r>
      <w:r w:rsidR="006412FB" w:rsidRPr="00601FD1">
        <w:rPr>
          <w:iCs/>
        </w:rPr>
        <w:t>Keremt’</w:t>
      </w:r>
      <w:r w:rsidR="00C665CB" w:rsidRPr="00601FD1">
        <w:rPr>
          <w:iCs/>
        </w:rPr>
        <w:t xml:space="preserve"> </w:t>
      </w:r>
      <w:r w:rsidR="00650A04" w:rsidRPr="00601FD1">
        <w:rPr>
          <w:rStyle w:val="FootnoteReference"/>
        </w:rPr>
        <w:fldChar w:fldCharType="begin" w:fldLock="1"/>
      </w:r>
      <w:r w:rsidR="00A309A8">
        <w:instrText>ADDIN CSL_CITATION {"citationItems":[{"id":"ITEM-1","itemData":{"abstract":"Hydrogeological mapping of Ginner map sheet is carried out on the upper Wabi Shebele and some part of upper Genale Dawa river shades which is situated about 530 km east of Addis Ababa at the eastern part of Ethiopia. Considerable elevation difference (500-2685 m.a.s.l) and physiographic diversities such as highlands, lowlands and rugged areas, river valleys, deep gorges and plateaus characterize the area. Though the duration, amount and spatial distribution of the rain fall varies in the plateaus and low lands, bi- modal type of rain fall regime is generally observed. The annual mean rainfall in the low lands and high lands vary between 300 – 1200 mm and Potential evapotranspiration (PET) is estimated empirically 3.9 mm/day for the area. Rock units of the area are Tertiary and Quaternary Volcanics such as; Ginner Basalt, Arsi-Bale basalts and lower flood basalt and Mesozoic sedimentary formations such as: Amba Aradam, Korahe, Gabredare, Urandab and Hamanle formations successively under lain from young to old. In addition, superficial deposits and weathering remnants such as alluvium and elluvium cover the area. Nearly NE–SW and NW– SE trending faults and lineaments affect the area. The aquifer systems are defined based on hydrogeological characteristics /aquifer productivity and permeability/ of the lithological units. Seven hydrogeological units /aquifers systems/ are identified in the map sheet and then hydrogeological map at a scale 1:250,000 is produced. The chemical analysis result of water samples in the study area shows that bicarbonate and transitional and basic water type is predominant. The general trend of EC and TDS increases from relatively highland plateau to lowland where rain fall is low and evapotranspiration is high. Groundwater of the study area is generally suitable for Drinking water supply and irrigation. Generally, the area has ground water resources thus intensive sustainable water resources development is recommended by drilling deeper wells more than 150m depth on the lowlands and Springs development on the high land plateaus. Productive wells can also be drilled at the high land plateaus along faults and lineaments. In addition to water supply, large scale irrigation can be possible at the plateaus by using ground water resource.","author":[{"dropping-particle":"","family":"Mulugeta","given":"Yonas","non-dropping-particle":"","parse-names":false,"suffix":""},{"dropping-particle":"","family":"Tafa","given":"Yosef","non-dropping-particle":"","parse-names":false,"suffix":""}],"id":"ITEM-1","issued":{"date-parts":[["2010"]]},"number-of-pages":"1-84","publisher-place":"Addis Abeba, Ethiopia","title":"Integrated hydrogeological mapping of Ginnir map sheet (NB-37-4) South Eastern low land and adjacent high land of Ethiopia","type":"report"},"uris":["http://www.mendeley.com/documents/?uuid=e9c5b3e5-3d16-4cb5-a46e-712fee7da124","http://www.mendeley.com/documents/?uuid=1b87b89f-6151-4701-b983-9da2e8363ad4"]}],"mendeley":{"formattedCitation":"(Mulugeta &amp; Tafa, 2010)","manualFormatting":"(Mulugeta and Tafa, 2010)","plainTextFormattedCitation":"(Mulugeta &amp; Tafa, 2010)","previouslyFormattedCitation":"(Mulugeta &amp; Tafa, 2010)"},"properties":{"noteIndex":0},"schema":"https://github.com/citation-style-language/schema/raw/master/csl-citation.json"}</w:instrText>
      </w:r>
      <w:r w:rsidR="00650A04" w:rsidRPr="00601FD1">
        <w:rPr>
          <w:rStyle w:val="FootnoteReference"/>
        </w:rPr>
        <w:fldChar w:fldCharType="separate"/>
      </w:r>
      <w:r w:rsidR="00E230CE" w:rsidRPr="00601FD1">
        <w:rPr>
          <w:noProof/>
        </w:rPr>
        <w:t>(Mulugeta and</w:t>
      </w:r>
      <w:r w:rsidR="00A108C4" w:rsidRPr="00601FD1">
        <w:rPr>
          <w:noProof/>
        </w:rPr>
        <w:t xml:space="preserve"> Tafa, 2010)</w:t>
      </w:r>
      <w:r w:rsidR="00650A04" w:rsidRPr="00601FD1">
        <w:rPr>
          <w:rStyle w:val="FootnoteReference"/>
        </w:rPr>
        <w:fldChar w:fldCharType="end"/>
      </w:r>
      <w:r w:rsidR="006412FB" w:rsidRPr="00601FD1">
        <w:t xml:space="preserve">. </w:t>
      </w:r>
      <w:r w:rsidR="00437EB7" w:rsidRPr="00601FD1">
        <w:t xml:space="preserve">The climatic condition of an area is identified based on the annual and monthly mean temperature and rainfall, seasonal changes of rainfall and type of native vegetation associated with them, and </w:t>
      </w:r>
      <w:r w:rsidR="00F103D8" w:rsidRPr="00601FD1">
        <w:t>the</w:t>
      </w:r>
      <w:r w:rsidR="00437EB7" w:rsidRPr="00601FD1">
        <w:t xml:space="preserve"> altitude of </w:t>
      </w:r>
      <w:r w:rsidR="001E0B92" w:rsidRPr="00601FD1">
        <w:t xml:space="preserve">area of </w:t>
      </w:r>
      <w:r w:rsidR="00437EB7" w:rsidRPr="00601FD1">
        <w:t xml:space="preserve">interest </w:t>
      </w:r>
      <w:r w:rsidR="00650A04" w:rsidRPr="00601FD1">
        <w:rPr>
          <w:rStyle w:val="FootnoteReference"/>
        </w:rPr>
        <w:fldChar w:fldCharType="begin" w:fldLock="1"/>
      </w:r>
      <w:r w:rsidR="00A309A8">
        <w:instrText>ADDIN CSL_CITATION {"citationItems":[{"id":"ITEM-1","itemData":{"abstract":"Dodola map sheet (NB37-7) is covering parts of south eastern Ethiopian plateau and associated low lands. It is located at 430 km from Addis Ababa within Oromia and SNNP Regional states and bounded in between 6o 00’ to 7 o 00’ N Latitude and 39o00’ to 40o30’ E Longitude. The main and principal objective of the project is to produce hydrogeological and hydrochemical map of Dodola map sheet in 1:250,000 scale with accompanying report. Different materials like geological map, topographic map, GPS, PH meter, EC meter etc and appropriate software were used to achieve the objective. Geologically Dodolla map sheet is covered by Precambrian crystalline basement rocks, Mesozoic Sedimentary units at the middle, Cenozoic volcanic rocks at the top with a very few recent sediment deposit. Based on hydrodynamic properties of rocks and their hydraulic characteristics all Mesozoic sedimentary units are classified under high productive aquifer except upper sand stone which is local and low productive aquifer. Within the Cenozoic volcanic rocks, Ankaramite and syanite are massive, slightly weathered and can be characterized as low productive, where as the rest of volcanic rocks in the area possess moderate to high productive characteristics. The highly sheared, foliated and weathered high grade basement rocks of the area classified as low to moderate productive. Low grade basement rocks, mainly intrusives and metasedimentary units are massive and fresh without water points and classified as medium of very low water holding and transmitting capacity/Aquifuge. From topographic set up and ground water table map , the general ground water flow direction in the area is towards south and mainly south east (sedimentary covering low land) and the minimum mean recharge of the area from precipitation is estimated as 1127.2 mm/year. From the collected 97 water samples about 78 water samples are within the permissible level of water quality standard of WHO and good for drinking purpose. The Sodium Adsorption Ratio (SAR) value of the water in the area is &lt;5, which is within excellent range for irrigation, but TDS irrigation suitability criteria shows 87 water samples are excellent, 7 are suitable and the rest are unsuitable. Most of analyzed water samples show the ground water quality of the area is also suitable for Dairy, Sugar, Food processing and Tanning industries. Shallow well of Dello Mena town (dshw_4) and dDw_11 of Dodola area shows harmful (high) concentration of NO3 and sho…","author":[{"dropping-particle":"","family":"Kifle","given":"Astatike","non-dropping-particle":"","parse-names":false,"suffix":""},{"dropping-particle":"","family":"Hailemriam","given":"Mulugeta","non-dropping-particle":"","parse-names":false,"suffix":""}],"id":"ITEM-1","issued":{"date-parts":[["2010"]]},"number-of-pages":"1-104","publisher-place":"Addis Abeba, Ethiopia","title":"Integrated hydrogeological mapping of Dodola map sheet (NB 37-7) South Eastern Ethiopia high lands with associated low lands","type":"report"},"uris":["http://www.mendeley.com/documents/?uuid=a08bf45a-48bd-4814-bf25-2789c5c1d393","http://www.mendeley.com/documents/?uuid=0265e2e7-316d-4ea6-8541-27380974830d"]}],"mendeley":{"formattedCitation":"(Kifle &amp; Hailemriam, 2010)","manualFormatting":"(Kifle and Hailemriam, 2010)","plainTextFormattedCitation":"(Kifle &amp; Hailemriam, 2010)","previouslyFormattedCitation":"(Kifle &amp; Hailemriam, 2010)"},"properties":{"noteIndex":0},"schema":"https://github.com/citation-style-language/schema/raw/master/csl-citation.json"}</w:instrText>
      </w:r>
      <w:r w:rsidR="00650A04" w:rsidRPr="00601FD1">
        <w:rPr>
          <w:rStyle w:val="FootnoteReference"/>
        </w:rPr>
        <w:fldChar w:fldCharType="separate"/>
      </w:r>
      <w:r w:rsidR="001A5CDA" w:rsidRPr="00601FD1">
        <w:rPr>
          <w:noProof/>
        </w:rPr>
        <w:t xml:space="preserve">(Kifle </w:t>
      </w:r>
      <w:r w:rsidR="00E230CE" w:rsidRPr="00601FD1">
        <w:rPr>
          <w:noProof/>
        </w:rPr>
        <w:t>and</w:t>
      </w:r>
      <w:r w:rsidR="001A5CDA" w:rsidRPr="00601FD1">
        <w:rPr>
          <w:noProof/>
        </w:rPr>
        <w:t xml:space="preserve"> Hailemriam, 2010)</w:t>
      </w:r>
      <w:r w:rsidR="00650A04" w:rsidRPr="00601FD1">
        <w:rPr>
          <w:rStyle w:val="FootnoteReference"/>
        </w:rPr>
        <w:fldChar w:fldCharType="end"/>
      </w:r>
      <w:r w:rsidR="00437EB7" w:rsidRPr="00601FD1">
        <w:t xml:space="preserve">. </w:t>
      </w:r>
    </w:p>
    <w:p w:rsidR="00E6207F" w:rsidRDefault="004532F5" w:rsidP="00EE74B8">
      <w:r w:rsidRPr="00601FD1">
        <w:lastRenderedPageBreak/>
        <w:t>Due to</w:t>
      </w:r>
      <w:r w:rsidR="006013FA" w:rsidRPr="00601FD1">
        <w:t xml:space="preserve"> </w:t>
      </w:r>
      <w:r w:rsidR="00C867E5" w:rsidRPr="00601FD1">
        <w:t xml:space="preserve">the </w:t>
      </w:r>
      <w:r w:rsidR="006013FA" w:rsidRPr="00601FD1">
        <w:t>great variation in altitude and the great bulk of the mountain massif itself</w:t>
      </w:r>
      <w:r w:rsidR="00407929" w:rsidRPr="00601FD1">
        <w:t>,</w:t>
      </w:r>
      <w:r w:rsidR="00A228A4" w:rsidRPr="00601FD1">
        <w:t xml:space="preserve"> </w:t>
      </w:r>
      <w:r w:rsidR="00CA000E" w:rsidRPr="00601FD1">
        <w:t>t</w:t>
      </w:r>
      <w:r w:rsidR="003D768E" w:rsidRPr="00601FD1">
        <w:t>he climatic condition of Weyib Sub-</w:t>
      </w:r>
      <w:r w:rsidR="00CA000E" w:rsidRPr="00601FD1">
        <w:t>basin shows a considerable variation</w:t>
      </w:r>
      <w:r w:rsidR="00407929" w:rsidRPr="00601FD1">
        <w:t xml:space="preserve"> </w:t>
      </w:r>
      <w:r w:rsidR="00650A04" w:rsidRPr="00601FD1">
        <w:rPr>
          <w:rStyle w:val="FootnoteReference"/>
        </w:rPr>
        <w:fldChar w:fldCharType="begin" w:fldLock="1"/>
      </w:r>
      <w:r w:rsidR="00A309A8">
        <w:instrText>ADDIN CSL_CITATION {"citationItems":[{"id":"ITEM-1","itemData":{"abstract":"The Dodola area is partially underlain by Precambrian crystalline basement rocks. Mesozoic sedimentary and Cenozoic volcanic rocks unconformably overlying the Precambrian cover large areas. The precambrian basement is divided into two major groups, low-grade and high-grade metamorphic rocks. Plutons of Precambrian age are also present. These rocks were affected by two main deformational events designated Dl and D2. . The Dl event affected the high-grade gneisses only, while both the high-grade and low- grade rocks were subjected to the D2 event. The precambrian rocks of the area were subjected to the M1 and M2 metamorphic episodes that accompanied Dl and D2' respectively. The high-grade rocks were metamorphosed to middle amphibolite facies (M1), the low-grade rocks to greenschist facies (M2). Four Mesozoic sedimentary map units, both sandstones and limestones, were identified. Eight Cenozoic volcanic map units were delineated in the area. Seven of these are of Tertiary age, the eighth of Quaternary age. Intrusive alkali-feldspar syenites are also present. Quaternary eluvial and alluvial sediments cover parts of the area. Placer gold in the southwestern part of the area and iron ore in unit pga (metagabbro) are the main types of mineralization in the map area. viii","author":[{"dropping-particle":"","family":"Gobena","given":"Hambisa","non-dropping-particle":"","parse-names":false,"suffix":""},{"dropping-particle":"","family":"Belayneh","given":"Mandefro","non-dropping-particle":"","parse-names":false,"suffix":""},{"dropping-particle":"","family":"Kebede","given":"Tesfaye","non-dropping-particle":"","parse-names":false,"suffix":""},{"dropping-particle":"","family":"Tesfaye","given":"Samson","non-dropping-particle":"","parse-names":false,"suffix":""},{"dropping-particle":"","family":"Abraham","given":"Amenti","non-dropping-particle":"","parse-names":false,"suffix":""}],"id":"ITEM-1","issued":{"date-parts":[["1997"]]},"number-of-pages":"1-150","publisher":"Geological survey of Ethiopia","publisher-place":"Addis Abeba, Ethiopia","title":"Geology of the Dodola area memoir 10","type":"thesis"},"uris":["http://www.mendeley.com/documents/?uuid=c79ad758-07cb-4295-b419-a4c7d1b0c8f2","http://www.mendeley.com/documents/?uuid=b840fa1f-1773-4952-a482-26e12eb52c1d"]}],"mendeley":{"formattedCitation":"(Gobena et al., 1997)","plainTextFormattedCitation":"(Gobena et al., 1997)","previouslyFormattedCitation":"(Gobena et al., 1997)"},"properties":{"noteIndex":0},"schema":"https://github.com/citation-style-language/schema/raw/master/csl-citation.json"}</w:instrText>
      </w:r>
      <w:r w:rsidR="00650A04" w:rsidRPr="00601FD1">
        <w:rPr>
          <w:rStyle w:val="FootnoteReference"/>
        </w:rPr>
        <w:fldChar w:fldCharType="separate"/>
      </w:r>
      <w:r w:rsidR="001626FB" w:rsidRPr="00601FD1">
        <w:rPr>
          <w:noProof/>
        </w:rPr>
        <w:t>(Gobena et al., 1997)</w:t>
      </w:r>
      <w:r w:rsidR="00650A04" w:rsidRPr="00601FD1">
        <w:rPr>
          <w:rStyle w:val="FootnoteReference"/>
        </w:rPr>
        <w:fldChar w:fldCharType="end"/>
      </w:r>
      <w:r w:rsidRPr="00601FD1">
        <w:t>.</w:t>
      </w:r>
      <w:r w:rsidR="00C72C44">
        <w:t xml:space="preserve"> </w:t>
      </w:r>
      <w:r w:rsidR="004610F3" w:rsidRPr="00601FD1">
        <w:t>Thus,</w:t>
      </w:r>
      <w:r w:rsidR="00302A32" w:rsidRPr="00601FD1">
        <w:t xml:space="preserve"> </w:t>
      </w:r>
      <w:r w:rsidR="00A228A4" w:rsidRPr="00601FD1">
        <w:t xml:space="preserve">the area </w:t>
      </w:r>
      <w:r w:rsidRPr="00601FD1">
        <w:t xml:space="preserve">comprehends </w:t>
      </w:r>
      <w:r w:rsidR="00A228A4" w:rsidRPr="00601FD1">
        <w:t xml:space="preserve">four climatic regions </w:t>
      </w:r>
      <w:r w:rsidR="00302A32" w:rsidRPr="00601FD1">
        <w:t xml:space="preserve">of </w:t>
      </w:r>
      <w:r w:rsidR="00A228A4" w:rsidRPr="00601FD1">
        <w:t>Alpine</w:t>
      </w:r>
      <w:r w:rsidR="003E08F6" w:rsidRPr="00601FD1">
        <w:t xml:space="preserve"> (</w:t>
      </w:r>
      <w:r w:rsidR="003E08F6" w:rsidRPr="00601FD1">
        <w:rPr>
          <w:iCs/>
        </w:rPr>
        <w:t>Wurch</w:t>
      </w:r>
      <w:r w:rsidR="003E08F6" w:rsidRPr="00601FD1">
        <w:t>)</w:t>
      </w:r>
      <w:r w:rsidR="00A228A4" w:rsidRPr="00601FD1">
        <w:t>, Temperate</w:t>
      </w:r>
      <w:r w:rsidR="00966015" w:rsidRPr="00601FD1">
        <w:t xml:space="preserve"> (</w:t>
      </w:r>
      <w:r w:rsidR="00966015" w:rsidRPr="00601FD1">
        <w:rPr>
          <w:iCs/>
        </w:rPr>
        <w:t>Dega</w:t>
      </w:r>
      <w:r w:rsidR="00966015" w:rsidRPr="00601FD1">
        <w:t>),</w:t>
      </w:r>
      <w:r w:rsidR="003D768E" w:rsidRPr="00601FD1">
        <w:t xml:space="preserve"> Sub-</w:t>
      </w:r>
      <w:r w:rsidR="00A228A4" w:rsidRPr="00601FD1">
        <w:t>tropical</w:t>
      </w:r>
      <w:r w:rsidR="00966015" w:rsidRPr="00601FD1">
        <w:t xml:space="preserve"> (</w:t>
      </w:r>
      <w:r w:rsidR="00966015" w:rsidRPr="00601FD1">
        <w:rPr>
          <w:iCs/>
        </w:rPr>
        <w:t>Weynadega</w:t>
      </w:r>
      <w:r w:rsidR="00966015" w:rsidRPr="00601FD1">
        <w:t>)</w:t>
      </w:r>
      <w:r w:rsidR="00A228A4" w:rsidRPr="00601FD1">
        <w:t xml:space="preserve"> and Tropical</w:t>
      </w:r>
      <w:r w:rsidR="00966015" w:rsidRPr="00601FD1">
        <w:t xml:space="preserve"> (</w:t>
      </w:r>
      <w:r w:rsidR="00966015" w:rsidRPr="00601FD1">
        <w:rPr>
          <w:iCs/>
        </w:rPr>
        <w:t>Kola</w:t>
      </w:r>
      <w:r w:rsidR="00966015" w:rsidRPr="00601FD1">
        <w:t>)</w:t>
      </w:r>
      <w:r w:rsidR="00A228A4" w:rsidRPr="00601FD1">
        <w:t>.</w:t>
      </w:r>
      <w:r w:rsidR="00E6207F">
        <w:t xml:space="preserve"> </w:t>
      </w:r>
      <w:r w:rsidR="00705243" w:rsidRPr="00601FD1">
        <w:t xml:space="preserve">Area of elevation above 3300m a.m.s.l. and </w:t>
      </w:r>
      <w:r w:rsidR="00C867E5" w:rsidRPr="00601FD1">
        <w:t xml:space="preserve">a </w:t>
      </w:r>
      <w:r w:rsidR="00AB7450" w:rsidRPr="00601FD1">
        <w:t>temperature</w:t>
      </w:r>
      <w:r w:rsidR="00705243" w:rsidRPr="00601FD1">
        <w:t xml:space="preserve"> less than 10°c</w:t>
      </w:r>
      <w:r w:rsidR="00AB7450" w:rsidRPr="00601FD1">
        <w:t xml:space="preserve"> are classified </w:t>
      </w:r>
      <w:r w:rsidR="005A2A03" w:rsidRPr="00601FD1">
        <w:t>under</w:t>
      </w:r>
      <w:r w:rsidR="00AB7450" w:rsidRPr="00601FD1">
        <w:t xml:space="preserve"> Alpine climate </w:t>
      </w:r>
      <w:r w:rsidR="005A2A03" w:rsidRPr="00601FD1">
        <w:t>region</w:t>
      </w:r>
      <w:r w:rsidR="006E2EC9" w:rsidRPr="00601FD1">
        <w:t xml:space="preserve"> </w:t>
      </w:r>
      <w:r w:rsidR="006E2EC9" w:rsidRPr="00601FD1">
        <w:fldChar w:fldCharType="begin" w:fldLock="1"/>
      </w:r>
      <w:r w:rsidR="00A309A8">
        <w:instrText>ADDIN CSL_CITATION {"citationItems":[{"id":"ITEM-1","itemData":{"author":[{"dropping-particle":"","family":"Kiflu","given":"Astatke","non-dropping-particle":"","parse-names":false,"suffix":""},{"dropping-particle":"","family":"Tafa","given":"Yosef","non-dropping-particle":"","parse-names":false,"suffix":""},{"dropping-particle":"","family":"Mulugeta","given":"Yonas","non-dropping-particle":"","parse-names":false,"suffix":""}],"id":"ITEM-1","issued":{"date-parts":[["2009"]]},"number-of-pages":"1-74","publisher-place":"Addis Abeba, Ethiopia","title":"Hydrogeological mapping of part of Asela map sheet (NB 37-3) South eastern high land of Ethiopia","type":"report"},"uris":["http://www.mendeley.com/documents/?uuid=00ac486c-3b45-4648-a467-648ee30a24fa","http://www.mendeley.com/documents/?uuid=b3043dd7-ee9c-4f47-9f3e-21b95483fb89"]}],"mendeley":{"formattedCitation":"(Kiflu et al., 2009)","plainTextFormattedCitation":"(Kiflu et al., 2009)","previouslyFormattedCitation":"(Kiflu et al., 2009)"},"properties":{"noteIndex":0},"schema":"https://github.com/citation-style-language/schema/raw/master/csl-citation.json"}</w:instrText>
      </w:r>
      <w:r w:rsidR="006E2EC9" w:rsidRPr="00601FD1">
        <w:fldChar w:fldCharType="separate"/>
      </w:r>
      <w:r w:rsidR="006E2EC9" w:rsidRPr="00601FD1">
        <w:rPr>
          <w:noProof/>
        </w:rPr>
        <w:t>(Kiflu et al., 2009)</w:t>
      </w:r>
      <w:r w:rsidR="006E2EC9" w:rsidRPr="00601FD1">
        <w:fldChar w:fldCharType="end"/>
      </w:r>
      <w:r w:rsidR="006E2EC9" w:rsidRPr="00601FD1">
        <w:t xml:space="preserve">. </w:t>
      </w:r>
      <w:r w:rsidR="0065133D" w:rsidRPr="00601FD1">
        <w:t>This includes pa</w:t>
      </w:r>
      <w:r w:rsidR="00647444" w:rsidRPr="00601FD1">
        <w:t xml:space="preserve">rts of Bale </w:t>
      </w:r>
      <w:r w:rsidR="007979E6" w:rsidRPr="00601FD1">
        <w:t>Mountain National Park</w:t>
      </w:r>
      <w:r w:rsidR="00E90E80" w:rsidRPr="00601FD1">
        <w:t>, Dinsho</w:t>
      </w:r>
      <w:r w:rsidR="00010AAA" w:rsidRPr="00601FD1">
        <w:t>-</w:t>
      </w:r>
      <w:r w:rsidR="00E90E80" w:rsidRPr="00601FD1">
        <w:t xml:space="preserve">Gassy plain </w:t>
      </w:r>
      <w:r w:rsidR="00647444" w:rsidRPr="00601FD1">
        <w:t xml:space="preserve">and </w:t>
      </w:r>
      <w:r w:rsidR="00021957" w:rsidRPr="00601FD1">
        <w:t>Sanate</w:t>
      </w:r>
      <w:r w:rsidR="00647444" w:rsidRPr="00601FD1">
        <w:t xml:space="preserve"> plain </w:t>
      </w:r>
      <w:r w:rsidR="00021957" w:rsidRPr="00601FD1">
        <w:t>h</w:t>
      </w:r>
      <w:r w:rsidR="00647444" w:rsidRPr="00601FD1">
        <w:t>ighlands</w:t>
      </w:r>
      <w:r w:rsidR="0065133D" w:rsidRPr="00601FD1">
        <w:t xml:space="preserve">. </w:t>
      </w:r>
      <w:r w:rsidR="00C85D8F" w:rsidRPr="00601FD1">
        <w:t>T</w:t>
      </w:r>
      <w:r w:rsidR="00C867E5" w:rsidRPr="00601FD1">
        <w:t>he t</w:t>
      </w:r>
      <w:r w:rsidR="00C85D8F" w:rsidRPr="00601FD1">
        <w:t>emperate</w:t>
      </w:r>
      <w:r w:rsidR="003E08F6" w:rsidRPr="00601FD1">
        <w:t xml:space="preserve"> </w:t>
      </w:r>
      <w:r w:rsidR="003B2E47" w:rsidRPr="00601FD1">
        <w:t xml:space="preserve">climatic condition includes the area within the elevation range of </w:t>
      </w:r>
      <w:r w:rsidR="002F4DBA" w:rsidRPr="00601FD1">
        <w:t>2300-3300m a.m.s.l.</w:t>
      </w:r>
      <w:r w:rsidR="003B2E47" w:rsidRPr="00601FD1">
        <w:t xml:space="preserve"> and </w:t>
      </w:r>
      <w:r w:rsidR="00876562" w:rsidRPr="00601FD1">
        <w:t>temperature varies from 10</w:t>
      </w:r>
      <w:r w:rsidR="00CD0636" w:rsidRPr="00601FD1">
        <w:t xml:space="preserve"> to </w:t>
      </w:r>
      <w:r w:rsidR="00876562" w:rsidRPr="00601FD1">
        <w:t>15˚c</w:t>
      </w:r>
      <w:r w:rsidR="003B2E47" w:rsidRPr="00601FD1">
        <w:t xml:space="preserve">. </w:t>
      </w:r>
      <w:r w:rsidR="002F4DBA" w:rsidRPr="00601FD1">
        <w:t xml:space="preserve">This includes most </w:t>
      </w:r>
      <w:r w:rsidR="005A2A03" w:rsidRPr="00601FD1">
        <w:t>of</w:t>
      </w:r>
      <w:r w:rsidR="002F4DBA" w:rsidRPr="00601FD1">
        <w:t xml:space="preserve"> </w:t>
      </w:r>
      <w:r w:rsidR="00C867E5" w:rsidRPr="00601FD1">
        <w:t xml:space="preserve">the </w:t>
      </w:r>
      <w:r w:rsidR="002F4DBA" w:rsidRPr="00601FD1">
        <w:t xml:space="preserve">plateau </w:t>
      </w:r>
      <w:r w:rsidR="005A2A03" w:rsidRPr="00601FD1">
        <w:t xml:space="preserve">area </w:t>
      </w:r>
      <w:r w:rsidR="00555728" w:rsidRPr="00601FD1">
        <w:t>up to</w:t>
      </w:r>
      <w:r w:rsidR="002F4DBA" w:rsidRPr="00601FD1">
        <w:t xml:space="preserve"> the m</w:t>
      </w:r>
      <w:r w:rsidR="00555728" w:rsidRPr="00601FD1">
        <w:t>i</w:t>
      </w:r>
      <w:r w:rsidR="002F4DBA" w:rsidRPr="00601FD1">
        <w:t>d</w:t>
      </w:r>
      <w:r w:rsidR="00555728" w:rsidRPr="00601FD1">
        <w:t>-</w:t>
      </w:r>
      <w:r w:rsidR="002F4DBA" w:rsidRPr="00601FD1">
        <w:t>slope mountain peaks.</w:t>
      </w:r>
      <w:r w:rsidR="005A2A03" w:rsidRPr="00601FD1">
        <w:t xml:space="preserve"> </w:t>
      </w:r>
    </w:p>
    <w:p w:rsidR="00952928" w:rsidRPr="00601FD1" w:rsidRDefault="00C85D8F" w:rsidP="00EE74B8">
      <w:r w:rsidRPr="00601FD1">
        <w:t>The steep slope of Bale mountain high land</w:t>
      </w:r>
      <w:r w:rsidR="003B2E47" w:rsidRPr="00601FD1">
        <w:t xml:space="preserve"> a</w:t>
      </w:r>
      <w:r w:rsidRPr="00601FD1">
        <w:t>long</w:t>
      </w:r>
      <w:r w:rsidR="00C867E5" w:rsidRPr="00601FD1">
        <w:t xml:space="preserve"> the</w:t>
      </w:r>
      <w:r w:rsidRPr="00601FD1">
        <w:t xml:space="preserve"> Goba-</w:t>
      </w:r>
      <w:r w:rsidR="00B844F2" w:rsidRPr="00601FD1">
        <w:t>Meliyou</w:t>
      </w:r>
      <w:r w:rsidRPr="00601FD1">
        <w:t xml:space="preserve"> area</w:t>
      </w:r>
      <w:r w:rsidR="005A2A03" w:rsidRPr="00601FD1">
        <w:t xml:space="preserve"> and </w:t>
      </w:r>
      <w:r w:rsidR="00D92B02" w:rsidRPr="00601FD1">
        <w:t>Sheneka P</w:t>
      </w:r>
      <w:r w:rsidR="00647444" w:rsidRPr="00601FD1">
        <w:t xml:space="preserve">lain </w:t>
      </w:r>
      <w:r w:rsidR="009A7197" w:rsidRPr="00601FD1">
        <w:t xml:space="preserve">are </w:t>
      </w:r>
      <w:r w:rsidR="005A2A03" w:rsidRPr="00601FD1">
        <w:t xml:space="preserve">classified under </w:t>
      </w:r>
      <w:r w:rsidR="009A7197" w:rsidRPr="00601FD1">
        <w:t>zone of temperate climatic condition</w:t>
      </w:r>
      <w:r w:rsidR="00C867E5" w:rsidRPr="00601FD1">
        <w:t>s</w:t>
      </w:r>
      <w:r w:rsidR="009A7197" w:rsidRPr="00601FD1">
        <w:t>.</w:t>
      </w:r>
      <w:r w:rsidR="00321514" w:rsidRPr="00601FD1">
        <w:t xml:space="preserve"> The a</w:t>
      </w:r>
      <w:r w:rsidR="00A969A1" w:rsidRPr="00601FD1">
        <w:t xml:space="preserve">rea within </w:t>
      </w:r>
      <w:r w:rsidR="00321514" w:rsidRPr="00601FD1">
        <w:t xml:space="preserve">the </w:t>
      </w:r>
      <w:r w:rsidR="00A969A1" w:rsidRPr="00601FD1">
        <w:t xml:space="preserve">elevation range of 1500-200 meter and </w:t>
      </w:r>
      <w:r w:rsidR="007119A2" w:rsidRPr="00601FD1">
        <w:t>temperature</w:t>
      </w:r>
      <w:r w:rsidR="00A969A1" w:rsidRPr="00601FD1">
        <w:t xml:space="preserve"> of 15 to 20 °c is classified under Sub</w:t>
      </w:r>
      <w:r w:rsidR="003D768E" w:rsidRPr="00601FD1">
        <w:t>-</w:t>
      </w:r>
      <w:r w:rsidR="00A969A1" w:rsidRPr="00601FD1">
        <w:t>tropical climate region.</w:t>
      </w:r>
      <w:r w:rsidR="00E6207F">
        <w:t xml:space="preserve"> </w:t>
      </w:r>
      <w:r w:rsidR="00321514" w:rsidRPr="00601FD1">
        <w:t>The t</w:t>
      </w:r>
      <w:r w:rsidR="00991B27" w:rsidRPr="00601FD1">
        <w:t>ropical</w:t>
      </w:r>
      <w:r w:rsidR="007119A2" w:rsidRPr="00601FD1">
        <w:t xml:space="preserve"> zone</w:t>
      </w:r>
      <w:r w:rsidR="00966015" w:rsidRPr="00601FD1">
        <w:t xml:space="preserve"> </w:t>
      </w:r>
      <w:r w:rsidR="002F4DBA" w:rsidRPr="00601FD1">
        <w:t xml:space="preserve">occurs between </w:t>
      </w:r>
      <w:r w:rsidR="00E462D9" w:rsidRPr="00601FD1">
        <w:t xml:space="preserve">altitudes </w:t>
      </w:r>
      <w:r w:rsidR="002F4DBA" w:rsidRPr="00601FD1">
        <w:t>500-1500 m</w:t>
      </w:r>
      <w:r w:rsidR="006444E4" w:rsidRPr="00601FD1">
        <w:t xml:space="preserve"> and temperature of</w:t>
      </w:r>
      <w:r w:rsidR="007C5122" w:rsidRPr="00601FD1">
        <w:t xml:space="preserve"> </w:t>
      </w:r>
      <w:r w:rsidR="00CD0636" w:rsidRPr="00601FD1">
        <w:t>a</w:t>
      </w:r>
      <w:r w:rsidR="007C5122" w:rsidRPr="00601FD1">
        <w:t>bout 30°c</w:t>
      </w:r>
      <w:r w:rsidR="002F4DBA" w:rsidRPr="00601FD1">
        <w:t>.</w:t>
      </w:r>
      <w:r w:rsidR="00A34DEC" w:rsidRPr="00601FD1">
        <w:t xml:space="preserve">This includes the </w:t>
      </w:r>
      <w:r w:rsidR="00522BD9" w:rsidRPr="00601FD1">
        <w:t>E</w:t>
      </w:r>
      <w:r w:rsidR="00952928" w:rsidRPr="00601FD1">
        <w:t xml:space="preserve">astern </w:t>
      </w:r>
      <w:r w:rsidR="00A34DEC" w:rsidRPr="00601FD1">
        <w:t xml:space="preserve">lowlands of </w:t>
      </w:r>
      <w:r w:rsidR="00952928" w:rsidRPr="00601FD1">
        <w:t>study</w:t>
      </w:r>
      <w:r w:rsidR="00A34DEC" w:rsidRPr="00601FD1">
        <w:t xml:space="preserve"> area with hot to very hot temperature</w:t>
      </w:r>
      <w:r w:rsidR="00321514" w:rsidRPr="00601FD1">
        <w:t>s</w:t>
      </w:r>
      <w:r w:rsidR="00A34DEC" w:rsidRPr="00601FD1">
        <w:t>.</w:t>
      </w:r>
      <w:r w:rsidR="00A62720" w:rsidRPr="00601FD1">
        <w:t xml:space="preserve"> </w:t>
      </w:r>
      <w:r w:rsidR="009C3844" w:rsidRPr="00601FD1">
        <w:t xml:space="preserve">Tropical and </w:t>
      </w:r>
      <w:r w:rsidR="00A62720" w:rsidRPr="00601FD1">
        <w:t>sub-tropical</w:t>
      </w:r>
      <w:r w:rsidR="009C3844" w:rsidRPr="00601FD1">
        <w:t xml:space="preserve"> climatic regions are not extensive.</w:t>
      </w:r>
      <w:r w:rsidR="00A62720" w:rsidRPr="00601FD1">
        <w:t xml:space="preserve"> </w:t>
      </w:r>
      <w:r w:rsidR="009C3844" w:rsidRPr="00601FD1">
        <w:t xml:space="preserve">Alpine and </w:t>
      </w:r>
      <w:r w:rsidR="00972681" w:rsidRPr="00601FD1">
        <w:t>temperate</w:t>
      </w:r>
      <w:r w:rsidR="009C3844" w:rsidRPr="00601FD1">
        <w:t xml:space="preserve"> are the principal climatic regions to represent the </w:t>
      </w:r>
      <w:r w:rsidR="00A62720" w:rsidRPr="00601FD1">
        <w:t>study</w:t>
      </w:r>
      <w:r w:rsidR="009C3844" w:rsidRPr="00601FD1">
        <w:t xml:space="preserve"> area</w:t>
      </w:r>
      <w:r w:rsidR="00A62720" w:rsidRPr="00601FD1">
        <w:t>.</w:t>
      </w:r>
    </w:p>
    <w:p w:rsidR="00CD0636" w:rsidRPr="00601FD1" w:rsidRDefault="00CD0636" w:rsidP="00EE74B8">
      <w:pPr>
        <w:pStyle w:val="Heading3"/>
        <w:numPr>
          <w:ilvl w:val="2"/>
          <w:numId w:val="1"/>
        </w:numPr>
      </w:pPr>
      <w:bookmarkStart w:id="129" w:name="_Toc68025082"/>
      <w:bookmarkStart w:id="130" w:name="_Toc68761564"/>
      <w:r w:rsidRPr="00601FD1">
        <w:t xml:space="preserve">Rainfall and </w:t>
      </w:r>
      <w:r w:rsidR="00C42784" w:rsidRPr="00601FD1">
        <w:t>Temperature</w:t>
      </w:r>
      <w:bookmarkEnd w:id="129"/>
      <w:bookmarkEnd w:id="130"/>
    </w:p>
    <w:p w:rsidR="008836E9" w:rsidRDefault="00E46290" w:rsidP="007119B6">
      <w:r w:rsidRPr="00601FD1">
        <w:t xml:space="preserve">The </w:t>
      </w:r>
      <w:r w:rsidR="00B3755A" w:rsidRPr="00601FD1">
        <w:t xml:space="preserve">Rainfall </w:t>
      </w:r>
      <w:r w:rsidRPr="00601FD1">
        <w:t xml:space="preserve">of </w:t>
      </w:r>
      <w:r w:rsidR="00B3755A" w:rsidRPr="00601FD1">
        <w:t>study area is mainly caused by orographic and direction of moistu</w:t>
      </w:r>
      <w:r w:rsidR="00750607" w:rsidRPr="00601FD1">
        <w:t>re-</w:t>
      </w:r>
      <w:r w:rsidR="00B3755A" w:rsidRPr="00601FD1">
        <w:t>bearing seasonal air currents. These are the main factors accounting for</w:t>
      </w:r>
      <w:r w:rsidR="00750607" w:rsidRPr="00601FD1">
        <w:t xml:space="preserve"> the seasonal distribution of rain</w:t>
      </w:r>
      <w:r w:rsidR="00B3755A" w:rsidRPr="00601FD1">
        <w:t xml:space="preserve">fall in the area. </w:t>
      </w:r>
      <w:bookmarkEnd w:id="127"/>
      <w:r w:rsidR="00CF2B17" w:rsidRPr="00601FD1">
        <w:t xml:space="preserve">Though the duration, amount and spatial distribution of the rainfall varies in the plateaus and low lands, a bimodal type of rainfall regime is generally observed </w:t>
      </w:r>
      <w:r w:rsidR="00CF2B17" w:rsidRPr="00601FD1">
        <w:rPr>
          <w:rStyle w:val="FootnoteReference"/>
        </w:rPr>
        <w:fldChar w:fldCharType="begin" w:fldLock="1"/>
      </w:r>
      <w:r w:rsidR="00A309A8">
        <w:instrText>ADDIN CSL_CITATION {"citationItems":[{"id":"ITEM-1","itemData":{"abstract":"Hydrogeological mapping of Ginner map sheet is carried out on the upper Wabi Shebele and some part of upper Genale Dawa river shades which is situated about 530 km east of Addis Ababa at the eastern part of Ethiopia. Considerable elevation difference (500-2685 m.a.s.l) and physiographic diversities such as highlands, lowlands and rugged areas, river valleys, deep gorges and plateaus characterize the area. Though the duration, amount and spatial distribution of the rain fall varies in the plateaus and low lands, bi- modal type of rain fall regime is generally observed. The annual mean rainfall in the low lands and high lands vary between 300 – 1200 mm and Potential evapotranspiration (PET) is estimated empirically 3.9 mm/day for the area. Rock units of the area are Tertiary and Quaternary Volcanics such as; Ginner Basalt, Arsi-Bale basalts and lower flood basalt and Mesozoic sedimentary formations such as: Amba Aradam, Korahe, Gabredare, Urandab and Hamanle formations successively under lain from young to old. In addition, superficial deposits and weathering remnants such as alluvium and elluvium cover the area. Nearly NE–SW and NW– SE trending faults and lineaments affect the area. The aquifer systems are defined based on hydrogeological characteristics /aquifer productivity and permeability/ of the lithological units. Seven hydrogeological units /aquifers systems/ are identified in the map sheet and then hydrogeological map at a scale 1:250,000 is produced. The chemical analysis result of water samples in the study area shows that bicarbonate and transitional and basic water type is predominant. The general trend of EC and TDS increases from relatively highland plateau to lowland where rain fall is low and evapotranspiration is high. Groundwater of the study area is generally suitable for Drinking water supply and irrigation. Generally, the area has ground water resources thus intensive sustainable water resources development is recommended by drilling deeper wells more than 150m depth on the lowlands and Springs development on the high land plateaus. Productive wells can also be drilled at the high land plateaus along faults and lineaments. In addition to water supply, large scale irrigation can be possible at the plateaus by using ground water resource.","author":[{"dropping-particle":"","family":"Mulugeta","given":"Yonas","non-dropping-particle":"","parse-names":false,"suffix":""},{"dropping-particle":"","family":"Tafa","given":"Yosef","non-dropping-particle":"","parse-names":false,"suffix":""}],"id":"ITEM-1","issued":{"date-parts":[["2010"]]},"number-of-pages":"1-84","publisher-place":"Addis Abeba, Ethiopia","title":"Integrated hydrogeological mapping of Ginnir map sheet (NB-37-4) South Eastern low land and adjacent high land of Ethiopia","type":"report"},"uris":["http://www.mendeley.com/documents/?uuid=e9c5b3e5-3d16-4cb5-a46e-712fee7da124","http://www.mendeley.com/documents/?uuid=1b87b89f-6151-4701-b983-9da2e8363ad4"]}],"mendeley":{"formattedCitation":"(Mulugeta &amp; Tafa, 2010)","manualFormatting":"(Mulugeta and Tafa, 2010)","plainTextFormattedCitation":"(Mulugeta &amp; Tafa, 2010)","previouslyFormattedCitation":"(Mulugeta &amp; Tafa, 2010)"},"properties":{"noteIndex":0},"schema":"https://github.com/citation-style-language/schema/raw/master/csl-citation.json"}</w:instrText>
      </w:r>
      <w:r w:rsidR="00CF2B17" w:rsidRPr="00601FD1">
        <w:rPr>
          <w:rStyle w:val="FootnoteReference"/>
        </w:rPr>
        <w:fldChar w:fldCharType="separate"/>
      </w:r>
      <w:r w:rsidR="00CF2B17" w:rsidRPr="00601FD1">
        <w:rPr>
          <w:noProof/>
        </w:rPr>
        <w:t>(Mulugeta and Tafa, 2010)</w:t>
      </w:r>
      <w:r w:rsidR="00CF2B17" w:rsidRPr="00601FD1">
        <w:rPr>
          <w:rStyle w:val="FootnoteReference"/>
        </w:rPr>
        <w:fldChar w:fldCharType="end"/>
      </w:r>
      <w:r w:rsidR="00CF2B17" w:rsidRPr="00601FD1">
        <w:t xml:space="preserve">. </w:t>
      </w:r>
    </w:p>
    <w:p w:rsidR="007610BB" w:rsidRPr="00601FD1" w:rsidRDefault="007610BB" w:rsidP="007610BB">
      <w:pPr>
        <w:jc w:val="center"/>
      </w:pPr>
      <w:r w:rsidRPr="00601FD1">
        <w:rPr>
          <w:noProof/>
        </w:rPr>
        <mc:AlternateContent>
          <mc:Choice Requires="wps">
            <w:drawing>
              <wp:anchor distT="0" distB="0" distL="114300" distR="114300" simplePos="0" relativeHeight="251661312" behindDoc="0" locked="0" layoutInCell="1" allowOverlap="1" wp14:anchorId="392EB349" wp14:editId="4FA0CBE3">
                <wp:simplePos x="0" y="0"/>
                <wp:positionH relativeFrom="column">
                  <wp:posOffset>21818</wp:posOffset>
                </wp:positionH>
                <wp:positionV relativeFrom="paragraph">
                  <wp:posOffset>1648942</wp:posOffset>
                </wp:positionV>
                <wp:extent cx="365760" cy="285115"/>
                <wp:effectExtent l="0" t="0" r="0" b="635"/>
                <wp:wrapNone/>
                <wp:docPr id="22" name="Text Box 22"/>
                <wp:cNvGraphicFramePr/>
                <a:graphic xmlns:a="http://schemas.openxmlformats.org/drawingml/2006/main">
                  <a:graphicData uri="http://schemas.microsoft.com/office/word/2010/wordprocessingShape">
                    <wps:wsp>
                      <wps:cNvSpPr txBox="1"/>
                      <wps:spPr>
                        <a:xfrm>
                          <a:off x="0" y="0"/>
                          <a:ext cx="365760" cy="285115"/>
                        </a:xfrm>
                        <a:prstGeom prst="rect">
                          <a:avLst/>
                        </a:prstGeom>
                        <a:noFill/>
                        <a:ln w="6350">
                          <a:noFill/>
                        </a:ln>
                        <a:effectLst/>
                      </wps:spPr>
                      <wps:txbx>
                        <w:txbxContent>
                          <w:p w:rsidR="007610BB" w:rsidRDefault="007610BB" w:rsidP="007610BB">
                            <w:pPr>
                              <w:spacing w:before="0" w:after="0" w:line="240" w:lineRule="auto"/>
                            </w:pPr>
                            <w: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92EB349" id="_x0000_t202" coordsize="21600,21600" o:spt="202" path="m,l,21600r21600,l21600,xe">
                <v:stroke joinstyle="miter"/>
                <v:path gradientshapeok="t" o:connecttype="rect"/>
              </v:shapetype>
              <v:shape id="Text Box 22" o:spid="_x0000_s1026" type="#_x0000_t202" style="position:absolute;left:0;text-align:left;margin-left:1.7pt;margin-top:129.85pt;width:28.8pt;height:22.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" filled="f" stroked="f" strokeweight=".5pt">
                <v:textbox>
                  <w:txbxContent>
                    <w:p w:rsidR="007610BB" w:rsidRDefault="007610BB" w:rsidP="007610BB">
                      <w:pPr>
                        <w:spacing w:before="0" w:after="0" w:line="240" w:lineRule="auto"/>
                      </w:pPr>
                      <w:r>
                        <w:t>(a)</w:t>
                      </w:r>
                    </w:p>
                  </w:txbxContent>
                </v:textbox>
              </v:shape>
            </w:pict>
          </mc:Fallback>
        </mc:AlternateContent>
      </w:r>
      <w:r w:rsidRPr="00601FD1">
        <w:rPr>
          <w:noProof/>
        </w:rPr>
        <mc:AlternateContent>
          <mc:Choice Requires="wps">
            <w:drawing>
              <wp:anchor distT="0" distB="0" distL="114300" distR="114300" simplePos="0" relativeHeight="251668480" behindDoc="0" locked="0" layoutInCell="1" allowOverlap="1" wp14:anchorId="66BAB188" wp14:editId="2339A818">
                <wp:simplePos x="0" y="0"/>
                <wp:positionH relativeFrom="column">
                  <wp:posOffset>5131257</wp:posOffset>
                </wp:positionH>
                <wp:positionV relativeFrom="paragraph">
                  <wp:posOffset>1661033</wp:posOffset>
                </wp:positionV>
                <wp:extent cx="373075" cy="285115"/>
                <wp:effectExtent l="0" t="0" r="0" b="635"/>
                <wp:wrapNone/>
                <wp:docPr id="28" name="Text Box 28"/>
                <wp:cNvGraphicFramePr/>
                <a:graphic xmlns:a="http://schemas.openxmlformats.org/drawingml/2006/main">
                  <a:graphicData uri="http://schemas.microsoft.com/office/word/2010/wordprocessingShape">
                    <wps:wsp>
                      <wps:cNvSpPr txBox="1"/>
                      <wps:spPr>
                        <a:xfrm>
                          <a:off x="0" y="0"/>
                          <a:ext cx="373075" cy="285115"/>
                        </a:xfrm>
                        <a:prstGeom prst="rect">
                          <a:avLst/>
                        </a:prstGeom>
                        <a:noFill/>
                        <a:ln w="6350">
                          <a:noFill/>
                        </a:ln>
                        <a:effectLst/>
                      </wps:spPr>
                      <wps:txbx>
                        <w:txbxContent>
                          <w:p w:rsidR="007610BB" w:rsidRDefault="007610BB" w:rsidP="007610BB">
                            <w:pPr>
                              <w:spacing w:before="0" w:after="0" w:line="240" w:lineRule="auto"/>
                            </w:pPr>
                            <w: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BAB188" id="Text Box 28" o:spid="_x0000_s1027" type="#_x0000_t202" style="position:absolute;left:0;text-align:left;margin-left:404.05pt;margin-top:130.8pt;width:29.4pt;height:22.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" filled="f" stroked="f" strokeweight=".5pt">
                <v:textbox>
                  <w:txbxContent>
                    <w:p w:rsidR="007610BB" w:rsidRDefault="007610BB" w:rsidP="007610BB">
                      <w:pPr>
                        <w:spacing w:before="0" w:after="0" w:line="240" w:lineRule="auto"/>
                      </w:pPr>
                      <w:r>
                        <w:t>(b)</w:t>
                      </w:r>
                    </w:p>
                  </w:txbxContent>
                </v:textbox>
              </v:shape>
            </w:pict>
          </mc:Fallback>
        </mc:AlternateContent>
      </w:r>
      <w:r w:rsidRPr="00601FD1">
        <w:rPr>
          <w:noProof/>
        </w:rPr>
        <w:drawing>
          <wp:inline distT="0" distB="0" distL="0" distR="0" wp14:anchorId="75F25398" wp14:editId="6C7DD4DE">
            <wp:extent cx="2933700" cy="1899564"/>
            <wp:effectExtent l="0" t="0" r="0" b="5715"/>
            <wp:docPr id="84" name="Chart 2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sidRPr="00601FD1">
        <w:rPr>
          <w:noProof/>
        </w:rPr>
        <w:drawing>
          <wp:inline distT="0" distB="0" distL="0" distR="0" wp14:anchorId="325C4328" wp14:editId="18892EC6">
            <wp:extent cx="2574290" cy="1894637"/>
            <wp:effectExtent l="0" t="0" r="16510" b="10795"/>
            <wp:docPr id="83" name="Chart 2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7610BB" w:rsidRDefault="007610BB" w:rsidP="007610BB">
      <w:bookmarkStart w:id="131" w:name="_Toc68761613"/>
      <w:r w:rsidRPr="00601FD1">
        <w:t xml:space="preserve">Figure </w:t>
      </w:r>
      <w:r>
        <w:rPr>
          <w:noProof/>
        </w:rPr>
        <w:fldChar w:fldCharType="begin"/>
      </w:r>
      <w:r>
        <w:rPr>
          <w:noProof/>
        </w:rPr>
        <w:instrText xml:space="preserve"> STYLEREF 1 \s </w:instrText>
      </w:r>
      <w:r>
        <w:rPr>
          <w:noProof/>
        </w:rPr>
        <w:fldChar w:fldCharType="separate"/>
      </w:r>
      <w:r w:rsidR="00BD510E">
        <w:rPr>
          <w:noProof/>
        </w:rPr>
        <w:t>3</w:t>
      </w:r>
      <w:r>
        <w:rPr>
          <w:noProof/>
        </w:rPr>
        <w:fldChar w:fldCharType="end"/>
      </w:r>
      <w:r>
        <w:t>.</w:t>
      </w:r>
      <w:r>
        <w:rPr>
          <w:noProof/>
        </w:rPr>
        <w:fldChar w:fldCharType="begin"/>
      </w:r>
      <w:r>
        <w:rPr>
          <w:noProof/>
        </w:rPr>
        <w:instrText xml:space="preserve"> SEQ Figure \* ARABIC \s 1 </w:instrText>
      </w:r>
      <w:r>
        <w:rPr>
          <w:noProof/>
        </w:rPr>
        <w:fldChar w:fldCharType="separate"/>
      </w:r>
      <w:r w:rsidR="00BD510E">
        <w:rPr>
          <w:noProof/>
        </w:rPr>
        <w:t>3</w:t>
      </w:r>
      <w:r>
        <w:rPr>
          <w:noProof/>
        </w:rPr>
        <w:fldChar w:fldCharType="end"/>
      </w:r>
      <w:r w:rsidRPr="00601FD1">
        <w:t>: Bar charts of average monthly rainfall (a) and temperature (b)</w:t>
      </w:r>
      <w:bookmarkEnd w:id="131"/>
      <w:r w:rsidRPr="00601FD1">
        <w:t xml:space="preserve"> </w:t>
      </w:r>
    </w:p>
    <w:p w:rsidR="007610BB" w:rsidRDefault="007610BB" w:rsidP="007610BB">
      <w:r w:rsidRPr="00601FD1">
        <w:lastRenderedPageBreak/>
        <w:t xml:space="preserve">The bimodal pattern of rainfall divides the year into two main seasons: a main rainy season from July to October and a minor rainy season from March to May </w:t>
      </w:r>
      <w:r w:rsidRPr="00601FD1">
        <w:rPr>
          <w:rStyle w:val="FootnoteReference"/>
        </w:rPr>
        <w:fldChar w:fldCharType="begin" w:fldLock="1"/>
      </w:r>
      <w:r>
        <w:instrText>ADDIN CSL_CITATION {"citationItems":[{"id":"ITEM-1","itemData":{"DOI":"10.4236/ojmh.2018.84010","ISSN":"2163-0461","abstract":"Genale-Dawa River Basin is one of the largest and most drought prone regions in Ethiopia. As a result a search for alternative source of water has always been a major issue in the region. This study therefore, aims at characterizing and evaluating the ground water potential resource of the river basin. The delineation and numerical discretization of the river basin were primarily done for the proper development of the problem domain. And the groundwater governing equation was solved at individual nodal points of the discretized region using a 3-D numerical ground water model called TAGSAC. This resulted in monthly average groundwater table fluctuation and replenishable ground water potential estimation. Hydrogeological classification was also done based on hydraulic conductivity values obtained from model calibration.","author":[{"dropping-particle":"","family":"Kassahun","given":"Nebiyou","non-dropping-particle":"","parse-names":false,"suffix":""},{"dropping-particle":"","family":"Mohamed","given":"Mebruk","non-dropping-particle":"","parse-names":false,"suffix":""}],"container-title":"Open Journal of Modern Hydrology","id":"ITEM-1","issue":"04","issued":{"date-parts":[["2018"]]},"page":"126-144","title":"Groundwater Potential Assessment and Characterization of Genale-Dawa River Basin","type":"article-journal","volume":"08"},"uris":["http://www.mendeley.com/documents/?uuid=2ccb189f-c8a9-4612-a5f4-cb7171d0e45d"]}],"mendeley":{"formattedCitation":"(Kassahun &amp; Mohamed, 2018)","manualFormatting":"(Kassahun and Mohamed, 2018)","plainTextFormattedCitation":"(Kassahun &amp; Mohamed, 2018)","previouslyFormattedCitation":"(Kassahun &amp; Mohamed, 2018)"},"properties":{"noteIndex":0},"schema":"https://github.com/citation-style-language/schema/raw/master/csl-citation.json"}</w:instrText>
      </w:r>
      <w:r w:rsidRPr="00601FD1">
        <w:rPr>
          <w:rStyle w:val="FootnoteReference"/>
        </w:rPr>
        <w:fldChar w:fldCharType="separate"/>
      </w:r>
      <w:r w:rsidRPr="00601FD1">
        <w:rPr>
          <w:noProof/>
        </w:rPr>
        <w:t>(Kassahun and Mohamed, 2018)</w:t>
      </w:r>
      <w:r w:rsidRPr="00601FD1">
        <w:rPr>
          <w:rStyle w:val="FootnoteReference"/>
        </w:rPr>
        <w:fldChar w:fldCharType="end"/>
      </w:r>
      <w:r w:rsidRPr="00601FD1">
        <w:t>. The dry season spans from November to February.</w:t>
      </w:r>
      <w:r>
        <w:t xml:space="preserve"> </w:t>
      </w:r>
      <w:r w:rsidRPr="00601FD1">
        <w:t>The annual mean rainfall in the lowlands and highlands varies between 546 – 1352 mm. The annual mean areal rainfall of the study area is 978mm/yr. (computed by Thiessen polygon method, Figure: 3.</w:t>
      </w:r>
      <w:r>
        <w:t>4</w:t>
      </w:r>
      <w:r w:rsidRPr="00601FD1">
        <w:t>). The mean annual maximum and minimum temperature of the study area is 23.25°C and 5.92°C, respectively (Figure: 3.</w:t>
      </w:r>
      <w:r>
        <w:t>3).</w:t>
      </w:r>
    </w:p>
    <w:p w:rsidR="001212C4" w:rsidRPr="00601FD1" w:rsidRDefault="001212C4" w:rsidP="007610BB">
      <w:pPr>
        <w:jc w:val="center"/>
      </w:pPr>
      <w:r w:rsidRPr="00601FD1">
        <w:rPr>
          <w:noProof/>
        </w:rPr>
        <w:drawing>
          <wp:inline distT="0" distB="0" distL="0" distR="0" wp14:anchorId="278A8E78" wp14:editId="09885F86">
            <wp:extent cx="5577840" cy="3943767"/>
            <wp:effectExtent l="19050" t="19050" r="22860" b="19050"/>
            <wp:docPr id="6" name="Picture 6" descr="C:\Users\Abdul Gafar\Desktop\Report_MXD_JPEG\PCP_rec5\Thiesson_14_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bdul Gafar\Desktop\Report_MXD_JPEG\PCP_rec5\Thiesson_14_1.bmp"/>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577840" cy="3943767"/>
                    </a:xfrm>
                    <a:prstGeom prst="rect">
                      <a:avLst/>
                    </a:prstGeom>
                    <a:noFill/>
                    <a:ln w="12700">
                      <a:solidFill>
                        <a:schemeClr val="tx1"/>
                      </a:solidFill>
                    </a:ln>
                  </pic:spPr>
                </pic:pic>
              </a:graphicData>
            </a:graphic>
          </wp:inline>
        </w:drawing>
      </w:r>
    </w:p>
    <w:p w:rsidR="00775B7D" w:rsidRPr="00601FD1" w:rsidRDefault="00C267B4" w:rsidP="00EE74B8">
      <w:bookmarkStart w:id="132" w:name="_Toc68761614"/>
      <w:r w:rsidRPr="00601FD1">
        <w:t>Figure</w:t>
      </w:r>
      <w:r w:rsidR="00185713" w:rsidRPr="00601FD1">
        <w:t xml:space="preserve"> </w:t>
      </w:r>
      <w:r w:rsidR="00515F3B">
        <w:rPr>
          <w:noProof/>
        </w:rPr>
        <w:fldChar w:fldCharType="begin"/>
      </w:r>
      <w:r w:rsidR="00515F3B">
        <w:rPr>
          <w:noProof/>
        </w:rPr>
        <w:instrText xml:space="preserve"> STYLEREF 1 \s </w:instrText>
      </w:r>
      <w:r w:rsidR="00515F3B">
        <w:rPr>
          <w:noProof/>
        </w:rPr>
        <w:fldChar w:fldCharType="separate"/>
      </w:r>
      <w:r w:rsidR="00BD510E">
        <w:rPr>
          <w:noProof/>
        </w:rPr>
        <w:t>3</w:t>
      </w:r>
      <w:r w:rsidR="00515F3B">
        <w:rPr>
          <w:noProof/>
        </w:rPr>
        <w:fldChar w:fldCharType="end"/>
      </w:r>
      <w:r w:rsidR="001342E5">
        <w:t>.</w:t>
      </w:r>
      <w:r w:rsidR="00515F3B">
        <w:rPr>
          <w:noProof/>
        </w:rPr>
        <w:fldChar w:fldCharType="begin"/>
      </w:r>
      <w:r w:rsidR="00515F3B">
        <w:rPr>
          <w:noProof/>
        </w:rPr>
        <w:instrText xml:space="preserve"> SEQ Figure \* ARABIC \s 1 </w:instrText>
      </w:r>
      <w:r w:rsidR="00515F3B">
        <w:rPr>
          <w:noProof/>
        </w:rPr>
        <w:fldChar w:fldCharType="separate"/>
      </w:r>
      <w:r w:rsidR="00BD510E">
        <w:rPr>
          <w:noProof/>
        </w:rPr>
        <w:t>4</w:t>
      </w:r>
      <w:r w:rsidR="00515F3B">
        <w:rPr>
          <w:noProof/>
        </w:rPr>
        <w:fldChar w:fldCharType="end"/>
      </w:r>
      <w:r w:rsidR="00416B82" w:rsidRPr="00601FD1">
        <w:t>:</w:t>
      </w:r>
      <w:r w:rsidR="00185713" w:rsidRPr="00601FD1">
        <w:t xml:space="preserve"> Rainfall stations and Thiessen polygon of the study area</w:t>
      </w:r>
      <w:bookmarkEnd w:id="132"/>
    </w:p>
    <w:p w:rsidR="00DB1D30" w:rsidRPr="00601FD1" w:rsidRDefault="00252FE7" w:rsidP="00EE74B8">
      <w:pPr>
        <w:pStyle w:val="Heading3"/>
        <w:numPr>
          <w:ilvl w:val="2"/>
          <w:numId w:val="1"/>
        </w:numPr>
      </w:pPr>
      <w:bookmarkStart w:id="133" w:name="_Toc68025083"/>
      <w:bookmarkStart w:id="134" w:name="_Toc68761565"/>
      <w:r w:rsidRPr="00601FD1">
        <w:t>Land Use and Land Cover</w:t>
      </w:r>
      <w:r w:rsidR="001F1984" w:rsidRPr="00601FD1">
        <w:t xml:space="preserve"> (LU/LC</w:t>
      </w:r>
      <w:r w:rsidR="00633908" w:rsidRPr="00601FD1">
        <w:t>)</w:t>
      </w:r>
      <w:bookmarkEnd w:id="133"/>
      <w:bookmarkEnd w:id="134"/>
    </w:p>
    <w:p w:rsidR="00DB1D30" w:rsidRPr="00601FD1" w:rsidRDefault="00DB1D30" w:rsidP="00EE74B8">
      <w:r w:rsidRPr="00601FD1">
        <w:t>The major LU/LC class of the study area is agricultural, bare land, bush land, forest, grazing land</w:t>
      </w:r>
      <w:r w:rsidR="005C1343" w:rsidRPr="00601FD1">
        <w:t xml:space="preserve"> </w:t>
      </w:r>
      <w:r w:rsidRPr="00601FD1">
        <w:t xml:space="preserve">and residence/settlement. Agriculture and settlements are mostly found in the middle and downstream portion </w:t>
      </w:r>
      <w:r w:rsidR="00EB68DF" w:rsidRPr="00601FD1">
        <w:t>of the basin. Forest, bush land</w:t>
      </w:r>
      <w:r w:rsidRPr="00601FD1">
        <w:t xml:space="preserve"> and grass lands are found towards an upper and lower edge of the sub-basin, while bare land is found distributed throughout the basin </w:t>
      </w:r>
      <w:r w:rsidRPr="00601FD1">
        <w:fldChar w:fldCharType="begin" w:fldLock="1"/>
      </w:r>
      <w:r w:rsidR="00A309A8">
        <w:instrText>ADDIN CSL_CITATION {"citationItems":[{"id":"ITEM-1","itemData":{"author":[{"dropping-particle":"","family":"Aredo","given":"Mesfin Reta","non-dropping-particle":"","parse-names":false,"suffix":""}],"id":"ITEM-1","issued":{"date-parts":[["2018"]]},"publisher":"Arba Minch University","title":"Impact of Land Use and Land Cover change on stream flow using MIKE SHE: case study of Shaya catchment, Ethiopia","type":"thesis"},"uris":["http://www.mendeley.com/documents/?uuid=20a086cb-d0e4-499a-badf-7bf84d7f7636","http://www.mendeley.com/documents/?uuid=bae25456-9e9b-4c4a-83d3-c5a524e1690a"]},{"id":"ITEM-2","itemData":{"author":[{"dropping-particle":"","family":"Woldeyohannes","given":"Meseret","non-dropping-particle":"","parse-names":false,"suffix":""}],"id":"ITEM-2","issued":{"date-parts":[["2016"]]},"number-of-pages":"16-17","publisher":"Madda Walabu University","title":"Estimating water balance of Tegona Watershed in, South Eastern Ethiopia, using SWAT model","type":"thesis","volume":"147"},"uris":["http://www.mendeley.com/documents/?uuid=0f4c9437-3a79-4743-9e93-174ad78e24ce","http://www.mendeley.com/documents/?uuid=431c6ae1-e3bc-43b4-a6a9-25d76f35ad08","http://www.mendeley.com/documents/?uuid=e61fd493-a6da-40b7-b5ed-b170a851f7cc"]}],"mendeley":{"formattedCitation":"(Aredo, 2018; Woldeyohannes, 2016)","plainTextFormattedCitation":"(Aredo, 2018; Woldeyohannes, 2016)","previouslyFormattedCitation":"(Aredo, 2018; Woldeyohannes, 2016)"},"properties":{"noteIndex":0},"schema":"https://github.com/citation-style-language/schema/raw/master/csl-citation.json"}</w:instrText>
      </w:r>
      <w:r w:rsidRPr="00601FD1">
        <w:fldChar w:fldCharType="separate"/>
      </w:r>
      <w:r w:rsidRPr="00601FD1">
        <w:rPr>
          <w:noProof/>
        </w:rPr>
        <w:t>(Aredo, 2018; Woldeyohannes, 2016)</w:t>
      </w:r>
      <w:r w:rsidRPr="00601FD1">
        <w:fldChar w:fldCharType="end"/>
      </w:r>
      <w:r w:rsidRPr="00601FD1">
        <w:t>.</w:t>
      </w:r>
    </w:p>
    <w:p w:rsidR="00490CE0" w:rsidRPr="00601FD1" w:rsidRDefault="00490CE0" w:rsidP="00EE74B8">
      <w:pPr>
        <w:pStyle w:val="Heading3"/>
        <w:numPr>
          <w:ilvl w:val="2"/>
          <w:numId w:val="1"/>
        </w:numPr>
      </w:pPr>
      <w:bookmarkStart w:id="135" w:name="_Toc68025084"/>
      <w:bookmarkStart w:id="136" w:name="_Toc68761566"/>
      <w:r w:rsidRPr="00601FD1">
        <w:lastRenderedPageBreak/>
        <w:t>Drainage</w:t>
      </w:r>
      <w:bookmarkEnd w:id="135"/>
      <w:bookmarkEnd w:id="136"/>
    </w:p>
    <w:p w:rsidR="007610BB" w:rsidRDefault="00490CE0" w:rsidP="00EE74B8">
      <w:r w:rsidRPr="00601FD1">
        <w:t>Weyib River is the biggest western segment tributary of Genale River. The River</w:t>
      </w:r>
      <w:r w:rsidR="00522BD9" w:rsidRPr="00601FD1">
        <w:t xml:space="preserve"> originates from high elevated N</w:t>
      </w:r>
      <w:r w:rsidRPr="00601FD1">
        <w:t xml:space="preserve">orthern sides of Bale </w:t>
      </w:r>
      <w:r w:rsidR="0081119F" w:rsidRPr="00601FD1">
        <w:t xml:space="preserve">Mountain National Park </w:t>
      </w:r>
      <w:r w:rsidRPr="00601FD1">
        <w:t>extreme points, named as ‘</w:t>
      </w:r>
      <w:r w:rsidRPr="00601FD1">
        <w:rPr>
          <w:iCs/>
        </w:rPr>
        <w:t>Sanate’</w:t>
      </w:r>
      <w:r w:rsidRPr="00601FD1">
        <w:t xml:space="preserve"> (app. 4000 m.a.s.l). At the beginning</w:t>
      </w:r>
      <w:r w:rsidR="00DE3A2B" w:rsidRPr="00601FD1">
        <w:t>,</w:t>
      </w:r>
      <w:r w:rsidR="00522BD9" w:rsidRPr="00601FD1">
        <w:t xml:space="preserve"> Weyib River flows </w:t>
      </w:r>
      <w:r w:rsidR="00E154CE" w:rsidRPr="00601FD1">
        <w:t>N</w:t>
      </w:r>
      <w:r w:rsidR="00522BD9" w:rsidRPr="00601FD1">
        <w:t>-E</w:t>
      </w:r>
      <w:r w:rsidR="00E154CE" w:rsidRPr="00601FD1">
        <w:t>ast</w:t>
      </w:r>
      <w:r w:rsidRPr="00601FD1">
        <w:t>wards gathering the whole streams of Bale high lands, till De</w:t>
      </w:r>
      <w:r w:rsidR="0060006D" w:rsidRPr="00601FD1">
        <w:t>mbel town. Then the River flow</w:t>
      </w:r>
      <w:r w:rsidR="00DE3A2B" w:rsidRPr="00601FD1">
        <w:t>s</w:t>
      </w:r>
      <w:r w:rsidR="0060006D" w:rsidRPr="00601FD1">
        <w:t xml:space="preserve"> S</w:t>
      </w:r>
      <w:r w:rsidR="00522BD9" w:rsidRPr="00601FD1">
        <w:t>outh-E</w:t>
      </w:r>
      <w:r w:rsidRPr="00601FD1">
        <w:t xml:space="preserve">asterly to join Genale River from its western bank. Finally, it joins with Genale and Dawa Rivers near Ethiopia-Somalia border to strengthen its journey to Somali lowlands </w:t>
      </w:r>
      <w:r w:rsidRPr="00601FD1">
        <w:rPr>
          <w:rStyle w:val="FootnoteReference"/>
        </w:rPr>
        <w:fldChar w:fldCharType="begin" w:fldLock="1"/>
      </w:r>
      <w:r w:rsidR="00A309A8">
        <w:instrText>ADDIN CSL_CITATION {"citationItems":[{"id":"ITEM-1","itemData":{"author":[{"dropping-particle":"","family":"Nasir","given":"G.","non-dropping-particle":"","parse-names":false,"suffix":""},{"dropping-particle":"","family":"Tamane","given":"A.","non-dropping-particle":"","parse-names":false,"suffix":""},{"dropping-particle":"","family":"Tolera","given":"A.","non-dropping-particle":"","parse-names":false,"suffix":""}],"container-title":"Irrigation and Drainage systems Engineering","id":"ITEM-1","issue":"1","issued":{"date-parts":[["2019"]]},"page":"1-7","title":"Irrigation potential assessment on Shaya River Sub-basin in Bale Zone, Oromia Region, Ethiopia","type":"article-journal","volume":"8"},"uris":["http://www.mendeley.com/documents/?uuid=5ecebbdc-8a0a-4d9e-bc95-301f2458c595","http://www.mendeley.com/documents/?uuid=3600af41-1ca1-455b-bca3-33917657a586"]}],"mendeley":{"formattedCitation":"(Nasir et al., 2019)","plainTextFormattedCitation":"(Nasir et al., 2019)","previouslyFormattedCitation":"(Nasir et al., 2019)"},"properties":{"noteIndex":0},"schema":"https://github.com/citation-style-language/schema/raw/master/csl-citation.json"}</w:instrText>
      </w:r>
      <w:r w:rsidRPr="00601FD1">
        <w:rPr>
          <w:rStyle w:val="FootnoteReference"/>
        </w:rPr>
        <w:fldChar w:fldCharType="separate"/>
      </w:r>
      <w:r w:rsidRPr="00601FD1">
        <w:rPr>
          <w:noProof/>
        </w:rPr>
        <w:t>(Nasir et al., 2019)</w:t>
      </w:r>
      <w:r w:rsidRPr="00601FD1">
        <w:rPr>
          <w:rStyle w:val="FootnoteReference"/>
        </w:rPr>
        <w:fldChar w:fldCharType="end"/>
      </w:r>
      <w:r w:rsidRPr="00601FD1">
        <w:t xml:space="preserve">. </w:t>
      </w:r>
    </w:p>
    <w:p w:rsidR="00EA603F" w:rsidRPr="00601FD1" w:rsidRDefault="00490CE0" w:rsidP="00EE74B8">
      <w:r w:rsidRPr="00601FD1">
        <w:t>The Genale-</w:t>
      </w:r>
      <w:r w:rsidR="00BD30DC" w:rsidRPr="00601FD1">
        <w:t>Weyib</w:t>
      </w:r>
      <w:r w:rsidRPr="00601FD1">
        <w:t>-Dawa River system with Welmel, Web and other Rivers at the Ethiopian border; meet and form the large Riv</w:t>
      </w:r>
      <w:r w:rsidR="0060006D" w:rsidRPr="00601FD1">
        <w:t>er Ju</w:t>
      </w:r>
      <w:r w:rsidR="00522BD9" w:rsidRPr="00601FD1">
        <w:t>ba that flows through the South</w:t>
      </w:r>
      <w:r w:rsidR="0060006D" w:rsidRPr="00601FD1">
        <w:t>eastern lowlands into the S</w:t>
      </w:r>
      <w:r w:rsidRPr="00601FD1">
        <w:t xml:space="preserve">outhern part of Somalia and meets the Indian Ocean near the town of Kisimaayo on the coast </w:t>
      </w:r>
      <w:r w:rsidRPr="00601FD1">
        <w:rPr>
          <w:rStyle w:val="FootnoteReference"/>
        </w:rPr>
        <w:fldChar w:fldCharType="begin" w:fldLock="1"/>
      </w:r>
      <w:r w:rsidR="00A309A8">
        <w:instrText>ADDIN CSL_CITATION {"citationItems":[{"id":"ITEM-1","itemData":{"ISBN":"978-87-7304-347-9","abstract":"A new map of the potential vegetation types of Ethiopia has been produced at the scale of 1:2,000,000. It is published here as an atlas with 29 map plates. The map shows the distribution o f twelve potential vegetation types that can be mapped using environmental parameters and GIS-methodology. In the accompanying text these vegetation types have been described and further divided into a number o f subtypes. The types and subtypes are: (1) Desert and semi-desert scrubland. (2) Acacia-Commiphora woodland and bushland (with the subtypes (2a) Acacia-Commiphora woodland and bushland proper and (2b) Acacia wooded grassland of the Riß Valley). (3) Wooded grassland of the western Gambela region. (4) Combretum-Terminalia woodland and wooded grassland. (5) Dry evergreen Afromontaneforest and grassland complex (with the subtypes (5a) Undifferentiated Afromontane forest, (5b) Dry single-dominant Afromontane forest of the Ethiopian highlands, (5c) Afromontane woodland, wooded grassland and grassland, (5d) Transition between Afromontane vegetation and Acacia-Commiphora bushland on the Eastern escarpment). (6) Moist evergreen Afromontane forest (with the subtypes (6a) Primary or mature secondary moist evergreen Afromontane forest, and (6b) Edges of moist evergreen Afromontane forest, bushland, woodland and wooded grassland. (7) Transitional rainforest. (8) Ericaceous belt. (9) Afroalpine belt. (10) Riverine vegetation. (11) Fresh-water lakes, etc. (with the subtypes (na) Fresh-water lake vegetation (open water) and (nb) Freshwater marshes and swamps, floodplains and lake shore vegetation). (12) Salt lakes, etc. (with the subtypes (12a) Salt lake vegetation (open-water) and (12b) Saltpans, saline/brackish and intermittent wetlands and salt-lake shore vegetation). The taxonomic revision of the Ethiopian flora for the Flora of Ethiopia and Eritrea has been completed, and intensive field studies of the flora have been carried out over nearly the entire country, after the publication of two previous detailed vegetation maps of Ethiopia, by Pichi Sermolli in 1957 and by Frank White in 1983 - both at the scale of 1:5,000,000; this new information has been incorporated in the present map. New ideas about the classification of Ethiopian vegetation have also been put forward on maps produced on smaller scale. Here, the vegetation types used for the last two vegetation maps in 1:5,000,000 and the later maps on smaller scales are reviewed and discussed, and the definitions of mo…","author":[{"dropping-particle":"","family":"Friis","given":"Ib","non-dropping-particle":"","parse-names":false,"suffix":""},{"dropping-particle":"","family":"Demissew","given":"Sebsebe","non-dropping-particle":"","parse-names":false,"suffix":""},{"dropping-particle":"van","family":"Breugel","given":"Paulo","non-dropping-particle":"","parse-names":false,"suffix":""}],"container-title":"The Royal Danish Academy of Sciences and Letters","editor":[{"dropping-particle":"","family":"Boulevard","given":"H. C. Andersens","non-dropping-particle":"","parse-names":false,"suffix":""},{"dropping-particle":"","family":"Nielsen","given":"Marita Akhøj","non-dropping-particle":"","parse-names":false,"suffix":""}],"id":"ITEM-1","issued":{"date-parts":[["2010"]]},"number-of-pages":"1-305","publisher":"Det Kongelige Danske Videnskabernes Selskab","publisher-place":"Copenhagen V, Denmark","title":"Atlas of the potential vegetation of Ethiopia","type":"book","volume":"107"},"uris":["http://www.mendeley.com/documents/?uuid=b73267b2-ee25-4344-b9ac-23157e9b106e","http://www.mendeley.com/documents/?uuid=a18aa776-c24c-4804-b8f7-38b9154a18dd"]}],"mendeley":{"formattedCitation":"(Friis et al., 2010)","plainTextFormattedCitation":"(Friis et al., 2010)","previouslyFormattedCitation":"(Friis et al., 2010)"},"properties":{"noteIndex":0},"schema":"https://github.com/citation-style-language/schema/raw/master/csl-citation.json"}</w:instrText>
      </w:r>
      <w:r w:rsidRPr="00601FD1">
        <w:rPr>
          <w:rStyle w:val="FootnoteReference"/>
        </w:rPr>
        <w:fldChar w:fldCharType="separate"/>
      </w:r>
      <w:r w:rsidRPr="00601FD1">
        <w:rPr>
          <w:noProof/>
        </w:rPr>
        <w:t>(Friis et al., 2010)</w:t>
      </w:r>
      <w:r w:rsidRPr="00601FD1">
        <w:rPr>
          <w:rStyle w:val="FootnoteReference"/>
        </w:rPr>
        <w:fldChar w:fldCharType="end"/>
      </w:r>
      <w:r w:rsidR="00EA603F" w:rsidRPr="00601FD1">
        <w:t xml:space="preserve">. </w:t>
      </w:r>
      <w:r w:rsidR="00F74992" w:rsidRPr="00601FD1">
        <w:t xml:space="preserve">The headwaters of major Rivers originate partly or wholly from Bale mountain massif plateau. This flat-topped highland area marks a nearly E-W oriented watershed characterized by swampy areas and many small shallow lakes </w:t>
      </w:r>
      <w:r w:rsidR="00F74992" w:rsidRPr="00601FD1">
        <w:rPr>
          <w:rStyle w:val="FootnoteReference"/>
        </w:rPr>
        <w:fldChar w:fldCharType="begin" w:fldLock="1"/>
      </w:r>
      <w:r w:rsidR="00A309A8">
        <w:instrText>ADDIN CSL_CITATION {"citationItems":[{"id":"ITEM-1","itemData":{"abstract":"The Dodola area is partially underlain by Precambrian crystalline basement rocks. Mesozoic sedimentary and Cenozoic volcanic rocks unconformably overlying the Precambrian cover large areas. The precambrian basement is divided into two major groups, low-grade and high-grade metamorphic rocks. Plutons of Precambrian age are also present. These rocks were affected by two main deformational events designated Dl and D2. . The Dl event affected the high-grade gneisses only, while both the high-grade and low- grade rocks were subjected to the D2 event. The precambrian rocks of the area were subjected to the M1 and M2 metamorphic episodes that accompanied Dl and D2' respectively. The high-grade rocks were metamorphosed to middle amphibolite facies (M1), the low-grade rocks to greenschist facies (M2). Four Mesozoic sedimentary map units, both sandstones and limestones, were identified. Eight Cenozoic volcanic map units were delineated in the area. Seven of these are of Tertiary age, the eighth of Quaternary age. Intrusive alkali-feldspar syenites are also present. Quaternary eluvial and alluvial sediments cover parts of the area. Placer gold in the southwestern part of the area and iron ore in unit pga (metagabbro) are the main types of mineralization in the map area. viii","author":[{"dropping-particle":"","family":"Gobena","given":"Hambisa","non-dropping-particle":"","parse-names":false,"suffix":""},{"dropping-particle":"","family":"Belayneh","given":"Mandefro","non-dropping-particle":"","parse-names":false,"suffix":""},{"dropping-particle":"","family":"Kebede","given":"Tesfaye","non-dropping-particle":"","parse-names":false,"suffix":""},{"dropping-particle":"","family":"Tesfaye","given":"Samson","non-dropping-particle":"","parse-names":false,"suffix":""},{"dropping-particle":"","family":"Abraham","given":"Amenti","non-dropping-particle":"","parse-names":false,"suffix":""}],"id":"ITEM-1","issued":{"date-parts":[["1997"]]},"number-of-pages":"1-150","publisher":"Geological survey of Ethiopia","publisher-place":"Addis Abeba, Ethiopia","title":"Geology of the Dodola area memoir 10","type":"thesis"},"uris":["http://www.mendeley.com/documents/?uuid=c79ad758-07cb-4295-b419-a4c7d1b0c8f2","http://www.mendeley.com/documents/?uuid=b840fa1f-1773-4952-a482-26e12eb52c1d"]}],"mendeley":{"formattedCitation":"(Gobena et al., 1997)","plainTextFormattedCitation":"(Gobena et al., 1997)","previouslyFormattedCitation":"(Gobena et al., 1997)"},"properties":{"noteIndex":0},"schema":"https://github.com/citation-style-language/schema/raw/master/csl-citation.json"}</w:instrText>
      </w:r>
      <w:r w:rsidR="00F74992" w:rsidRPr="00601FD1">
        <w:rPr>
          <w:rStyle w:val="FootnoteReference"/>
        </w:rPr>
        <w:fldChar w:fldCharType="separate"/>
      </w:r>
      <w:r w:rsidR="00F74992" w:rsidRPr="00601FD1">
        <w:rPr>
          <w:noProof/>
        </w:rPr>
        <w:t>(Gobena et al., 1997)</w:t>
      </w:r>
      <w:r w:rsidR="00F74992" w:rsidRPr="00601FD1">
        <w:rPr>
          <w:rStyle w:val="FootnoteReference"/>
        </w:rPr>
        <w:fldChar w:fldCharType="end"/>
      </w:r>
      <w:r w:rsidR="00F74992" w:rsidRPr="00601FD1">
        <w:t xml:space="preserve">. </w:t>
      </w:r>
    </w:p>
    <w:p w:rsidR="00490CE0" w:rsidRPr="00601FD1" w:rsidRDefault="00B46081" w:rsidP="00EE74B8">
      <w:pPr>
        <w:jc w:val="center"/>
      </w:pPr>
      <w:r w:rsidRPr="00601FD1">
        <w:rPr>
          <w:noProof/>
        </w:rPr>
        <w:drawing>
          <wp:inline distT="0" distB="0" distL="0" distR="0" wp14:anchorId="7805B248" wp14:editId="0D957064">
            <wp:extent cx="5509892" cy="3895725"/>
            <wp:effectExtent l="19050" t="19050" r="15240" b="9525"/>
            <wp:docPr id="17" name="Picture 17" descr="C:\Users\Abdul Gafar\Desktop\Report_MXD_JPEG\Drainage_Location\Drainage_LocationFN.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Abdul Gafar\Desktop\Report_MXD_JPEG\Drainage_Location\Drainage_LocationFN.bmp"/>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512183" cy="3897345"/>
                    </a:xfrm>
                    <a:prstGeom prst="rect">
                      <a:avLst/>
                    </a:prstGeom>
                    <a:noFill/>
                    <a:ln w="12700">
                      <a:solidFill>
                        <a:schemeClr val="tx1"/>
                      </a:solidFill>
                    </a:ln>
                  </pic:spPr>
                </pic:pic>
              </a:graphicData>
            </a:graphic>
          </wp:inline>
        </w:drawing>
      </w:r>
    </w:p>
    <w:p w:rsidR="00490CE0" w:rsidRDefault="00490CE0" w:rsidP="00EE74B8">
      <w:bookmarkStart w:id="137" w:name="_Toc68761615"/>
      <w:r w:rsidRPr="00601FD1">
        <w:t xml:space="preserve">Figure </w:t>
      </w:r>
      <w:r w:rsidR="00515F3B">
        <w:rPr>
          <w:noProof/>
        </w:rPr>
        <w:fldChar w:fldCharType="begin"/>
      </w:r>
      <w:r w:rsidR="00515F3B">
        <w:rPr>
          <w:noProof/>
        </w:rPr>
        <w:instrText xml:space="preserve"> STYLEREF 1 \s </w:instrText>
      </w:r>
      <w:r w:rsidR="00515F3B">
        <w:rPr>
          <w:noProof/>
        </w:rPr>
        <w:fldChar w:fldCharType="separate"/>
      </w:r>
      <w:r w:rsidR="00BD510E">
        <w:rPr>
          <w:noProof/>
        </w:rPr>
        <w:t>3</w:t>
      </w:r>
      <w:r w:rsidR="00515F3B">
        <w:rPr>
          <w:noProof/>
        </w:rPr>
        <w:fldChar w:fldCharType="end"/>
      </w:r>
      <w:r w:rsidR="001342E5">
        <w:t>.</w:t>
      </w:r>
      <w:r w:rsidR="00515F3B">
        <w:rPr>
          <w:noProof/>
        </w:rPr>
        <w:fldChar w:fldCharType="begin"/>
      </w:r>
      <w:r w:rsidR="00515F3B">
        <w:rPr>
          <w:noProof/>
        </w:rPr>
        <w:instrText xml:space="preserve"> SEQ Figure \* ARABIC \s 1 </w:instrText>
      </w:r>
      <w:r w:rsidR="00515F3B">
        <w:rPr>
          <w:noProof/>
        </w:rPr>
        <w:fldChar w:fldCharType="separate"/>
      </w:r>
      <w:r w:rsidR="00BD510E">
        <w:rPr>
          <w:noProof/>
        </w:rPr>
        <w:t>5</w:t>
      </w:r>
      <w:r w:rsidR="00515F3B">
        <w:rPr>
          <w:noProof/>
        </w:rPr>
        <w:fldChar w:fldCharType="end"/>
      </w:r>
      <w:r w:rsidR="00416B82" w:rsidRPr="00601FD1">
        <w:t>:</w:t>
      </w:r>
      <w:r w:rsidR="00D77B37" w:rsidRPr="00601FD1">
        <w:t xml:space="preserve"> Reach, monitoring point </w:t>
      </w:r>
      <w:r w:rsidRPr="00601FD1">
        <w:t>and sub-basin outlet point of</w:t>
      </w:r>
      <w:r w:rsidR="00C60459" w:rsidRPr="00601FD1">
        <w:t xml:space="preserve"> the</w:t>
      </w:r>
      <w:r w:rsidRPr="00601FD1">
        <w:t xml:space="preserve"> study area</w:t>
      </w:r>
      <w:bookmarkEnd w:id="137"/>
    </w:p>
    <w:p w:rsidR="007610BB" w:rsidRPr="00601FD1" w:rsidRDefault="007610BB" w:rsidP="00EE74B8">
      <w:r w:rsidRPr="00601FD1">
        <w:lastRenderedPageBreak/>
        <w:t xml:space="preserve">Most tributaries of Weyib River are gained from groundwater </w:t>
      </w:r>
      <w:r w:rsidRPr="00601FD1">
        <w:rPr>
          <w:rStyle w:val="FootnoteReference"/>
        </w:rPr>
        <w:fldChar w:fldCharType="begin" w:fldLock="1"/>
      </w:r>
      <w:r>
        <w:instrText>ADDIN CSL_CITATION {"citationItems":[{"id":"ITEM-1","itemData":{"author":[{"dropping-particle":"","family":"Kiflu","given":"Astatke","non-dropping-particle":"","parse-names":false,"suffix":""},{"dropping-particle":"","family":"Tafa","given":"Yosef","non-dropping-particle":"","parse-names":false,"suffix":""},{"dropping-particle":"","family":"Mulugeta","given":"Yonas","non-dropping-particle":"","parse-names":false,"suffix":""}],"id":"ITEM-1","issued":{"date-parts":[["2009"]]},"number-of-pages":"1-74","publisher-place":"Addis Abeba, Ethiopia","title":"Hydrogeological mapping of part of Asela map sheet (NB 37-3) South eastern high land of Ethiopia","type":"report"},"uris":["http://www.mendeley.com/documents/?uuid=00ac486c-3b45-4648-a467-648ee30a24fa","http://www.mendeley.com/documents/?uuid=b3043dd7-ee9c-4f47-9f3e-21b95483fb89"]}],"mendeley":{"formattedCitation":"(Kiflu et al., 2009)","plainTextFormattedCitation":"(Kiflu et al., 2009)","previouslyFormattedCitation":"(Kiflu et al., 2009)"},"properties":{"noteIndex":0},"schema":"https://github.com/citation-style-language/schema/raw/master/csl-citation.json"}</w:instrText>
      </w:r>
      <w:r w:rsidRPr="00601FD1">
        <w:rPr>
          <w:rStyle w:val="FootnoteReference"/>
        </w:rPr>
        <w:fldChar w:fldCharType="separate"/>
      </w:r>
      <w:r w:rsidRPr="00601FD1">
        <w:rPr>
          <w:noProof/>
        </w:rPr>
        <w:t>(Kiflu et al., 2009)</w:t>
      </w:r>
      <w:r w:rsidRPr="00601FD1">
        <w:rPr>
          <w:rStyle w:val="FootnoteReference"/>
        </w:rPr>
        <w:fldChar w:fldCharType="end"/>
      </w:r>
      <w:r w:rsidRPr="00601FD1">
        <w:t xml:space="preserve">. Almost all the stream in the Weyib River basin and its tributaries follows dendritic stream patterns </w:t>
      </w:r>
      <w:r w:rsidRPr="00601FD1">
        <w:rPr>
          <w:rStyle w:val="FootnoteReference"/>
        </w:rPr>
        <w:fldChar w:fldCharType="begin" w:fldLock="1"/>
      </w:r>
      <w:r>
        <w:instrText>ADDIN CSL_CITATION {"citationItems":[{"id":"ITEM-1","itemData":{"DOI":"doi.org/10.1007/978-1-4614-9213-9_119-1","ISBN":"978-1-4614-9213-9","author":[{"dropping-particle":"","family":"Drummond","given":"Sarah A.","non-dropping-particle":"","parse-names":false,"suffix":""},{"dropping-particle":"","family":"Erkeling","given":"Gino","non-dropping-particle":"","parse-names":false,"suffix":""}],"container-title":"Encyclopedia of Planetary Landforms","id":"ITEM-1","issued":{"date-parts":[["2014"]]},"page":"1-15","publisher":"Springer; New York; NY","title":"Drainage pattern","type":"entry-encyclopedia"},"uris":["http://www.mendeley.com/documents/?uuid=9a22ff3f-b93e-49da-a0d5-aae90840d885","http://www.mendeley.com/documents/?uuid=0951e9b6-4e84-427e-b24c-b814e9f50399"]},{"id":"ITEM-2","itemData":{"abstract":"Hydrogeological mapping of Ginner map sheet is carried out on the upper Wabi Shebele and some part of upper Genale Dawa river shades which is situated about 530 km east of Addis Ababa at the eastern part of Ethiopia. Considerable elevation difference (500-2685 m.a.s.l) and physiographic diversities such as highlands, lowlands and rugged areas, river valleys, deep gorges and plateaus characterize the area. Though the duration, amount and spatial distribution of the rain fall varies in the plateaus and low lands, bi- modal type of rain fall regime is generally observed. The annual mean rainfall in the low lands and high lands vary between 300 – 1200 mm and Potential evapotranspiration (PET) is estimated empirically 3.9 mm/day for the area. Rock units of the area are Tertiary and Quaternary Volcanics such as; Ginner Basalt, Arsi-Bale basalts and lower flood basalt and Mesozoic sedimentary formations such as: Amba Aradam, Korahe, Gabredare, Urandab and Hamanle formations successively under lain from young to old. In addition, superficial deposits and weathering remnants such as alluvium and elluvium cover the area. Nearly NE–SW and NW– SE trending faults and lineaments affect the area. The aquifer systems are defined based on hydrogeological characteristics /aquifer productivity and permeability/ of the lithological units. Seven hydrogeological units /aquifers systems/ are identified in the map sheet and then hydrogeological map at a scale 1:250,000 is produced. The chemical analysis result of water samples in the study area shows that bicarbonate and transitional and basic water type is predominant. The general trend of EC and TDS increases from relatively highland plateau to lowland where rain fall is low and evapotranspiration is high. Groundwater of the study area is generally suitable for Drinking water supply and irrigation. Generally, the area has ground water resources thus intensive sustainable water resources development is recommended by drilling deeper wells more than 150m depth on the lowlands and Springs development on the high land plateaus. Productive wells can also be drilled at the high land plateaus along faults and lineaments. In addition to water supply, large scale irrigation can be possible at the plateaus by using ground water resource.","author":[{"dropping-particle":"","family":"Mulugeta","given":"Yonas","non-dropping-particle":"","parse-names":false,"suffix":""},{"dropping-particle":"","family":"Tafa","given":"Yosef","non-dropping-particle":"","parse-names":false,"suffix":""}],"id":"ITEM-2","issued":{"date-parts":[["2010"]]},"number-of-pages":"1-84","publisher-place":"Addis Abeba, Ethiopia","title":"Integrated hydrogeological mapping of Ginnir map sheet (NB-37-4) South Eastern low land and adjacent high land of Ethiopia","type":"report"},"uris":["http://www.mendeley.com/documents/?uuid=e9c5b3e5-3d16-4cb5-a46e-712fee7da124","http://www.mendeley.com/documents/?uuid=1b87b89f-6151-4701-b983-9da2e8363ad4"]}],"mendeley":{"formattedCitation":"(Drummond &amp; Erkeling, 2014; Mulugeta &amp; Tafa, 2010)","manualFormatting":"(Drummond and Erkeling, 2014; Mulugeta and Tafa, 2010)","plainTextFormattedCitation":"(Drummond &amp; Erkeling, 2014; Mulugeta &amp; Tafa, 2010)","previouslyFormattedCitation":"(Drummond &amp; Erkeling, 2014; Mulugeta &amp; Tafa, 2010)"},"properties":{"noteIndex":0},"schema":"https://github.com/citation-style-language/schema/raw/master/csl-citation.json"}</w:instrText>
      </w:r>
      <w:r w:rsidRPr="00601FD1">
        <w:rPr>
          <w:rStyle w:val="FootnoteReference"/>
        </w:rPr>
        <w:fldChar w:fldCharType="separate"/>
      </w:r>
      <w:r w:rsidRPr="00601FD1">
        <w:rPr>
          <w:noProof/>
        </w:rPr>
        <w:t>(Drummond and Erkeling, 2014; Mulugeta and Tafa, 2010)</w:t>
      </w:r>
      <w:r w:rsidRPr="00601FD1">
        <w:rPr>
          <w:rStyle w:val="FootnoteReference"/>
        </w:rPr>
        <w:fldChar w:fldCharType="end"/>
      </w:r>
      <w:r w:rsidRPr="00601FD1">
        <w:t xml:space="preserve">. Shaya, Togona, Asendabo and Web Rivers are perennial tributaries of Weyib River. Other tributaries include; Albabo, Dalcha, Dimbeba, Gareno, Gesse, Kebesha, Kaficho, Keyrensa, Lolla, Micha, Shaya-Gugesa, Teynta, Toroshoma, Wolla, Wasama, and Web </w:t>
      </w:r>
      <w:r w:rsidRPr="00601FD1">
        <w:rPr>
          <w:rStyle w:val="FootnoteReference"/>
        </w:rPr>
        <w:fldChar w:fldCharType="begin" w:fldLock="1"/>
      </w:r>
      <w:r>
        <w:instrText>ADDIN CSL_CITATION {"citationItems":[{"id":"ITEM-1","itemData":{"author":[{"dropping-particle":"","family":"Desta","given":"Wallelign Alem","non-dropping-particle":"","parse-names":false,"suffix":""}],"id":"ITEM-1","issued":{"date-parts":[["2007"]]},"number-of-pages":"1-88","publisher":"Addis Abeba University","title":"Assessment of Land Use Land Cover dynamics at Bale Mountains National Park using GIS and Remote sensing","type":"thesis"},"uris":["http://www.mendeley.com/documents/?uuid=a280a64d-6448-47a2-b757-2de473e050cd","http://www.mendeley.com/documents/?uuid=93dbfd98-b07f-4496-8935-67c5b8d16502"]}],"mendeley":{"formattedCitation":"(Desta, 2007)","plainTextFormattedCitation":"(Desta, 2007)","previouslyFormattedCitation":"(Desta, 2007)"},"properties":{"noteIndex":0},"schema":"https://github.com/citation-style-language/schema/raw/master/csl-citation.json"}</w:instrText>
      </w:r>
      <w:r w:rsidRPr="00601FD1">
        <w:rPr>
          <w:rStyle w:val="FootnoteReference"/>
        </w:rPr>
        <w:fldChar w:fldCharType="separate"/>
      </w:r>
      <w:r w:rsidRPr="00993050">
        <w:rPr>
          <w:noProof/>
        </w:rPr>
        <w:t>(Desta, 2007)</w:t>
      </w:r>
      <w:r w:rsidRPr="00601FD1">
        <w:rPr>
          <w:rStyle w:val="FootnoteReference"/>
        </w:rPr>
        <w:fldChar w:fldCharType="end"/>
      </w:r>
      <w:r>
        <w:t>.</w:t>
      </w:r>
    </w:p>
    <w:p w:rsidR="00BF3B50" w:rsidRPr="00601FD1" w:rsidRDefault="00BF3B50" w:rsidP="00EE74B8">
      <w:pPr>
        <w:pStyle w:val="Heading3"/>
        <w:numPr>
          <w:ilvl w:val="2"/>
          <w:numId w:val="1"/>
        </w:numPr>
      </w:pPr>
      <w:bookmarkStart w:id="138" w:name="_Toc68025085"/>
      <w:bookmarkStart w:id="139" w:name="_Toc68761567"/>
      <w:r w:rsidRPr="00601FD1">
        <w:t>Lithology</w:t>
      </w:r>
      <w:bookmarkEnd w:id="138"/>
      <w:bookmarkEnd w:id="139"/>
    </w:p>
    <w:p w:rsidR="002327F5" w:rsidRPr="00601FD1" w:rsidRDefault="00BF3B50" w:rsidP="00EE74B8">
      <w:r w:rsidRPr="00601FD1">
        <w:t xml:space="preserve">The formation of </w:t>
      </w:r>
      <w:r w:rsidR="00AB04EF" w:rsidRPr="00601FD1">
        <w:t xml:space="preserve">the </w:t>
      </w:r>
      <w:r w:rsidRPr="00601FD1">
        <w:t>main Ethiopian rift valley system during Miocene caused d</w:t>
      </w:r>
      <w:r w:rsidR="0060006D" w:rsidRPr="00601FD1">
        <w:t>evelopment of Southeastern and N</w:t>
      </w:r>
      <w:r w:rsidRPr="00601FD1">
        <w:t>orthwestern Ethiopian plateau</w:t>
      </w:r>
      <w:r w:rsidR="002848F7" w:rsidRPr="00601FD1">
        <w:t xml:space="preserve"> </w:t>
      </w:r>
      <w:r w:rsidR="002848F7" w:rsidRPr="00601FD1">
        <w:fldChar w:fldCharType="begin" w:fldLock="1"/>
      </w:r>
      <w:r w:rsidR="00A309A8">
        <w:instrText>ADDIN CSL_CITATION {"citationItems":[{"id":"ITEM-1","itemData":{"author":[{"dropping-particle":"","family":"Kiflu","given":"Astatke","non-dropping-particle":"","parse-names":false,"suffix":""},{"dropping-particle":"","family":"Tafa","given":"Yosef","non-dropping-particle":"","parse-names":false,"suffix":""},{"dropping-particle":"","family":"Mulugeta","given":"Yonas","non-dropping-particle":"","parse-names":false,"suffix":""}],"id":"ITEM-1","issued":{"date-parts":[["2009"]]},"number-of-pages":"1-74","publisher-place":"Addis Abeba, Ethiopia","title":"Hydrogeological mapping of part of Asela map sheet (NB 37-3) South eastern high land of Ethiopia","type":"report"},"uris":["http://www.mendeley.com/documents/?uuid=00ac486c-3b45-4648-a467-648ee30a24fa","http://www.mendeley.com/documents/?uuid=b3043dd7-ee9c-4f47-9f3e-21b95483fb89"]}],"mendeley":{"formattedCitation":"(Kiflu et al., 2009)","plainTextFormattedCitation":"(Kiflu et al., 2009)","previouslyFormattedCitation":"(Kiflu et al., 2009)"},"properties":{"noteIndex":0},"schema":"https://github.com/citation-style-language/schema/raw/master/csl-citation.json"}</w:instrText>
      </w:r>
      <w:r w:rsidR="002848F7" w:rsidRPr="00601FD1">
        <w:fldChar w:fldCharType="separate"/>
      </w:r>
      <w:r w:rsidR="00A108C4" w:rsidRPr="00601FD1">
        <w:rPr>
          <w:noProof/>
        </w:rPr>
        <w:t>(Kiflu et al., 2009)</w:t>
      </w:r>
      <w:r w:rsidR="002848F7" w:rsidRPr="00601FD1">
        <w:fldChar w:fldCharType="end"/>
      </w:r>
      <w:r w:rsidRPr="00601FD1">
        <w:t>. Genale-Dawa basins are underlain by Precambrian crystalline basement successions covered partly by late-Paleozoic continental clastic sediments, Mesozoic marine sediments and Cenozoic volcanic sequence and i</w:t>
      </w:r>
      <w:r w:rsidR="00364730" w:rsidRPr="00601FD1">
        <w:t>n places by v</w:t>
      </w:r>
      <w:r w:rsidRPr="00601FD1">
        <w:t>enee</w:t>
      </w:r>
      <w:r w:rsidR="00A06D36" w:rsidRPr="00601FD1">
        <w:t xml:space="preserve">r superficial sediment deposits </w:t>
      </w:r>
      <w:r w:rsidR="00A06D36" w:rsidRPr="00601FD1">
        <w:fldChar w:fldCharType="begin" w:fldLock="1"/>
      </w:r>
      <w:r w:rsidR="00A309A8">
        <w:instrText>ADDIN CSL_CITATION {"citationItems":[{"id":"ITEM-1","itemData":{"author":[{"dropping-particle":"","family":"Kiflu","given":"Astatke","non-dropping-particle":"","parse-names":false,"suffix":""},{"dropping-particle":"","family":"Tafa","given":"Yosef","non-dropping-particle":"","parse-names":false,"suffix":""},{"dropping-particle":"","family":"Mulugeta","given":"Yonas","non-dropping-particle":"","parse-names":false,"suffix":""}],"id":"ITEM-1","issued":{"date-parts":[["2009"]]},"number-of-pages":"1-74","publisher-place":"Addis Abeba, Ethiopia","title":"Hydrogeological mapping of part of Asela map sheet (NB 37-3) South eastern high land of Ethiopia","type":"report"},"uris":["http://www.mendeley.com/documents/?uuid=00ac486c-3b45-4648-a467-648ee30a24fa","http://www.mendeley.com/documents/?uuid=b3043dd7-ee9c-4f47-9f3e-21b95483fb89"]}],"mendeley":{"formattedCitation":"(Kiflu et al., 2009)","plainTextFormattedCitation":"(Kiflu et al., 2009)","previouslyFormattedCitation":"(Kiflu et al., 2009)"},"properties":{"noteIndex":0},"schema":"https://github.com/citation-style-language/schema/raw/master/csl-citation.json"}</w:instrText>
      </w:r>
      <w:r w:rsidR="00A06D36" w:rsidRPr="00601FD1">
        <w:fldChar w:fldCharType="separate"/>
      </w:r>
      <w:r w:rsidR="00A06D36" w:rsidRPr="00601FD1">
        <w:rPr>
          <w:noProof/>
        </w:rPr>
        <w:t>(Kiflu et al., 2009)</w:t>
      </w:r>
      <w:r w:rsidR="00A06D36" w:rsidRPr="00601FD1">
        <w:fldChar w:fldCharType="end"/>
      </w:r>
      <w:r w:rsidR="00A06D36" w:rsidRPr="00601FD1">
        <w:t xml:space="preserve">. </w:t>
      </w:r>
      <w:r w:rsidR="00522BD9" w:rsidRPr="00601FD1">
        <w:t>In the N</w:t>
      </w:r>
      <w:r w:rsidR="00AB04EF" w:rsidRPr="00601FD1">
        <w:t xml:space="preserve">orthern and </w:t>
      </w:r>
      <w:r w:rsidR="00522BD9" w:rsidRPr="00601FD1">
        <w:t>N</w:t>
      </w:r>
      <w:r w:rsidR="00AB04EF" w:rsidRPr="00601FD1">
        <w:t>orthwestern parts of the head</w:t>
      </w:r>
      <w:r w:rsidRPr="00601FD1">
        <w:t xml:space="preserve">water areas of </w:t>
      </w:r>
      <w:r w:rsidR="006B29C7" w:rsidRPr="00601FD1">
        <w:t xml:space="preserve">Genale-Dawa and </w:t>
      </w:r>
      <w:r w:rsidR="001A7360" w:rsidRPr="00601FD1">
        <w:t xml:space="preserve">Wabe </w:t>
      </w:r>
      <w:r w:rsidR="002E2205" w:rsidRPr="00601FD1">
        <w:t>Shebelle</w:t>
      </w:r>
      <w:r w:rsidR="006B29C7" w:rsidRPr="00601FD1">
        <w:t xml:space="preserve"> </w:t>
      </w:r>
      <w:r w:rsidRPr="00601FD1">
        <w:t xml:space="preserve">basins, </w:t>
      </w:r>
      <w:r w:rsidR="001A7360" w:rsidRPr="00601FD1">
        <w:t>t</w:t>
      </w:r>
      <w:r w:rsidRPr="00601FD1">
        <w:t xml:space="preserve">ertiary and </w:t>
      </w:r>
      <w:r w:rsidR="001A7360" w:rsidRPr="00601FD1">
        <w:t>q</w:t>
      </w:r>
      <w:r w:rsidRPr="00601FD1">
        <w:t>uaternary volcanic lava flows rest directly on the peneplain Precambrian basement rocks where the Mesozoic sedimentary succession are missing in some places.</w:t>
      </w:r>
      <w:r w:rsidR="0073361A" w:rsidRPr="00601FD1">
        <w:t xml:space="preserve"> </w:t>
      </w:r>
    </w:p>
    <w:p w:rsidR="00115204" w:rsidRDefault="00C57425" w:rsidP="00EE74B8">
      <w:r w:rsidRPr="00601FD1">
        <w:t xml:space="preserve">The Precambrian basement successions are croup out in </w:t>
      </w:r>
      <w:r w:rsidR="00AB04EF" w:rsidRPr="00601FD1">
        <w:t xml:space="preserve">the </w:t>
      </w:r>
      <w:r w:rsidR="0060006D" w:rsidRPr="00601FD1">
        <w:t>S</w:t>
      </w:r>
      <w:r w:rsidRPr="00601FD1">
        <w:t xml:space="preserve">outhwestern and central part of Genale-Dawa basin. </w:t>
      </w:r>
      <w:r w:rsidR="00BF3B50" w:rsidRPr="00601FD1">
        <w:t>The Geology of Weyib Sub-basin</w:t>
      </w:r>
      <w:r w:rsidR="0058146A" w:rsidRPr="00601FD1">
        <w:t>, in Genale-Dawa R</w:t>
      </w:r>
      <w:r w:rsidR="00F34F03" w:rsidRPr="00601FD1">
        <w:t>iver basin,</w:t>
      </w:r>
      <w:r w:rsidR="00AB04EF" w:rsidRPr="00601FD1">
        <w:t xml:space="preserve"> is readily </w:t>
      </w:r>
      <w:r w:rsidR="00BF3B50" w:rsidRPr="00601FD1">
        <w:t>fall</w:t>
      </w:r>
      <w:r w:rsidR="00AB04EF" w:rsidRPr="00601FD1">
        <w:t>s</w:t>
      </w:r>
      <w:r w:rsidR="002327F5" w:rsidRPr="00601FD1">
        <w:t xml:space="preserve"> into two major categories. </w:t>
      </w:r>
      <w:r w:rsidR="00101843">
        <w:t>These are:</w:t>
      </w:r>
      <w:r w:rsidR="00BF3B50" w:rsidRPr="00601FD1">
        <w:t xml:space="preserve"> </w:t>
      </w:r>
      <w:r w:rsidR="00D816F8" w:rsidRPr="00601FD1">
        <w:t>a</w:t>
      </w:r>
      <w:r w:rsidR="00BF3B50" w:rsidRPr="00601FD1">
        <w:t xml:space="preserve">) </w:t>
      </w:r>
      <w:r w:rsidR="000B153B" w:rsidRPr="00601FD1">
        <w:t>t</w:t>
      </w:r>
      <w:r w:rsidR="00BF3B50" w:rsidRPr="00601FD1">
        <w:t xml:space="preserve">ertiary volcanic successions to </w:t>
      </w:r>
      <w:r w:rsidR="000B153B" w:rsidRPr="00601FD1">
        <w:t>q</w:t>
      </w:r>
      <w:r w:rsidR="00BF3B50" w:rsidRPr="00601FD1">
        <w:t xml:space="preserve">uaternary volcanic and sediments. </w:t>
      </w:r>
      <w:r w:rsidR="00D816F8" w:rsidRPr="00601FD1">
        <w:t>b</w:t>
      </w:r>
      <w:r w:rsidR="00BF3B50" w:rsidRPr="00601FD1">
        <w:t xml:space="preserve">) </w:t>
      </w:r>
      <w:r w:rsidR="000B153B" w:rsidRPr="00601FD1">
        <w:t>Jurassic</w:t>
      </w:r>
      <w:r w:rsidR="00AB04EF" w:rsidRPr="00601FD1">
        <w:t xml:space="preserve"> to C</w:t>
      </w:r>
      <w:r w:rsidR="00BF3B50" w:rsidRPr="00601FD1">
        <w:t xml:space="preserve">retaceous sedimentary successions. The </w:t>
      </w:r>
      <w:r w:rsidR="008E21D1" w:rsidRPr="00601FD1">
        <w:t>t</w:t>
      </w:r>
      <w:r w:rsidR="00BF3B50" w:rsidRPr="00601FD1">
        <w:t xml:space="preserve">ertiary and </w:t>
      </w:r>
      <w:r w:rsidR="008E21D1" w:rsidRPr="00601FD1">
        <w:t>q</w:t>
      </w:r>
      <w:r w:rsidR="00BF3B50" w:rsidRPr="00601FD1">
        <w:t xml:space="preserve">uaternary volcanic comprise Ginnir </w:t>
      </w:r>
      <w:r w:rsidR="008E21D1" w:rsidRPr="00601FD1">
        <w:t>b</w:t>
      </w:r>
      <w:r w:rsidR="00BF3B50" w:rsidRPr="00601FD1">
        <w:t>asalt,</w:t>
      </w:r>
      <w:r w:rsidR="00D816F8" w:rsidRPr="00601FD1">
        <w:t xml:space="preserve"> </w:t>
      </w:r>
      <w:r w:rsidR="00BF3B50" w:rsidRPr="00601FD1">
        <w:t xml:space="preserve">Nazareth groups, Alkali </w:t>
      </w:r>
      <w:r w:rsidR="00D816F8" w:rsidRPr="00601FD1">
        <w:t>t</w:t>
      </w:r>
      <w:r w:rsidR="00BF3B50" w:rsidRPr="00601FD1">
        <w:t xml:space="preserve">rachyte and </w:t>
      </w:r>
      <w:r w:rsidR="008E21D1" w:rsidRPr="00601FD1">
        <w:t>b</w:t>
      </w:r>
      <w:r w:rsidR="00BF3B50" w:rsidRPr="00601FD1">
        <w:t xml:space="preserve">asalt flow, Alkali </w:t>
      </w:r>
      <w:r w:rsidR="00D816F8" w:rsidRPr="00601FD1">
        <w:t>t</w:t>
      </w:r>
      <w:r w:rsidR="00BF3B50" w:rsidRPr="00601FD1">
        <w:t>rachyte</w:t>
      </w:r>
      <w:r w:rsidR="007A4086" w:rsidRPr="00601FD1">
        <w:t xml:space="preserve"> flow and Arsi-Bale basalts</w:t>
      </w:r>
      <w:r w:rsidR="00BF3B50" w:rsidRPr="00601FD1">
        <w:t xml:space="preserve"> from young to old strati-graphical orientation</w:t>
      </w:r>
      <w:r w:rsidR="00DC54D0" w:rsidRPr="00601FD1">
        <w:t xml:space="preserve"> </w:t>
      </w:r>
      <w:r w:rsidR="00DC54D0" w:rsidRPr="00601FD1">
        <w:fldChar w:fldCharType="begin" w:fldLock="1"/>
      </w:r>
      <w:r w:rsidR="00A309A8">
        <w:instrText>ADDIN CSL_CITATION {"citationItems":[{"id":"ITEM-1","itemData":{"author":[{"dropping-particle":"","family":"Kiflu","given":"Astatke","non-dropping-particle":"","parse-names":false,"suffix":""},{"dropping-particle":"","family":"Tafa","given":"Yosef","non-dropping-particle":"","parse-names":false,"suffix":""},{"dropping-particle":"","family":"Mulugeta","given":"Yonas","non-dropping-particle":"","parse-names":false,"suffix":""}],"id":"ITEM-1","issued":{"date-parts":[["2009"]]},"number-of-pages":"1-74","publisher-place":"Addis Abeba, Ethiopia","title":"Hydrogeological mapping of part of Asela map sheet (NB 37-3) South eastern high land of Ethiopia","type":"report"},"uris":["http://www.mendeley.com/documents/?uuid=00ac486c-3b45-4648-a467-648ee30a24fa","http://www.mendeley.com/documents/?uuid=b3043dd7-ee9c-4f47-9f3e-21b95483fb89"]},{"id":"ITEM-2","itemData":{"abstract":"Hydrogeological mapping of Ginner map sheet is carried out on the upper Wabi Shebele and some part of upper Genale Dawa river shades which is situated about 530 km east of Addis Ababa at the eastern part of Ethiopia. Considerable elevation difference (500-2685 m.a.s.l) and physiographic diversities such as highlands, lowlands and rugged areas, river valleys, deep gorges and plateaus characterize the area. Though the duration, amount and spatial distribution of the rain fall varies in the plateaus and low lands, bi- modal type of rain fall regime is generally observed. The annual mean rainfall in the low lands and high lands vary between 300 – 1200 mm and Potential evapotranspiration (PET) is estimated empirically 3.9 mm/day for the area. Rock units of the area are Tertiary and Quaternary Volcanics such as; Ginner Basalt, Arsi-Bale basalts and lower flood basalt and Mesozoic sedimentary formations such as: Amba Aradam, Korahe, Gabredare, Urandab and Hamanle formations successively under lain from young to old. In addition, superficial deposits and weathering remnants such as alluvium and elluvium cover the area. Nearly NE–SW and NW– SE trending faults and lineaments affect the area. The aquifer systems are defined based on hydrogeological characteristics /aquifer productivity and permeability/ of the lithological units. Seven hydrogeological units /aquifers systems/ are identified in the map sheet and then hydrogeological map at a scale 1:250,000 is produced. The chemical analysis result of water samples in the study area shows that bicarbonate and transitional and basic water type is predominant. The general trend of EC and TDS increases from relatively highland plateau to lowland where rain fall is low and evapotranspiration is high. Groundwater of the study area is generally suitable for Drinking water supply and irrigation. Generally, the area has ground water resources thus intensive sustainable water resources development is recommended by drilling deeper wells more than 150m depth on the lowlands and Springs development on the high land plateaus. Productive wells can also be drilled at the high land plateaus along faults and lineaments. In addition to water supply, large scale irrigation can be possible at the plateaus by using ground water resource.","author":[{"dropping-particle":"","family":"Mulugeta","given":"Yonas","non-dropping-particle":"","parse-names":false,"suffix":""},{"dropping-particle":"","family":"Tafa","given":"Yosef","non-dropping-particle":"","parse-names":false,"suffix":""}],"id":"ITEM-2","issued":{"date-parts":[["2010"]]},"number-of-pages":"1-84","publisher-place":"Addis Abeba, Ethiopia","title":"Integrated hydrogeological mapping of Ginnir map sheet (NB-37-4) South Eastern low land and adjacent high land of Ethiopia","type":"report"},"uris":["http://www.mendeley.com/documents/?uuid=e9c5b3e5-3d16-4cb5-a46e-712fee7da124","http://www.mendeley.com/documents/?uuid=1b87b89f-6151-4701-b983-9da2e8363ad4","http://www.mendeley.com/documents/?uuid=e89b41cc-5069-49ff-b72a-3226f00150b9"]}],"mendeley":{"formattedCitation":"(Kiflu et al., 2009; Mulugeta &amp; Tafa, 2010)","manualFormatting":"(Kiflu et al., 2009; Mulugeta and Tafa, 2010)","plainTextFormattedCitation":"(Kiflu et al., 2009; Mulugeta &amp; Tafa, 2010)","previouslyFormattedCitation":"(Kiflu et al., 2009; Mulugeta &amp; Tafa, 2010)"},"properties":{"noteIndex":0},"schema":"https://github.com/citation-style-language/schema/raw/master/csl-citation.json"}</w:instrText>
      </w:r>
      <w:r w:rsidR="00DC54D0" w:rsidRPr="00601FD1">
        <w:fldChar w:fldCharType="separate"/>
      </w:r>
      <w:r w:rsidR="00246BCC" w:rsidRPr="00601FD1">
        <w:rPr>
          <w:noProof/>
        </w:rPr>
        <w:t>(Kiflu et al., 2009; Mulugeta and</w:t>
      </w:r>
      <w:r w:rsidR="00A108C4" w:rsidRPr="00601FD1">
        <w:rPr>
          <w:noProof/>
        </w:rPr>
        <w:t xml:space="preserve"> Tafa, 2010)</w:t>
      </w:r>
      <w:r w:rsidR="00DC54D0" w:rsidRPr="00601FD1">
        <w:fldChar w:fldCharType="end"/>
      </w:r>
      <w:r w:rsidR="00BF3B50" w:rsidRPr="00601FD1">
        <w:t xml:space="preserve">. </w:t>
      </w:r>
    </w:p>
    <w:p w:rsidR="00BF3B50" w:rsidRDefault="00BF3B50" w:rsidP="00EE74B8">
      <w:r w:rsidRPr="00601FD1">
        <w:t xml:space="preserve">The volcanic are thought to be Oligocene to Holocene in age and are </w:t>
      </w:r>
      <w:r w:rsidR="0004514B" w:rsidRPr="00601FD1">
        <w:t>uncomfortably</w:t>
      </w:r>
      <w:r w:rsidR="00AB04EF" w:rsidRPr="00601FD1">
        <w:t xml:space="preserve"> over</w:t>
      </w:r>
      <w:r w:rsidRPr="00601FD1">
        <w:t>lain by the sedimentary units. The sedimentary units in the Eastern part of the study area are Korahe formation (</w:t>
      </w:r>
      <w:r w:rsidR="00386422" w:rsidRPr="00601FD1">
        <w:t>s</w:t>
      </w:r>
      <w:r w:rsidRPr="00601FD1">
        <w:t>andston</w:t>
      </w:r>
      <w:r w:rsidR="00386422" w:rsidRPr="00601FD1">
        <w:t xml:space="preserve">e) </w:t>
      </w:r>
      <w:r w:rsidR="00481814" w:rsidRPr="00601FD1">
        <w:t>and Gabredarre formation (l</w:t>
      </w:r>
      <w:r w:rsidRPr="00601FD1">
        <w:t>imestone) successively underlain from young to old. The sedimentary formations overlay the basement unit that is not outcropped in the area. The formations are considered to be Jurassic to Cretaceous age.</w:t>
      </w:r>
    </w:p>
    <w:p w:rsidR="00115204" w:rsidRDefault="00115204" w:rsidP="00EE74B8"/>
    <w:p w:rsidR="00332A8C" w:rsidRPr="00601FD1" w:rsidRDefault="00496833" w:rsidP="00EE74B8">
      <w:pPr>
        <w:pStyle w:val="Heading3"/>
        <w:numPr>
          <w:ilvl w:val="2"/>
          <w:numId w:val="1"/>
        </w:numPr>
      </w:pPr>
      <w:bookmarkStart w:id="140" w:name="_Toc68025086"/>
      <w:bookmarkStart w:id="141" w:name="_Toc68761568"/>
      <w:r w:rsidRPr="00601FD1">
        <w:lastRenderedPageBreak/>
        <w:t>Stratigraphy</w:t>
      </w:r>
      <w:bookmarkEnd w:id="140"/>
      <w:bookmarkEnd w:id="141"/>
    </w:p>
    <w:p w:rsidR="002327F5" w:rsidRPr="00601FD1" w:rsidRDefault="00496833" w:rsidP="00EE74B8">
      <w:r w:rsidRPr="00601FD1">
        <w:t xml:space="preserve">The oldest rock encountered in the </w:t>
      </w:r>
      <w:r w:rsidR="00F820D8" w:rsidRPr="00601FD1">
        <w:t>study</w:t>
      </w:r>
      <w:r w:rsidRPr="00601FD1">
        <w:t xml:space="preserve"> area is the Upper limestone. This limestone is sharply overlain by Upper sandstone</w:t>
      </w:r>
      <w:r w:rsidR="00537A7D" w:rsidRPr="00601FD1">
        <w:t xml:space="preserve"> </w:t>
      </w:r>
      <w:r w:rsidR="00650A04" w:rsidRPr="00601FD1">
        <w:rPr>
          <w:rStyle w:val="FootnoteReference"/>
        </w:rPr>
        <w:fldChar w:fldCharType="begin" w:fldLock="1"/>
      </w:r>
      <w:r w:rsidR="00A309A8">
        <w:instrText>ADDIN CSL_CITATION {"citationItems":[{"id":"ITEM-1","itemData":{"author":[{"dropping-particle":"","family":"Tefera","given":"Mengesha","non-dropping-particle":"","parse-names":false,"suffix":""},{"dropping-particle":"","family":"Cherinet","given":"Tadiwose","non-dropping-particle":"","parse-names":false,"suffix":""},{"dropping-particle":"","family":"Haro","given":"Workineh","non-dropping-particle":"","parse-names":false,"suffix":""}],"id":"ITEM-1","issued":{"date-parts":[["1996"]]},"publisher-place":"Addis Ababa","title":"Explanation to the Geological Map of Ethiopia","type":"report"},"uris":["http://www.mendeley.com/documents/?uuid=beb416cc-affc-48ed-b90f-2f745756f0d8","http://www.mendeley.com/documents/?uuid=7f263680-a1f3-4464-8c85-31fde7d28463"]}],"mendeley":{"formattedCitation":"(Tefera et al., 1996)","plainTextFormattedCitation":"(Tefera et al., 1996)","previouslyFormattedCitation":"(Tefera et al., 1996)"},"properties":{"noteIndex":0},"schema":"https://github.com/citation-style-language/schema/raw/master/csl-citation.json"}</w:instrText>
      </w:r>
      <w:r w:rsidR="00650A04" w:rsidRPr="00601FD1">
        <w:rPr>
          <w:rStyle w:val="FootnoteReference"/>
        </w:rPr>
        <w:fldChar w:fldCharType="separate"/>
      </w:r>
      <w:r w:rsidR="00A108C4" w:rsidRPr="00601FD1">
        <w:rPr>
          <w:noProof/>
        </w:rPr>
        <w:t>(Tefera et al., 1996)</w:t>
      </w:r>
      <w:r w:rsidR="00650A04" w:rsidRPr="00601FD1">
        <w:rPr>
          <w:rStyle w:val="FootnoteReference"/>
        </w:rPr>
        <w:fldChar w:fldCharType="end"/>
      </w:r>
      <w:r w:rsidR="00115204">
        <w:t xml:space="preserve">. </w:t>
      </w:r>
      <w:r w:rsidR="00C76D03" w:rsidRPr="00601FD1">
        <w:t xml:space="preserve">The lower part of </w:t>
      </w:r>
      <w:r w:rsidR="00390334" w:rsidRPr="00601FD1">
        <w:t>volcanic succe</w:t>
      </w:r>
      <w:r w:rsidR="00A7600B" w:rsidRPr="00601FD1">
        <w:t>ssion (</w:t>
      </w:r>
      <w:r w:rsidR="00390334" w:rsidRPr="00601FD1">
        <w:t>the lower lava flow</w:t>
      </w:r>
      <w:r w:rsidR="00A7600B" w:rsidRPr="00601FD1">
        <w:t>)</w:t>
      </w:r>
      <w:r w:rsidR="00390334" w:rsidRPr="00601FD1">
        <w:t xml:space="preserve"> is </w:t>
      </w:r>
      <w:r w:rsidR="009904AC" w:rsidRPr="00601FD1">
        <w:t>uncomfortably</w:t>
      </w:r>
      <w:r w:rsidR="00390334" w:rsidRPr="00601FD1">
        <w:t xml:space="preserve"> underlain by the upper sandstone.</w:t>
      </w:r>
      <w:r w:rsidR="00AE4CD0" w:rsidRPr="00601FD1">
        <w:t xml:space="preserve"> </w:t>
      </w:r>
      <w:r w:rsidR="00A7600B" w:rsidRPr="00601FD1">
        <w:t>It is</w:t>
      </w:r>
      <w:r w:rsidR="009C4C13" w:rsidRPr="00601FD1">
        <w:t xml:space="preserve"> mostly shown in </w:t>
      </w:r>
      <w:r w:rsidR="006374B2">
        <w:t>the Ginnir, Goro and Gase</w:t>
      </w:r>
      <w:r w:rsidR="009C4C13" w:rsidRPr="00601FD1">
        <w:t>ra Woredas following th</w:t>
      </w:r>
      <w:r w:rsidR="00115204">
        <w:t xml:space="preserve">e drainage line of Weyib River. </w:t>
      </w:r>
      <w:r w:rsidR="00DA1CDD" w:rsidRPr="00601FD1">
        <w:t xml:space="preserve">The dense and massive basalts (the middle lava flows) which </w:t>
      </w:r>
      <w:r w:rsidR="00565669" w:rsidRPr="00601FD1">
        <w:t xml:space="preserve">form plateau scarp is </w:t>
      </w:r>
      <w:r w:rsidR="00DA1CDD" w:rsidRPr="00601FD1">
        <w:t>exposed at the upstream of Togona River follow</w:t>
      </w:r>
      <w:r w:rsidR="00565669" w:rsidRPr="00601FD1">
        <w:t>ing</w:t>
      </w:r>
      <w:r w:rsidR="00390334" w:rsidRPr="00601FD1">
        <w:t xml:space="preserve"> </w:t>
      </w:r>
      <w:r w:rsidR="00DA1CDD" w:rsidRPr="00601FD1">
        <w:t xml:space="preserve">the lower lava flow </w:t>
      </w:r>
      <w:r w:rsidR="00390334" w:rsidRPr="00601FD1">
        <w:t>upward</w:t>
      </w:r>
      <w:r w:rsidR="00DA1CDD" w:rsidRPr="00601FD1">
        <w:t>.</w:t>
      </w:r>
      <w:r w:rsidR="008C301C" w:rsidRPr="00601FD1">
        <w:t xml:space="preserve"> </w:t>
      </w:r>
      <w:r w:rsidR="00B34AD2" w:rsidRPr="00601FD1">
        <w:t>The p</w:t>
      </w:r>
      <w:r w:rsidR="00390334" w:rsidRPr="00601FD1">
        <w:t xml:space="preserve">lateau basalt succession </w:t>
      </w:r>
      <w:r w:rsidR="00194085" w:rsidRPr="00601FD1">
        <w:t xml:space="preserve">forming the plateau </w:t>
      </w:r>
      <w:r w:rsidR="00F26B40" w:rsidRPr="00601FD1">
        <w:t>area is</w:t>
      </w:r>
      <w:r w:rsidR="00390334" w:rsidRPr="00601FD1">
        <w:t xml:space="preserve"> unconformable to t</w:t>
      </w:r>
      <w:r w:rsidR="002A7513" w:rsidRPr="00601FD1">
        <w:t>he middle basalt and themselves</w:t>
      </w:r>
      <w:r w:rsidR="00AA32CF" w:rsidRPr="00601FD1">
        <w:t xml:space="preserve">. </w:t>
      </w:r>
      <w:r w:rsidR="00390334" w:rsidRPr="00601FD1">
        <w:t xml:space="preserve">The last event for the fissural lava flow of the plateau basalt is </w:t>
      </w:r>
      <w:r w:rsidR="00AB04EF" w:rsidRPr="00601FD1">
        <w:t xml:space="preserve">the </w:t>
      </w:r>
      <w:r w:rsidR="00390334" w:rsidRPr="00601FD1">
        <w:t>erupt</w:t>
      </w:r>
      <w:r w:rsidR="008C301C" w:rsidRPr="00601FD1">
        <w:t>ion of the upper pyroclast</w:t>
      </w:r>
      <w:r w:rsidR="00390334" w:rsidRPr="00601FD1">
        <w:t xml:space="preserve">, mostly covering the plateau. </w:t>
      </w:r>
    </w:p>
    <w:p w:rsidR="002327F5" w:rsidRPr="00601FD1" w:rsidRDefault="00390334" w:rsidP="00EE74B8">
      <w:r w:rsidRPr="00601FD1">
        <w:t xml:space="preserve">Many plateau surfaces of </w:t>
      </w:r>
      <w:r w:rsidR="0060006D" w:rsidRPr="00601FD1">
        <w:t>South-W</w:t>
      </w:r>
      <w:r w:rsidR="00EC64DB" w:rsidRPr="00601FD1">
        <w:t>est Agarfa</w:t>
      </w:r>
      <w:r w:rsidRPr="00601FD1">
        <w:t xml:space="preserve"> to </w:t>
      </w:r>
      <w:r w:rsidR="0060006D" w:rsidRPr="00601FD1">
        <w:t>North-W</w:t>
      </w:r>
      <w:r w:rsidR="002C3DF9" w:rsidRPr="00601FD1">
        <w:t>est of Dinsho W</w:t>
      </w:r>
      <w:r w:rsidR="00EC64DB" w:rsidRPr="00601FD1">
        <w:t>oreda</w:t>
      </w:r>
      <w:r w:rsidRPr="00601FD1">
        <w:t xml:space="preserve"> </w:t>
      </w:r>
      <w:r w:rsidR="00AB04EF" w:rsidRPr="00601FD1">
        <w:t>are</w:t>
      </w:r>
      <w:r w:rsidRPr="00601FD1">
        <w:t xml:space="preserve"> covered by </w:t>
      </w:r>
      <w:r w:rsidR="0065320B" w:rsidRPr="00601FD1">
        <w:t>this</w:t>
      </w:r>
      <w:r w:rsidRPr="00601FD1">
        <w:t xml:space="preserve"> type of pyroclasts. </w:t>
      </w:r>
      <w:r w:rsidR="00DD2021" w:rsidRPr="00601FD1">
        <w:t xml:space="preserve">The </w:t>
      </w:r>
      <w:r w:rsidR="00847BF7" w:rsidRPr="00601FD1">
        <w:t xml:space="preserve">localized areas of </w:t>
      </w:r>
      <w:r w:rsidR="009F4D5E" w:rsidRPr="00601FD1">
        <w:t xml:space="preserve">most </w:t>
      </w:r>
      <w:r w:rsidR="00847BF7" w:rsidRPr="00601FD1">
        <w:t xml:space="preserve">Bale </w:t>
      </w:r>
      <w:r w:rsidR="00CD779C" w:rsidRPr="00601FD1">
        <w:t>highland</w:t>
      </w:r>
      <w:r w:rsidR="00847BF7" w:rsidRPr="00601FD1">
        <w:t xml:space="preserve"> </w:t>
      </w:r>
      <w:r w:rsidR="009F4D5E" w:rsidRPr="00601FD1">
        <w:t xml:space="preserve">mountains </w:t>
      </w:r>
      <w:r w:rsidR="00AB04EF" w:rsidRPr="00601FD1">
        <w:t>are covered by central-</w:t>
      </w:r>
      <w:r w:rsidR="00847BF7" w:rsidRPr="00601FD1">
        <w:t>type basalts, form</w:t>
      </w:r>
      <w:r w:rsidR="00AA32CF" w:rsidRPr="00601FD1">
        <w:t>ing the highland basalts</w:t>
      </w:r>
      <w:r w:rsidR="002A7513" w:rsidRPr="00601FD1">
        <w:t xml:space="preserve">. </w:t>
      </w:r>
      <w:r w:rsidR="00847BF7" w:rsidRPr="00601FD1">
        <w:t xml:space="preserve">The </w:t>
      </w:r>
      <w:r w:rsidR="00AA32CF" w:rsidRPr="00601FD1">
        <w:t xml:space="preserve">highland basalts </w:t>
      </w:r>
      <w:r w:rsidR="00AB04EF" w:rsidRPr="00601FD1">
        <w:t>were</w:t>
      </w:r>
      <w:r w:rsidR="00847BF7" w:rsidRPr="00601FD1">
        <w:t xml:space="preserve"> ended by the eruption of </w:t>
      </w:r>
      <w:r w:rsidR="00BC1ACB" w:rsidRPr="00601FD1">
        <w:t>trachyte</w:t>
      </w:r>
      <w:r w:rsidR="00847BF7" w:rsidRPr="00601FD1">
        <w:t xml:space="preserve"> </w:t>
      </w:r>
      <w:r w:rsidR="0047427A" w:rsidRPr="00601FD1">
        <w:t xml:space="preserve">which </w:t>
      </w:r>
      <w:r w:rsidR="00E57514" w:rsidRPr="00601FD1">
        <w:t>occup</w:t>
      </w:r>
      <w:r w:rsidR="00AB04EF" w:rsidRPr="00601FD1">
        <w:t>ies</w:t>
      </w:r>
      <w:r w:rsidR="00E57514" w:rsidRPr="00601FD1">
        <w:t xml:space="preserve"> Goba, Homa and </w:t>
      </w:r>
      <w:r w:rsidR="0047427A" w:rsidRPr="00601FD1">
        <w:t>Dinsho</w:t>
      </w:r>
      <w:r w:rsidR="00E57514" w:rsidRPr="00601FD1">
        <w:t xml:space="preserve"> town</w:t>
      </w:r>
      <w:r w:rsidR="00CA512F" w:rsidRPr="00601FD1">
        <w:t>. After the formation of th</w:t>
      </w:r>
      <w:r w:rsidR="00AA32CF" w:rsidRPr="00601FD1">
        <w:t xml:space="preserve">e rift, the Main Ethiopian Rift, </w:t>
      </w:r>
      <w:r w:rsidR="00CA512F" w:rsidRPr="00601FD1">
        <w:t>volcanism continued, on the plateau and within the rift. Separate mountains occupied b</w:t>
      </w:r>
      <w:r w:rsidR="00A37713" w:rsidRPr="00601FD1">
        <w:t>y the highland basalts in Bale z</w:t>
      </w:r>
      <w:r w:rsidR="00CA512F" w:rsidRPr="00601FD1">
        <w:t>one mid</w:t>
      </w:r>
      <w:r w:rsidR="00A37713" w:rsidRPr="00601FD1">
        <w:t>-</w:t>
      </w:r>
      <w:r w:rsidR="00CA512F" w:rsidRPr="00601FD1">
        <w:t xml:space="preserve">slope were overlain by </w:t>
      </w:r>
      <w:r w:rsidR="009248C7" w:rsidRPr="00601FD1">
        <w:t xml:space="preserve">younger Pliocene basalts. </w:t>
      </w:r>
      <w:r w:rsidR="00CA512F" w:rsidRPr="00601FD1">
        <w:t>These basalts were overlai</w:t>
      </w:r>
      <w:r w:rsidR="00AA32CF" w:rsidRPr="00601FD1">
        <w:t xml:space="preserve">n by central type trachyte </w:t>
      </w:r>
      <w:r w:rsidR="00CA512F" w:rsidRPr="00601FD1">
        <w:t xml:space="preserve">eruption, forming the summit of Bale Mountain National Parks. </w:t>
      </w:r>
      <w:r w:rsidR="007B5F0C" w:rsidRPr="00601FD1">
        <w:t>On the Bale Mountains, multiple trachyte dike swarms cut the basalts there. These probably gave rise to the trachyte flows on top of the mountains.</w:t>
      </w:r>
      <w:r w:rsidR="0073361A" w:rsidRPr="00601FD1">
        <w:t xml:space="preserve"> </w:t>
      </w:r>
    </w:p>
    <w:p w:rsidR="00AC60BB" w:rsidRDefault="00715509" w:rsidP="00EE74B8">
      <w:r w:rsidRPr="00601FD1">
        <w:t>Still later, during Quaternary, on restricted plateau area and within the</w:t>
      </w:r>
      <w:r w:rsidR="007A4086" w:rsidRPr="00601FD1">
        <w:t xml:space="preserve"> rift volcanism was continuous. </w:t>
      </w:r>
      <w:r w:rsidRPr="00601FD1">
        <w:t>This formed the Quaternary basalts</w:t>
      </w:r>
      <w:r w:rsidR="00AA32CF" w:rsidRPr="00601FD1">
        <w:t xml:space="preserve"> </w:t>
      </w:r>
      <w:r w:rsidRPr="00601FD1">
        <w:t xml:space="preserve">of Gemora area, Quaternary basalts of the rift and basalts occur within the collapsed caldera on Bale </w:t>
      </w:r>
      <w:r w:rsidR="00717FAD" w:rsidRPr="00601FD1">
        <w:t>Mountains</w:t>
      </w:r>
      <w:r w:rsidR="00AA32CF" w:rsidRPr="00601FD1">
        <w:t>.</w:t>
      </w:r>
      <w:r w:rsidR="002327F5" w:rsidRPr="00601FD1">
        <w:t xml:space="preserve"> </w:t>
      </w:r>
      <w:r w:rsidR="00AA32CF" w:rsidRPr="00601FD1">
        <w:t xml:space="preserve">At later event, scoria cones </w:t>
      </w:r>
      <w:r w:rsidRPr="00601FD1">
        <w:t>outpoured through separate vents piercin</w:t>
      </w:r>
      <w:r w:rsidR="004C162F" w:rsidRPr="00601FD1">
        <w:t xml:space="preserve">g the </w:t>
      </w:r>
      <w:r w:rsidR="002C09B9" w:rsidRPr="00601FD1">
        <w:t>plateau volcanism</w:t>
      </w:r>
      <w:r w:rsidR="004C162F" w:rsidRPr="00601FD1">
        <w:t xml:space="preserve">. They cut </w:t>
      </w:r>
      <w:r w:rsidRPr="00601FD1">
        <w:t>across the Quaternary basalt flows. Volcanism of the area probably ended with such scoria cones which can be equated to those scoria cones in the rift. Later, event was the formation of Quaternary alluvial deposit. This occurs with</w:t>
      </w:r>
      <w:r w:rsidR="00522BD9" w:rsidRPr="00601FD1">
        <w:t>in the rift and on the plateau E</w:t>
      </w:r>
      <w:r w:rsidRPr="00601FD1">
        <w:t xml:space="preserve">ast of Bale Robe. Erosion and deposition </w:t>
      </w:r>
      <w:r w:rsidR="00935BD1" w:rsidRPr="00601FD1">
        <w:t>are</w:t>
      </w:r>
      <w:r w:rsidRPr="00601FD1">
        <w:t xml:space="preserve"> still a continuous process today.</w:t>
      </w:r>
    </w:p>
    <w:p w:rsidR="00115204" w:rsidRPr="00601FD1" w:rsidRDefault="00115204" w:rsidP="00EE74B8"/>
    <w:p w:rsidR="00E277F6" w:rsidRPr="00601FD1" w:rsidRDefault="000065AF" w:rsidP="00C34AE4">
      <w:pPr>
        <w:pStyle w:val="Heading2"/>
        <w:numPr>
          <w:ilvl w:val="1"/>
          <w:numId w:val="1"/>
        </w:numPr>
        <w:rPr>
          <w:szCs w:val="24"/>
        </w:rPr>
      </w:pPr>
      <w:bookmarkStart w:id="142" w:name="_Toc68025087"/>
      <w:bookmarkStart w:id="143" w:name="_Toc68761569"/>
      <w:r w:rsidRPr="00601FD1">
        <w:rPr>
          <w:szCs w:val="24"/>
        </w:rPr>
        <w:lastRenderedPageBreak/>
        <w:t xml:space="preserve">Data </w:t>
      </w:r>
      <w:r w:rsidR="00C53D67" w:rsidRPr="00601FD1">
        <w:rPr>
          <w:szCs w:val="24"/>
        </w:rPr>
        <w:t xml:space="preserve">Collection </w:t>
      </w:r>
      <w:r w:rsidR="0048144D" w:rsidRPr="00601FD1">
        <w:rPr>
          <w:szCs w:val="24"/>
        </w:rPr>
        <w:t xml:space="preserve">and </w:t>
      </w:r>
      <w:r w:rsidR="00C53D67" w:rsidRPr="00601FD1">
        <w:rPr>
          <w:szCs w:val="24"/>
        </w:rPr>
        <w:t>Analyses</w:t>
      </w:r>
      <w:bookmarkEnd w:id="142"/>
      <w:bookmarkEnd w:id="143"/>
    </w:p>
    <w:p w:rsidR="00D044C2" w:rsidRPr="00601FD1" w:rsidRDefault="00D044C2" w:rsidP="00C34AE4">
      <w:r w:rsidRPr="00601FD1">
        <w:t>To meet the objective of studies various data were collected from v</w:t>
      </w:r>
      <w:r w:rsidR="003355FC" w:rsidRPr="00601FD1">
        <w:t>arious sources (Appendix table 3</w:t>
      </w:r>
      <w:r w:rsidR="00115204">
        <w:t xml:space="preserve">.). </w:t>
      </w:r>
      <w:r w:rsidRPr="00601FD1">
        <w:t xml:space="preserve">Published and unpublished literature of different articles have been reviewed and used as input to obtain more information about findings, methods, gaps and recommendations in/of previous studies. Software and computer programs </w:t>
      </w:r>
      <w:r w:rsidR="00656A47" w:rsidRPr="00601FD1">
        <w:t>employed</w:t>
      </w:r>
      <w:r w:rsidRPr="00601FD1">
        <w:t xml:space="preserve"> for analysis of raw data and preparation of thematic layers </w:t>
      </w:r>
      <w:r w:rsidR="00F92B6A" w:rsidRPr="00601FD1">
        <w:t>we</w:t>
      </w:r>
      <w:r w:rsidR="006E5243" w:rsidRPr="00601FD1">
        <w:t xml:space="preserve">re </w:t>
      </w:r>
      <w:r w:rsidR="00E41070" w:rsidRPr="00601FD1">
        <w:t>reviewed</w:t>
      </w:r>
      <w:r w:rsidR="006E5243" w:rsidRPr="00601FD1">
        <w:t xml:space="preserve"> in S</w:t>
      </w:r>
      <w:r w:rsidR="007947D2" w:rsidRPr="00601FD1">
        <w:t>ection 2.4</w:t>
      </w:r>
      <w:r w:rsidR="005542EF" w:rsidRPr="00601FD1">
        <w:t xml:space="preserve"> a</w:t>
      </w:r>
      <w:r w:rsidR="003355FC" w:rsidRPr="00601FD1">
        <w:t>nd tabulated in Appendix table 2</w:t>
      </w:r>
      <w:r w:rsidR="005542EF" w:rsidRPr="00601FD1">
        <w:t>.</w:t>
      </w:r>
    </w:p>
    <w:p w:rsidR="006B3D53" w:rsidRPr="00601FD1" w:rsidRDefault="009D623A" w:rsidP="00C34AE4">
      <w:pPr>
        <w:pStyle w:val="Heading3"/>
        <w:numPr>
          <w:ilvl w:val="2"/>
          <w:numId w:val="1"/>
        </w:numPr>
      </w:pPr>
      <w:bookmarkStart w:id="144" w:name="_Toc68025088"/>
      <w:bookmarkStart w:id="145" w:name="_Toc68761570"/>
      <w:r w:rsidRPr="00601FD1">
        <w:t>Characterization of</w:t>
      </w:r>
      <w:r w:rsidR="00DB4DC6" w:rsidRPr="00601FD1">
        <w:t xml:space="preserve"> factors </w:t>
      </w:r>
      <w:r w:rsidR="000E3D5C" w:rsidRPr="00601FD1">
        <w:t>influencing</w:t>
      </w:r>
      <w:r w:rsidR="00DB4DC6" w:rsidRPr="00601FD1">
        <w:t xml:space="preserve"> groundwat</w:t>
      </w:r>
      <w:r w:rsidRPr="00601FD1">
        <w:t>er potential zones</w:t>
      </w:r>
      <w:bookmarkEnd w:id="144"/>
      <w:bookmarkEnd w:id="145"/>
    </w:p>
    <w:p w:rsidR="00C943FC" w:rsidRPr="00601FD1" w:rsidRDefault="00C943FC" w:rsidP="00C34AE4">
      <w:pPr>
        <w:pStyle w:val="Heading4"/>
        <w:numPr>
          <w:ilvl w:val="3"/>
          <w:numId w:val="1"/>
        </w:numPr>
        <w:spacing w:before="120" w:after="120"/>
      </w:pPr>
      <w:r w:rsidRPr="00601FD1">
        <w:t>Meteorological Data</w:t>
      </w:r>
    </w:p>
    <w:p w:rsidR="00C943FC" w:rsidRPr="00601FD1" w:rsidRDefault="00C943FC" w:rsidP="00C34AE4">
      <w:r w:rsidRPr="00601FD1">
        <w:t xml:space="preserve">Historic time series of meteorological data was </w:t>
      </w:r>
      <w:r w:rsidR="00F774E9" w:rsidRPr="00601FD1">
        <w:t>collected</w:t>
      </w:r>
      <w:r w:rsidRPr="00601FD1">
        <w:t xml:space="preserve"> from </w:t>
      </w:r>
      <w:r w:rsidR="00F774E9" w:rsidRPr="00601FD1">
        <w:t xml:space="preserve">the </w:t>
      </w:r>
      <w:r w:rsidRPr="00601FD1">
        <w:t>NMS</w:t>
      </w:r>
      <w:bookmarkStart w:id="146" w:name="_Hlk50627138"/>
      <w:r w:rsidR="00B936B1" w:rsidRPr="00601FD1">
        <w:t xml:space="preserve">A, </w:t>
      </w:r>
      <w:bookmarkEnd w:id="146"/>
      <w:r w:rsidR="00B936B1" w:rsidRPr="00601FD1">
        <w:t>SOMSC and MoWIE</w:t>
      </w:r>
      <w:r w:rsidRPr="00601FD1">
        <w:t>. Before using rainfall record</w:t>
      </w:r>
      <w:r w:rsidR="00CD1FEA" w:rsidRPr="00601FD1">
        <w:t>s</w:t>
      </w:r>
      <w:r w:rsidRPr="00601FD1">
        <w:t xml:space="preserve"> of </w:t>
      </w:r>
      <w:r w:rsidR="00EB71B6" w:rsidRPr="00601FD1">
        <w:t xml:space="preserve">the </w:t>
      </w:r>
      <w:r w:rsidRPr="00601FD1">
        <w:t xml:space="preserve">weather stations raw data </w:t>
      </w:r>
      <w:r w:rsidR="00C010A7" w:rsidRPr="00601FD1">
        <w:t xml:space="preserve">was checked </w:t>
      </w:r>
      <w:r w:rsidRPr="00601FD1">
        <w:t xml:space="preserve">for data set reliability through data quality check and consistency. Since the continuity of record may be broken, missing of data and the homogeneity of meteorological parameters time series has been analyzed </w:t>
      </w:r>
      <w:r w:rsidRPr="00601FD1">
        <w:rPr>
          <w:rStyle w:val="FootnoteReference"/>
        </w:rPr>
        <w:fldChar w:fldCharType="begin" w:fldLock="1"/>
      </w:r>
      <w:r w:rsidR="00A309A8">
        <w:instrText>ADDIN CSL_CITATION {"citationItems":[{"id":"ITEM-1","itemData":{"ISBN":"978-0-07-064855-5","abstract":"Predicting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approach.","author":[{"dropping-particle":"","family":"Subramanya","given":"K","non-dropping-particle":"","parse-names":false,"suffix":""}],"container-title":"Engineering hydrology","edition":"Third edit","editor":[{"dropping-particle":"","family":"Mukherjee","given":"Shukti","non-dropping-particle":"","parse-names":false,"suffix":""}],"id":"ITEM-1","issued":{"date-parts":[["2008"]]},"page":"26-37","publisher":"Tata McGraw-Hill publishing company limited","publisher-place":"7 West Patel Nagar, New Delhi 110008","title":"Engineering hydology","type":"chapter"},"uris":["http://www.mendeley.com/documents/?uuid=1a27c914-fce0-486c-8cde-a4628e670456","http://www.mendeley.com/documents/?uuid=6fd62e81-c8a0-4ec0-bf46-ba12a153cd97"]}],"mendeley":{"formattedCitation":"(Subramanya, 2008)","plainTextFormattedCitation":"(Subramanya, 2008)","previouslyFormattedCitation":"(Subramanya, 2008)"},"properties":{"noteIndex":0},"schema":"https://github.com/citation-style-language/schema/raw/master/csl-citation.json"}</w:instrText>
      </w:r>
      <w:r w:rsidRPr="00601FD1">
        <w:rPr>
          <w:rStyle w:val="FootnoteReference"/>
        </w:rPr>
        <w:fldChar w:fldCharType="separate"/>
      </w:r>
      <w:r w:rsidRPr="00601FD1">
        <w:rPr>
          <w:noProof/>
        </w:rPr>
        <w:t>(Subramanya, 2008)</w:t>
      </w:r>
      <w:r w:rsidRPr="00601FD1">
        <w:rPr>
          <w:rStyle w:val="FootnoteReference"/>
        </w:rPr>
        <w:fldChar w:fldCharType="end"/>
      </w:r>
      <w:r w:rsidRPr="00601FD1">
        <w:t xml:space="preserve">. </w:t>
      </w:r>
    </w:p>
    <w:p w:rsidR="00C943FC" w:rsidRPr="00601FD1" w:rsidRDefault="00C943FC" w:rsidP="008D3D8E">
      <w:pPr>
        <w:pStyle w:val="ListParagraph"/>
        <w:numPr>
          <w:ilvl w:val="0"/>
          <w:numId w:val="5"/>
        </w:numPr>
      </w:pPr>
      <w:r w:rsidRPr="00601FD1">
        <w:t>Estimation of Missed Data</w:t>
      </w:r>
    </w:p>
    <w:p w:rsidR="00687C47" w:rsidRPr="00601FD1" w:rsidRDefault="00C943FC" w:rsidP="00C34AE4">
      <w:r w:rsidRPr="00601FD1">
        <w:t>For gages that require periodic observation, the failure of the</w:t>
      </w:r>
      <w:r w:rsidR="00876385" w:rsidRPr="00601FD1">
        <w:t xml:space="preserve"> observer to make the necessary </w:t>
      </w:r>
      <w:r w:rsidRPr="00601FD1">
        <w:t>visit,</w:t>
      </w:r>
      <w:r w:rsidR="006D69C3" w:rsidRPr="00601FD1">
        <w:t xml:space="preserve"> vandalism of recording gages</w:t>
      </w:r>
      <w:r w:rsidRPr="00601FD1">
        <w:t xml:space="preserve"> and instrument fail</w:t>
      </w:r>
      <w:r w:rsidR="002A7513" w:rsidRPr="00601FD1">
        <w:t xml:space="preserve">ure can result in missing data. </w:t>
      </w:r>
      <w:r w:rsidRPr="00601FD1">
        <w:t>Any such causes of instrument failure reduce the length, reliability and information cont</w:t>
      </w:r>
      <w:r w:rsidR="000859ED" w:rsidRPr="00601FD1">
        <w:t xml:space="preserve">ent of the precipitation record. </w:t>
      </w:r>
      <w:r w:rsidRPr="00601FD1">
        <w:t xml:space="preserve">The missing data can be estimated by using the data of neighboring stations </w:t>
      </w:r>
      <w:r w:rsidRPr="00601FD1">
        <w:fldChar w:fldCharType="begin" w:fldLock="1"/>
      </w:r>
      <w:r w:rsidR="00A309A8">
        <w:instrText>ADDIN CSL_CITATION {"citationItems":[{"id":"ITEM-1","itemData":{"ISBN":"978-0-07-064855-5","abstract":"Predicting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approach.","author":[{"dropping-particle":"","family":"Subramanya","given":"K","non-dropping-particle":"","parse-names":false,"suffix":""}],"container-title":"Engineering hydrology","edition":"Third edit","editor":[{"dropping-particle":"","family":"Mukherjee","given":"Shukti","non-dropping-particle":"","parse-names":false,"suffix":""}],"id":"ITEM-1","issued":{"date-parts":[["2008"]]},"page":"26-37","publisher":"Tata McGraw-Hill publishing company limited","publisher-place":"7 West Patel Nagar, New Delhi 110008","title":"Engineering hydology","type":"chapter"},"uris":["http://www.mendeley.com/documents/?uuid=6fd62e81-c8a0-4ec0-bf46-ba12a153cd97","http://www.mendeley.com/documents/?uuid=1a27c914-fce0-486c-8cde-a4628e670456"]}],"mendeley":{"formattedCitation":"(Subramanya, 2008)","plainTextFormattedCitation":"(Subramanya, 2008)","previouslyFormattedCitation":"(Subramanya, 2008)"},"properties":{"noteIndex":0},"schema":"https://github.com/citation-style-language/schema/raw/master/csl-citation.json"}</w:instrText>
      </w:r>
      <w:r w:rsidRPr="00601FD1">
        <w:fldChar w:fldCharType="separate"/>
      </w:r>
      <w:r w:rsidRPr="00601FD1">
        <w:rPr>
          <w:noProof/>
        </w:rPr>
        <w:t>(Subramanya, 2008)</w:t>
      </w:r>
      <w:r w:rsidRPr="00601FD1">
        <w:fldChar w:fldCharType="end"/>
      </w:r>
      <w:r w:rsidR="00FA507A" w:rsidRPr="00601FD1">
        <w:t xml:space="preserve">. </w:t>
      </w:r>
      <w:r w:rsidRPr="00601FD1">
        <w:t xml:space="preserve">A number of methods have been proposed for estimation </w:t>
      </w:r>
      <w:r w:rsidR="00347F57" w:rsidRPr="00601FD1">
        <w:t xml:space="preserve">of rainfall </w:t>
      </w:r>
      <w:r w:rsidRPr="00601FD1">
        <w:t>missing data.</w:t>
      </w:r>
      <w:r w:rsidR="00347F57" w:rsidRPr="00601FD1">
        <w:t xml:space="preserve"> T</w:t>
      </w:r>
      <w:r w:rsidR="00530000" w:rsidRPr="00601FD1">
        <w:t>he normal-ratio method is preferable</w:t>
      </w:r>
      <w:r w:rsidR="00347F57" w:rsidRPr="00601FD1">
        <w:t xml:space="preserve"> when the average annual catches differ by more than 10%. </w:t>
      </w:r>
    </w:p>
    <w:p w:rsidR="00C943FC" w:rsidRPr="00601FD1" w:rsidRDefault="007C330F" w:rsidP="00C34AE4">
      <w:r w:rsidRPr="00601FD1">
        <w:t>Hence, t</w:t>
      </w:r>
      <w:r w:rsidR="00821B16" w:rsidRPr="00601FD1">
        <w:t>he normal ratio method was</w:t>
      </w:r>
      <w:r w:rsidR="00C943FC" w:rsidRPr="00601FD1">
        <w:t xml:space="preserve"> applied to fill the </w:t>
      </w:r>
      <w:r w:rsidR="007F412D" w:rsidRPr="00601FD1">
        <w:t>rainfall missing data</w:t>
      </w:r>
      <w:r w:rsidRPr="00601FD1">
        <w:t xml:space="preserve"> of study area</w:t>
      </w:r>
      <w:r w:rsidR="00C943FC" w:rsidRPr="00601FD1">
        <w:t xml:space="preserve">. The general formula for computing a missing rainfall ‘P’ and weight </w:t>
      </w:r>
      <w:r w:rsidR="00C943FC" w:rsidRPr="00601FD1">
        <w:rPr>
          <w:rFonts w:eastAsia="Times New Roman"/>
        </w:rPr>
        <w:t xml:space="preserve">station i </w:t>
      </w:r>
      <w:r w:rsidR="00C943FC" w:rsidRPr="00601FD1">
        <w:t>‘w</w:t>
      </w:r>
      <w:r w:rsidR="00C943FC" w:rsidRPr="00601FD1">
        <w:rPr>
          <w:vertAlign w:val="subscript"/>
        </w:rPr>
        <w:t>i</w:t>
      </w:r>
      <w:r w:rsidR="00C943FC" w:rsidRPr="00601FD1">
        <w:t>’ is given by:</w:t>
      </w:r>
    </w:p>
    <w:p w:rsidR="00C943FC" w:rsidRPr="00601FD1" w:rsidRDefault="00C943FC" w:rsidP="00C34AE4">
      <w:pPr>
        <w:jc w:val="center"/>
      </w:pPr>
      <m:oMath>
        <m:r>
          <m:rPr>
            <m:sty m:val="p"/>
          </m:rPr>
          <w:rPr>
            <w:rFonts w:ascii="Cambria Math" w:hAnsi="Cambria Math"/>
          </w:rPr>
          <m:t>P</m:t>
        </m:r>
        <m:r>
          <m:rPr>
            <m:sty m:val="p"/>
            <m:aln/>
          </m:rPr>
          <w:rPr>
            <w:rFonts w:ascii="Cambria Math" w:hAnsi="Cambria Math"/>
          </w:rPr>
          <m:t>=</m:t>
        </m:r>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n</m:t>
            </m:r>
          </m:sup>
          <m:e>
            <m:sSub>
              <m:sSubPr>
                <m:ctrlPr>
                  <w:rPr>
                    <w:rFonts w:ascii="Cambria Math" w:hAnsi="Cambria Math"/>
                  </w:rPr>
                </m:ctrlPr>
              </m:sSubPr>
              <m:e>
                <m:r>
                  <m:rPr>
                    <m:sty m:val="p"/>
                  </m:rPr>
                  <w:rPr>
                    <w:rFonts w:ascii="Cambria Math" w:hAnsi="Cambria Math"/>
                  </w:rPr>
                  <m:t>w</m:t>
                </m:r>
              </m:e>
              <m:sub>
                <m:r>
                  <m:rPr>
                    <m:sty m:val="p"/>
                  </m:rPr>
                  <w:rPr>
                    <w:rFonts w:ascii="Cambria Math" w:hAnsi="Cambria Math"/>
                  </w:rPr>
                  <m:t>i</m:t>
                </m:r>
              </m:sub>
            </m:sSub>
            <m:sSub>
              <m:sSubPr>
                <m:ctrlPr>
                  <w:rPr>
                    <w:rFonts w:ascii="Cambria Math" w:hAnsi="Cambria Math"/>
                  </w:rPr>
                </m:ctrlPr>
              </m:sSubPr>
              <m:e>
                <m:r>
                  <m:rPr>
                    <m:sty m:val="p"/>
                  </m:rPr>
                  <w:rPr>
                    <w:rFonts w:ascii="Cambria Math" w:hAnsi="Cambria Math"/>
                  </w:rPr>
                  <m:t>P</m:t>
                </m:r>
              </m:e>
              <m:sub>
                <m:r>
                  <m:rPr>
                    <m:sty m:val="p"/>
                  </m:rPr>
                  <w:rPr>
                    <w:rFonts w:ascii="Cambria Math" w:hAnsi="Cambria Math"/>
                  </w:rPr>
                  <m:t>i</m:t>
                </m:r>
              </m:sub>
            </m:sSub>
          </m:e>
        </m:nary>
      </m:oMath>
      <w:r w:rsidRPr="00601FD1">
        <w:t>………………………………………………………………..Equation (3.1)</w:t>
      </w:r>
    </w:p>
    <w:p w:rsidR="00C943FC" w:rsidRPr="00601FD1" w:rsidRDefault="00B24F7C" w:rsidP="00C34AE4">
      <w:pPr>
        <w:jc w:val="center"/>
        <w:rPr>
          <w:rFonts w:eastAsia="Times New Roman"/>
        </w:rPr>
      </w:pPr>
      <m:oMath>
        <m:sSub>
          <m:sSubPr>
            <m:ctrlPr>
              <w:rPr>
                <w:rFonts w:ascii="Cambria Math" w:eastAsia="Times New Roman" w:hAnsi="Cambria Math"/>
              </w:rPr>
            </m:ctrlPr>
          </m:sSubPr>
          <m:e>
            <m:r>
              <m:rPr>
                <m:sty m:val="p"/>
              </m:rPr>
              <w:rPr>
                <w:rFonts w:ascii="Cambria Math" w:eastAsia="Times New Roman" w:hAnsi="Cambria Math"/>
              </w:rPr>
              <m:t>w</m:t>
            </m:r>
          </m:e>
          <m:sub>
            <m:r>
              <m:rPr>
                <m:sty m:val="p"/>
              </m:rPr>
              <w:rPr>
                <w:rFonts w:ascii="Cambria Math" w:eastAsia="Times New Roman" w:hAnsi="Cambria Math"/>
              </w:rPr>
              <m:t xml:space="preserve">i = </m:t>
            </m:r>
            <m:f>
              <m:fPr>
                <m:ctrlPr>
                  <w:rPr>
                    <w:rFonts w:ascii="Cambria Math" w:eastAsia="Times New Roman" w:hAnsi="Cambria Math"/>
                  </w:rPr>
                </m:ctrlPr>
              </m:fPr>
              <m:num>
                <m:sSub>
                  <m:sSubPr>
                    <m:ctrlPr>
                      <w:rPr>
                        <w:rFonts w:ascii="Cambria Math" w:eastAsia="Times New Roman" w:hAnsi="Cambria Math"/>
                      </w:rPr>
                    </m:ctrlPr>
                  </m:sSubPr>
                  <m:e>
                    <m:r>
                      <m:rPr>
                        <m:sty m:val="p"/>
                      </m:rPr>
                      <w:rPr>
                        <w:rFonts w:ascii="Cambria Math" w:eastAsia="Times New Roman" w:hAnsi="Cambria Math"/>
                      </w:rPr>
                      <m:t>A</m:t>
                    </m:r>
                  </m:e>
                  <m:sub>
                    <m:r>
                      <m:rPr>
                        <m:sty m:val="p"/>
                      </m:rPr>
                      <w:rPr>
                        <w:rFonts w:ascii="Cambria Math" w:eastAsia="Times New Roman" w:hAnsi="Cambria Math"/>
                      </w:rPr>
                      <m:t>x</m:t>
                    </m:r>
                  </m:sub>
                </m:sSub>
              </m:num>
              <m:den>
                <m:sSub>
                  <m:sSubPr>
                    <m:ctrlPr>
                      <w:rPr>
                        <w:rFonts w:ascii="Cambria Math" w:eastAsia="Times New Roman" w:hAnsi="Cambria Math"/>
                      </w:rPr>
                    </m:ctrlPr>
                  </m:sSubPr>
                  <m:e>
                    <m:r>
                      <m:rPr>
                        <m:sty m:val="p"/>
                      </m:rPr>
                      <w:rPr>
                        <w:rFonts w:ascii="Cambria Math" w:eastAsia="Times New Roman" w:hAnsi="Cambria Math"/>
                      </w:rPr>
                      <m:t>n</m:t>
                    </m:r>
                  </m:e>
                  <m:sub>
                    <m:sSub>
                      <m:sSubPr>
                        <m:ctrlPr>
                          <w:rPr>
                            <w:rFonts w:ascii="Cambria Math" w:eastAsia="Times New Roman" w:hAnsi="Cambria Math"/>
                          </w:rPr>
                        </m:ctrlPr>
                      </m:sSubPr>
                      <m:e>
                        <m:r>
                          <m:rPr>
                            <m:sty m:val="p"/>
                          </m:rPr>
                          <w:rPr>
                            <w:rFonts w:ascii="Cambria Math" w:eastAsia="Times New Roman" w:hAnsi="Cambria Math"/>
                          </w:rPr>
                          <m:t>A</m:t>
                        </m:r>
                      </m:e>
                      <m:sub>
                        <m:r>
                          <m:rPr>
                            <m:sty m:val="p"/>
                          </m:rPr>
                          <w:rPr>
                            <w:rFonts w:ascii="Cambria Math" w:eastAsia="Times New Roman" w:hAnsi="Cambria Math"/>
                          </w:rPr>
                          <m:t>i</m:t>
                        </m:r>
                      </m:sub>
                    </m:sSub>
                  </m:sub>
                </m:sSub>
              </m:den>
            </m:f>
          </m:sub>
        </m:sSub>
        <m:r>
          <m:rPr>
            <m:sty m:val="p"/>
          </m:rPr>
          <w:rPr>
            <w:rFonts w:ascii="Cambria Math" w:eastAsia="Times New Roman" w:hAnsi="Cambria Math"/>
          </w:rPr>
          <m:t xml:space="preserve"> </m:t>
        </m:r>
      </m:oMath>
      <w:r w:rsidR="00C943FC" w:rsidRPr="00601FD1">
        <w:rPr>
          <w:rFonts w:eastAsia="Times New Roman"/>
        </w:rPr>
        <w:t>………………………………………….…………………………….Equation (3.2)</w:t>
      </w:r>
    </w:p>
    <w:p w:rsidR="00C943FC" w:rsidRPr="00601FD1" w:rsidRDefault="00C943FC" w:rsidP="00C34AE4">
      <w:pPr>
        <w:rPr>
          <w:rFonts w:eastAsia="Times New Roman"/>
        </w:rPr>
      </w:pPr>
      <w:r w:rsidRPr="00601FD1">
        <w:rPr>
          <w:rFonts w:eastAsia="Times New Roman"/>
        </w:rPr>
        <w:t xml:space="preserve">Where </w:t>
      </w:r>
      <m:oMath>
        <m:sSub>
          <m:sSubPr>
            <m:ctrlPr>
              <w:rPr>
                <w:rFonts w:ascii="Cambria Math" w:hAnsi="Cambria Math"/>
              </w:rPr>
            </m:ctrlPr>
          </m:sSubPr>
          <m:e>
            <m:r>
              <m:rPr>
                <m:sty m:val="p"/>
              </m:rPr>
              <w:rPr>
                <w:rFonts w:ascii="Cambria Math" w:hAnsi="Cambria Math"/>
              </w:rPr>
              <m:t>w</m:t>
            </m:r>
          </m:e>
          <m:sub>
            <m:r>
              <m:rPr>
                <m:sty m:val="p"/>
              </m:rPr>
              <w:rPr>
                <w:rFonts w:ascii="Cambria Math" w:hAnsi="Cambria Math"/>
              </w:rPr>
              <m:t>i</m:t>
            </m:r>
          </m:sub>
        </m:sSub>
      </m:oMath>
      <w:r w:rsidRPr="00601FD1">
        <w:rPr>
          <w:rFonts w:eastAsia="Times New Roman"/>
        </w:rPr>
        <w:t xml:space="preserve"> is the weight for the rainfall depth </w:t>
      </w:r>
      <m:oMath>
        <m:sSub>
          <m:sSubPr>
            <m:ctrlPr>
              <w:rPr>
                <w:rFonts w:ascii="Cambria Math" w:eastAsia="Times New Roman" w:hAnsi="Cambria Math"/>
              </w:rPr>
            </m:ctrlPr>
          </m:sSubPr>
          <m:e>
            <m:r>
              <m:rPr>
                <m:sty m:val="p"/>
              </m:rPr>
              <w:rPr>
                <w:rFonts w:ascii="Cambria Math" w:eastAsia="Times New Roman" w:hAnsi="Cambria Math"/>
              </w:rPr>
              <m:t>P</m:t>
            </m:r>
          </m:e>
          <m:sub>
            <m:r>
              <m:rPr>
                <m:sty m:val="p"/>
              </m:rPr>
              <w:rPr>
                <w:rFonts w:ascii="Cambria Math" w:eastAsia="Times New Roman" w:hAnsi="Cambria Math"/>
              </w:rPr>
              <m:t>i</m:t>
            </m:r>
          </m:sub>
        </m:sSub>
      </m:oMath>
      <w:r w:rsidRPr="00601FD1">
        <w:rPr>
          <w:rFonts w:eastAsia="Times New Roman"/>
        </w:rPr>
        <w:t xml:space="preserve"> at gage i.,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i</m:t>
            </m:r>
          </m:sub>
        </m:sSub>
      </m:oMath>
      <w:r w:rsidRPr="00601FD1">
        <w:rPr>
          <w:rFonts w:eastAsia="Times New Roman"/>
        </w:rPr>
        <w:t xml:space="preserve"> is the average annual catch at gage i, A, is the average annual catch at station X, and n is the number of stations.</w:t>
      </w:r>
    </w:p>
    <w:p w:rsidR="00C943FC" w:rsidRPr="00601FD1" w:rsidRDefault="00C943FC" w:rsidP="008D3D8E">
      <w:pPr>
        <w:pStyle w:val="ListParagraph"/>
        <w:numPr>
          <w:ilvl w:val="0"/>
          <w:numId w:val="5"/>
        </w:numPr>
      </w:pPr>
      <w:r w:rsidRPr="00601FD1">
        <w:lastRenderedPageBreak/>
        <w:t>Gage Consistency</w:t>
      </w:r>
    </w:p>
    <w:p w:rsidR="00C943FC" w:rsidRPr="00601FD1" w:rsidRDefault="00C943FC" w:rsidP="00C34AE4">
      <w:pPr>
        <w:rPr>
          <w:rFonts w:eastAsia="Times New Roman"/>
        </w:rPr>
      </w:pPr>
      <w:r w:rsidRPr="00601FD1">
        <w:rPr>
          <w:rFonts w:eastAsia="Times New Roman"/>
        </w:rPr>
        <w:t>The inconsistency of records may result from changes in observation procedures, exposure of the gage, changes in land use that make it impractical to mainta</w:t>
      </w:r>
      <w:r w:rsidR="007F412D" w:rsidRPr="00601FD1">
        <w:rPr>
          <w:rFonts w:eastAsia="Times New Roman"/>
        </w:rPr>
        <w:t>in the gage at the old location</w:t>
      </w:r>
      <w:r w:rsidRPr="00601FD1">
        <w:rPr>
          <w:rFonts w:eastAsia="Times New Roman"/>
        </w:rPr>
        <w:t xml:space="preserve"> and where vandalism frequently occurs. </w:t>
      </w:r>
      <w:r w:rsidR="00C8315C" w:rsidRPr="00601FD1">
        <w:rPr>
          <w:rFonts w:eastAsia="Times New Roman"/>
        </w:rPr>
        <w:t>Adjusting for gage consistency involves the estimation of an effect over a period of time. Double mass-curve analysis was used to check for an inconsistency i</w:t>
      </w:r>
      <w:r w:rsidR="000859ED" w:rsidRPr="00601FD1">
        <w:rPr>
          <w:rFonts w:eastAsia="Times New Roman"/>
        </w:rPr>
        <w:t>n a gaged record</w:t>
      </w:r>
      <w:r w:rsidR="00C8315C" w:rsidRPr="00601FD1">
        <w:rPr>
          <w:rFonts w:eastAsia="Times New Roman"/>
        </w:rPr>
        <w:t>.</w:t>
      </w:r>
    </w:p>
    <w:p w:rsidR="00C943FC" w:rsidRPr="00601FD1" w:rsidRDefault="00C943FC" w:rsidP="00C34AE4">
      <w:pPr>
        <w:jc w:val="center"/>
        <w:rPr>
          <w:rFonts w:eastAsia="Times New Roman"/>
        </w:rPr>
      </w:pPr>
      <w:r w:rsidRPr="00601FD1">
        <w:rPr>
          <w:noProof/>
        </w:rPr>
        <w:drawing>
          <wp:inline distT="0" distB="0" distL="0" distR="0" wp14:anchorId="39056619" wp14:editId="1F2AA8A6">
            <wp:extent cx="5279390" cy="1956021"/>
            <wp:effectExtent l="0" t="0" r="16510" b="6350"/>
            <wp:docPr id="79" name="Chart 1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C943FC" w:rsidRPr="00601FD1" w:rsidRDefault="00C943FC" w:rsidP="00C34AE4">
      <w:pPr>
        <w:rPr>
          <w:rFonts w:eastAsia="Times New Roman"/>
        </w:rPr>
      </w:pPr>
      <w:bookmarkStart w:id="147" w:name="_Toc68761616"/>
      <w:r w:rsidRPr="00601FD1">
        <w:t xml:space="preserve">Figure </w:t>
      </w:r>
      <w:r w:rsidR="00515F3B">
        <w:rPr>
          <w:noProof/>
        </w:rPr>
        <w:fldChar w:fldCharType="begin"/>
      </w:r>
      <w:r w:rsidR="00515F3B">
        <w:rPr>
          <w:noProof/>
        </w:rPr>
        <w:instrText xml:space="preserve"> STYLEREF 1 \s </w:instrText>
      </w:r>
      <w:r w:rsidR="00515F3B">
        <w:rPr>
          <w:noProof/>
        </w:rPr>
        <w:fldChar w:fldCharType="separate"/>
      </w:r>
      <w:r w:rsidR="00BD510E">
        <w:rPr>
          <w:noProof/>
        </w:rPr>
        <w:t>3</w:t>
      </w:r>
      <w:r w:rsidR="00515F3B">
        <w:rPr>
          <w:noProof/>
        </w:rPr>
        <w:fldChar w:fldCharType="end"/>
      </w:r>
      <w:r w:rsidR="001342E5">
        <w:t>.</w:t>
      </w:r>
      <w:r w:rsidR="00515F3B">
        <w:rPr>
          <w:noProof/>
        </w:rPr>
        <w:fldChar w:fldCharType="begin"/>
      </w:r>
      <w:r w:rsidR="00515F3B">
        <w:rPr>
          <w:noProof/>
        </w:rPr>
        <w:instrText xml:space="preserve"> SEQ Figure \* ARABIC \s 1 </w:instrText>
      </w:r>
      <w:r w:rsidR="00515F3B">
        <w:rPr>
          <w:noProof/>
        </w:rPr>
        <w:fldChar w:fldCharType="separate"/>
      </w:r>
      <w:r w:rsidR="00BD510E">
        <w:rPr>
          <w:noProof/>
        </w:rPr>
        <w:t>6</w:t>
      </w:r>
      <w:r w:rsidR="00515F3B">
        <w:rPr>
          <w:noProof/>
        </w:rPr>
        <w:fldChar w:fldCharType="end"/>
      </w:r>
      <w:r w:rsidRPr="00601FD1">
        <w:t>: Double mass curve</w:t>
      </w:r>
      <w:bookmarkEnd w:id="147"/>
    </w:p>
    <w:p w:rsidR="0057543B" w:rsidRPr="00601FD1" w:rsidRDefault="0057543B" w:rsidP="00C34AE4">
      <w:pPr>
        <w:pStyle w:val="Heading4"/>
        <w:numPr>
          <w:ilvl w:val="3"/>
          <w:numId w:val="1"/>
        </w:numPr>
        <w:spacing w:before="120" w:after="120"/>
      </w:pPr>
      <w:r w:rsidRPr="00601FD1">
        <w:t>Spatial Data</w:t>
      </w:r>
    </w:p>
    <w:p w:rsidR="0057543B" w:rsidRPr="00601FD1" w:rsidRDefault="0057543B" w:rsidP="00C34AE4">
      <w:r w:rsidRPr="00601FD1">
        <w:t xml:space="preserve">The spatial data of soil type was collected from the MoWIE. The </w:t>
      </w:r>
      <w:r w:rsidR="00E67364" w:rsidRPr="00601FD1">
        <w:t xml:space="preserve">SRTM </w:t>
      </w:r>
      <w:r w:rsidRPr="00601FD1">
        <w:t>DEM</w:t>
      </w:r>
      <w:r w:rsidR="00E67364" w:rsidRPr="00601FD1">
        <w:t xml:space="preserve"> </w:t>
      </w:r>
      <w:r w:rsidRPr="00601FD1">
        <w:t xml:space="preserve">and Landsat 8 OLI/TIRS multi-spectral images of 2019 were downloaded from </w:t>
      </w:r>
      <w:r w:rsidR="00612B9B" w:rsidRPr="00601FD1">
        <w:t xml:space="preserve">USGS </w:t>
      </w:r>
      <w:r w:rsidRPr="00601FD1">
        <w:t>earth explorer website. The geological map sheet of Asella, Dodola, Ginnir, and Megallo was collected from the geological survey of Ethiopia.</w:t>
      </w:r>
    </w:p>
    <w:p w:rsidR="0057543B" w:rsidRPr="00601FD1" w:rsidRDefault="0057543B" w:rsidP="008D3D8E">
      <w:pPr>
        <w:pStyle w:val="ListParagraph"/>
        <w:numPr>
          <w:ilvl w:val="0"/>
          <w:numId w:val="6"/>
        </w:numPr>
      </w:pPr>
      <w:r w:rsidRPr="00601FD1">
        <w:t>Preparation of Satellite Imagery</w:t>
      </w:r>
    </w:p>
    <w:p w:rsidR="0073361A" w:rsidRPr="00601FD1" w:rsidRDefault="0057543B" w:rsidP="00C34AE4">
      <w:r w:rsidRPr="00601FD1">
        <w:t xml:space="preserve">The satellite </w:t>
      </w:r>
      <w:r w:rsidR="00101843" w:rsidRPr="00601FD1">
        <w:t>image of 2019 was</w:t>
      </w:r>
      <w:r w:rsidRPr="00601FD1">
        <w:t xml:space="preserve"> used for LU/LC classification and lineament extraction. To </w:t>
      </w:r>
      <w:r w:rsidR="009E3E98" w:rsidRPr="00601FD1">
        <w:t>prepare the</w:t>
      </w:r>
      <w:r w:rsidRPr="00601FD1">
        <w:t xml:space="preserve"> thematic map of LU</w:t>
      </w:r>
      <w:r w:rsidR="00ED4E6F" w:rsidRPr="00601FD1">
        <w:t>/</w:t>
      </w:r>
      <w:r w:rsidRPr="00601FD1">
        <w:t xml:space="preserve">LC </w:t>
      </w:r>
      <w:r w:rsidR="009E3E98" w:rsidRPr="00601FD1">
        <w:t xml:space="preserve">and lineament density </w:t>
      </w:r>
      <w:r w:rsidRPr="00601FD1">
        <w:t>the Landsat imageries are mosaicked an</w:t>
      </w:r>
      <w:r w:rsidR="0073361A" w:rsidRPr="00601FD1">
        <w:t xml:space="preserve">d extracted for the study area. </w:t>
      </w:r>
      <w:r w:rsidRPr="00601FD1">
        <w:t xml:space="preserve">The pre-processing </w:t>
      </w:r>
      <w:r w:rsidR="00101843" w:rsidRPr="00601FD1">
        <w:t>procedure includes</w:t>
      </w:r>
      <w:r w:rsidRPr="00601FD1">
        <w:t xml:space="preserve"> importing an image, image correctio</w:t>
      </w:r>
      <w:r w:rsidR="001E23CB">
        <w:t>n, layer stacking, image mosaic</w:t>
      </w:r>
      <w:r w:rsidRPr="00601FD1">
        <w:t xml:space="preserve"> and geo-referencing to</w:t>
      </w:r>
      <w:r w:rsidR="00632F96" w:rsidRPr="00601FD1">
        <w:t xml:space="preserve"> countries coordinate system i.e. </w:t>
      </w:r>
      <w:r w:rsidR="00522BD9" w:rsidRPr="00601FD1">
        <w:t>WGS 1984 datum, N</w:t>
      </w:r>
      <w:r w:rsidRPr="00601FD1">
        <w:t xml:space="preserve">orthern hemisphere, UTM zone 37. </w:t>
      </w:r>
    </w:p>
    <w:p w:rsidR="00115204" w:rsidRDefault="0057543B" w:rsidP="00C34AE4">
      <w:r w:rsidRPr="00601FD1">
        <w:t xml:space="preserve">In order to identify surface features in the study area the images are composed in different ways. True color composite usually known by RGB 321 combination were band 3 reflects red color, band 2 reflects green and band 1 reflects blue color. Another composite called "false color composite" which uses an RGB combination of 432. In this band combination band 4 represents the NIR infrared, band 3 belongs to red and band 2 to green. </w:t>
      </w:r>
    </w:p>
    <w:p w:rsidR="0057543B" w:rsidRPr="00601FD1" w:rsidRDefault="0057543B" w:rsidP="00C34AE4">
      <w:r w:rsidRPr="00601FD1">
        <w:lastRenderedPageBreak/>
        <w:t>This combination gives better visualization in identifying vegetation which looks red in 432 combinations.</w:t>
      </w:r>
    </w:p>
    <w:p w:rsidR="0057543B" w:rsidRPr="00601FD1" w:rsidRDefault="0057543B" w:rsidP="008D3D8E">
      <w:pPr>
        <w:pStyle w:val="ListParagraph"/>
        <w:numPr>
          <w:ilvl w:val="0"/>
          <w:numId w:val="6"/>
        </w:numPr>
      </w:pPr>
      <w:r w:rsidRPr="00601FD1">
        <w:t xml:space="preserve">Digital Elevation Model (DEM) Processing </w:t>
      </w:r>
    </w:p>
    <w:p w:rsidR="0057543B" w:rsidRPr="00601FD1" w:rsidRDefault="0057543B" w:rsidP="00C34AE4">
      <w:r w:rsidRPr="00601FD1">
        <w:t xml:space="preserve">DEM is a digital topographic map, which contains the elevation of all points located in the region. It </w:t>
      </w:r>
      <w:r w:rsidR="0091561F" w:rsidRPr="00601FD1">
        <w:t>was</w:t>
      </w:r>
      <w:r w:rsidRPr="00601FD1">
        <w:t xml:space="preserve"> preprocessed before using for further application. Imperfections related to cell that does not have an associated drainage value</w:t>
      </w:r>
      <w:r w:rsidR="0091561F" w:rsidRPr="00601FD1">
        <w:t>s</w:t>
      </w:r>
      <w:r w:rsidRPr="00601FD1">
        <w:t xml:space="preserve"> are filled with the elevation o</w:t>
      </w:r>
      <w:r w:rsidR="001E23CB">
        <w:t>f lowest neighbor. A 30*30-m</w:t>
      </w:r>
      <w:r w:rsidRPr="00601FD1">
        <w:t xml:space="preserve"> resolution DEM were processed for watershed delineatio</w:t>
      </w:r>
      <w:r w:rsidR="001E23CB">
        <w:t>n and drainage line extraction</w:t>
      </w:r>
      <w:r w:rsidRPr="00601FD1">
        <w:t xml:space="preserve">. The </w:t>
      </w:r>
      <w:r w:rsidR="00A327D4" w:rsidRPr="00601FD1">
        <w:t xml:space="preserve">geomorphological landforms, </w:t>
      </w:r>
      <w:r w:rsidRPr="00601FD1">
        <w:t>slope</w:t>
      </w:r>
      <w:r w:rsidR="0075445D" w:rsidRPr="00601FD1">
        <w:t xml:space="preserve"> and </w:t>
      </w:r>
      <w:r w:rsidR="004603BB" w:rsidRPr="00601FD1">
        <w:t xml:space="preserve">elevation </w:t>
      </w:r>
      <w:r w:rsidR="0075445D" w:rsidRPr="00601FD1">
        <w:t>map of study area we</w:t>
      </w:r>
      <w:r w:rsidRPr="00601FD1">
        <w:t xml:space="preserve">re prepared from DEM by using </w:t>
      </w:r>
      <w:r w:rsidR="0075445D" w:rsidRPr="00601FD1">
        <w:t xml:space="preserve">SAGA GIS and </w:t>
      </w:r>
      <w:r w:rsidRPr="00601FD1">
        <w:t>Arc</w:t>
      </w:r>
      <w:r w:rsidR="00021E68" w:rsidRPr="00601FD1">
        <w:t>GIS 10.5 software, respectively.</w:t>
      </w:r>
    </w:p>
    <w:p w:rsidR="00720BC7" w:rsidRPr="00601FD1" w:rsidRDefault="00FC2F0A" w:rsidP="00C34AE4">
      <w:pPr>
        <w:pStyle w:val="Heading4"/>
        <w:numPr>
          <w:ilvl w:val="3"/>
          <w:numId w:val="1"/>
        </w:numPr>
        <w:spacing w:before="120" w:after="120"/>
      </w:pPr>
      <w:r w:rsidRPr="00601FD1">
        <w:t xml:space="preserve">Preparation of </w:t>
      </w:r>
      <w:r w:rsidR="00720BC7" w:rsidRPr="00601FD1">
        <w:t xml:space="preserve">Thematic Maps </w:t>
      </w:r>
    </w:p>
    <w:p w:rsidR="00720BC7" w:rsidRPr="00601FD1" w:rsidRDefault="00EE2330" w:rsidP="00C34AE4">
      <w:r w:rsidRPr="00601FD1">
        <w:t>Parameters influencing groundwater potential and their relative importance were</w:t>
      </w:r>
      <w:r w:rsidR="00720BC7" w:rsidRPr="00601FD1">
        <w:t xml:space="preserve"> reviewed from previous literature and hydrological experts. In process of identification and evaluation of criteria, nine (9) factors affecting groundwater potential was considered. Satellite imagery, DEM, soil, geology, and other existing tabular and map data was used for preparation of thematic layers. In determining the level of desirability of </w:t>
      </w:r>
      <w:r w:rsidR="0046469A" w:rsidRPr="00601FD1">
        <w:t>the</w:t>
      </w:r>
      <w:r w:rsidR="00720BC7" w:rsidRPr="00601FD1">
        <w:t xml:space="preserve"> </w:t>
      </w:r>
      <w:r w:rsidR="0046469A" w:rsidRPr="00601FD1">
        <w:t>attributes</w:t>
      </w:r>
      <w:r w:rsidR="002A03B1" w:rsidRPr="00601FD1">
        <w:t xml:space="preserve"> </w:t>
      </w:r>
      <w:r w:rsidR="00720BC7" w:rsidRPr="00601FD1">
        <w:t>diffe</w:t>
      </w:r>
      <w:r w:rsidR="0046469A" w:rsidRPr="00601FD1">
        <w:t>rent measurements and ranges were</w:t>
      </w:r>
      <w:r w:rsidR="00720BC7" w:rsidRPr="00601FD1">
        <w:t xml:space="preserve"> reviewed from literatures and used.</w:t>
      </w:r>
    </w:p>
    <w:p w:rsidR="00720BC7" w:rsidRPr="00601FD1" w:rsidRDefault="00720BC7" w:rsidP="008D3D8E">
      <w:pPr>
        <w:pStyle w:val="ListParagraph"/>
        <w:numPr>
          <w:ilvl w:val="0"/>
          <w:numId w:val="7"/>
        </w:numPr>
      </w:pPr>
      <w:r w:rsidRPr="00601FD1">
        <w:t>Geomorphological Landforms Thematic Map</w:t>
      </w:r>
    </w:p>
    <w:p w:rsidR="0073361A" w:rsidRPr="00601FD1" w:rsidRDefault="001E23CB" w:rsidP="00C34AE4">
      <w:r>
        <w:t xml:space="preserve">The geomorphology </w:t>
      </w:r>
      <w:r w:rsidR="00720BC7" w:rsidRPr="00601FD1">
        <w:t xml:space="preserve">thematic map of study area was prepared by topographic position index (TPI) methods of landform classification </w:t>
      </w:r>
      <w:r w:rsidR="00720BC7" w:rsidRPr="00601FD1">
        <w:rPr>
          <w:rStyle w:val="FootnoteReference"/>
        </w:rPr>
        <w:fldChar w:fldCharType="begin" w:fldLock="1"/>
      </w:r>
      <w:r w:rsidR="00A309A8">
        <w:instrText>ADDIN CSL_CITATION {"citationItems":[{"id":"ITEM-1","itemData":{"author":[{"dropping-particle":"","family":"Gebru","given":"Hindeya","non-dropping-particle":"","parse-names":false,"suffix":""},{"dropping-particle":"","family":"Gebreyohannes","given":"Tesfamichael","non-dropping-particle":"","parse-names":false,"suffix":""},{"dropping-particle":"","family":"Hagos","given":"Ermias","non-dropping-particle":"","parse-names":false,"suffix":""}],"container-title":"International journal of advanced Remote Sensing and GIS","id":"ITEM-1","issue":"1","issued":{"date-parts":[["2020"]]},"page":"3289-3311","title":"Identification of groundwater potential zones using Analytical Hierarchy Process (AHP) and GIS-Remote Sensing integration, the case of Golina River Basin, Northern Ethiopia","type":"article-journal","volume":"9"},"uris":["http://www.mendeley.com/documents/?uuid=3e225bc8-36b1-425b-83b4-94cfacfd37f8","http://www.mendeley.com/documents/?uuid=63c7fd8b-fe9b-4d39-8769-bb3519cffdbe"]}],"mendeley":{"formattedCitation":"(Gebru et al., 2020)","plainTextFormattedCitation":"(Gebru et al., 2020)","previouslyFormattedCitation":"(Gebru et al., 2020)"},"properties":{"noteIndex":0},"schema":"https://github.com/citation-style-language/schema/raw/master/csl-citation.json"}</w:instrText>
      </w:r>
      <w:r w:rsidR="00720BC7" w:rsidRPr="00601FD1">
        <w:rPr>
          <w:rStyle w:val="FootnoteReference"/>
        </w:rPr>
        <w:fldChar w:fldCharType="separate"/>
      </w:r>
      <w:r w:rsidR="00720BC7" w:rsidRPr="00601FD1">
        <w:rPr>
          <w:noProof/>
        </w:rPr>
        <w:t>(Gebru et al., 2020)</w:t>
      </w:r>
      <w:r w:rsidR="00720BC7" w:rsidRPr="00601FD1">
        <w:rPr>
          <w:rStyle w:val="FootnoteReference"/>
        </w:rPr>
        <w:fldChar w:fldCharType="end"/>
      </w:r>
      <w:r w:rsidR="00720BC7" w:rsidRPr="00601FD1">
        <w:t xml:space="preserve">. SAGA GIS software was </w:t>
      </w:r>
      <w:r w:rsidR="00613AB6" w:rsidRPr="00601FD1">
        <w:t>employed</w:t>
      </w:r>
      <w:r w:rsidR="00720BC7" w:rsidRPr="00601FD1">
        <w:t xml:space="preserve"> as it provides simple process for sophisticated hy</w:t>
      </w:r>
      <w:r w:rsidR="00D678D1">
        <w:t>drological and terrain modelling (Fisher et al., 2017).</w:t>
      </w:r>
      <w:r w:rsidR="00012D60">
        <w:t xml:space="preserve"> </w:t>
      </w:r>
      <w:r w:rsidR="00FE5C41" w:rsidRPr="00601FD1">
        <w:t xml:space="preserve">The </w:t>
      </w:r>
      <w:r w:rsidR="003B5DF6" w:rsidRPr="00601FD1">
        <w:t xml:space="preserve">preprocessed </w:t>
      </w:r>
      <w:r w:rsidR="00FE5C41" w:rsidRPr="00601FD1">
        <w:t xml:space="preserve">SRTM DEM </w:t>
      </w:r>
      <w:r w:rsidR="00720BC7" w:rsidRPr="00601FD1">
        <w:t xml:space="preserve">of 30*30m resolution </w:t>
      </w:r>
      <w:r w:rsidR="003B5DF6" w:rsidRPr="00601FD1">
        <w:t xml:space="preserve">was </w:t>
      </w:r>
      <w:r w:rsidR="00720BC7" w:rsidRPr="00601FD1">
        <w:t xml:space="preserve">used for landform classification </w:t>
      </w:r>
      <w:r w:rsidR="00720BC7" w:rsidRPr="00601FD1">
        <w:rPr>
          <w:rStyle w:val="FootnoteReference"/>
        </w:rPr>
        <w:fldChar w:fldCharType="begin" w:fldLock="1"/>
      </w:r>
      <w:r w:rsidR="00A309A8">
        <w:instrText>ADDIN CSL_CITATION {"citationItems":[{"id":"ITEM-1","itemData":{"ISSN":"0169555X","abstract":"We introduce an object-based method to automatically classify topography from SRTM data. The new method relies on the concept of decomposing land-surface complexity into more homogeneous domains. An elevation layer is automatically segmented and classified at three scale levels that represent domains of complexity by using self-adaptive, data-driven techniques. For each domain, scales in the data are detected with the help of local variance and segmentation is performed at these appropriate scales. Objects resulting from segmentation are partitioned into sub-domains based on thresholds given by the mean values of elevation and standard deviation of elevation respectively. Results resemble reasonably patterns of existing global and regional classifications, displaying a level of detail close to manually drawn maps. Statistical evaluation indicates that most of classes satisfy the regionalization requirements of maximizing internal homogeneity while minimizing external homogeneity. Most objects have boundaries matching natural discontinuities at regional level. The method is simple and fully automated. The input data consist of only one layer, which does not need any pre-processing. Both segmentation and classification rely on only two parameters: elevation and standard deviation of elevation. The methodology is implemented as a customized process for the eCognition® software, available as online download. The results are embedded in a web application with functionalities of visualization and download. © 2011 Elsevier B.V..","author":[{"dropping-particle":"","family":"Drǎguţ","given":"Lucian","non-dropping-particle":"","parse-names":false,"suffix":""},{"dropping-particle":"","family":"Eisank","given":"Clemens","non-dropping-particle":"","parse-names":false,"suffix":""}],"container-title":"Geomorphology","id":"ITEM-1","issued":{"date-parts":[["2012"]]},"page":"21-33","title":"Automated object-based classification of topography from SRTM data","type":"article-journal","volume":"141-142"},"uris":["http://www.mendeley.com/documents/?uuid=8dca8f8d-e757-4147-8c2c-d263253161d6","http://www.mendeley.com/documents/?uuid=6ff1b31c-f118-4e0c-95c5-65597a85028a"]}],"mendeley":{"formattedCitation":"(Drǎguţ &amp; Eisank, 2012)","manualFormatting":"(Drǎguţ and Eisank, 2012)","plainTextFormattedCitation":"(Drǎguţ &amp; Eisank, 2012)","previouslyFormattedCitation":"(Drǎguţ &amp; Eisank, 2012)"},"properties":{"noteIndex":0},"schema":"https://github.com/citation-style-language/schema/raw/master/csl-citation.json"}</w:instrText>
      </w:r>
      <w:r w:rsidR="00720BC7" w:rsidRPr="00601FD1">
        <w:rPr>
          <w:rStyle w:val="FootnoteReference"/>
        </w:rPr>
        <w:fldChar w:fldCharType="separate"/>
      </w:r>
      <w:r w:rsidR="00720BC7" w:rsidRPr="00601FD1">
        <w:rPr>
          <w:bCs/>
          <w:noProof/>
        </w:rPr>
        <w:t xml:space="preserve">(Drǎguţ </w:t>
      </w:r>
      <w:r w:rsidR="00F63890" w:rsidRPr="00601FD1">
        <w:rPr>
          <w:bCs/>
          <w:noProof/>
        </w:rPr>
        <w:t>and</w:t>
      </w:r>
      <w:r w:rsidR="00720BC7" w:rsidRPr="00601FD1">
        <w:rPr>
          <w:bCs/>
          <w:noProof/>
        </w:rPr>
        <w:t xml:space="preserve"> Eisank, 2012)</w:t>
      </w:r>
      <w:r w:rsidR="00720BC7" w:rsidRPr="00601FD1">
        <w:rPr>
          <w:rStyle w:val="FootnoteReference"/>
        </w:rPr>
        <w:fldChar w:fldCharType="end"/>
      </w:r>
      <w:r w:rsidR="00CF2276" w:rsidRPr="00601FD1">
        <w:t>.</w:t>
      </w:r>
      <w:r w:rsidR="0073361A" w:rsidRPr="00601FD1">
        <w:t xml:space="preserve"> TPI compares the elevation of each cell in a DEM to the mean elevation of a specified neighborhood around that cell. Positive TPI values represent locations that are higher than the average of their surroundings. Negative TPI values represent locations that are lower than their surroundings. </w:t>
      </w:r>
    </w:p>
    <w:p w:rsidR="00115204" w:rsidRDefault="0073361A" w:rsidP="0073361A">
      <w:r w:rsidRPr="00601FD1">
        <w:t xml:space="preserve">The TPI values near zero indicates either flat areas or areas of constant slope </w:t>
      </w:r>
      <w:r w:rsidRPr="00601FD1">
        <w:rPr>
          <w:rStyle w:val="FootnoteReference"/>
        </w:rPr>
        <w:fldChar w:fldCharType="begin" w:fldLock="1"/>
      </w:r>
      <w:r w:rsidR="00A309A8">
        <w:instrText>ADDIN CSL_CITATION {"citationItems":[{"id":"ITEM-1","itemData":{"author":[{"dropping-particle":"","family":"Jones","given":"K. B.","non-dropping-particle":"","parse-names":false,"suffix":""},{"dropping-particle":"","family":"Heggem","given":"D.T.","non-dropping-particle":"","parse-names":false,"suffix":""},{"dropping-particle":"","family":"Wade","given":"T.G.","non-dropping-particle":"","parse-names":false,"suffix":""},{"dropping-particle":"","family":"Neale","given":"A.C.","non-dropping-particle":"","parse-names":false,"suffix":""},{"dropping-particle":"","family":"Ebert","given":"D.W.","non-dropping-particle":"","parse-names":false,"suffix":""},{"dropping-particle":"","family":"Nash","given":"M.S.","non-dropping-particle":"","parse-names":false,"suffix":""},{"dropping-particle":"","family":"Mehaffey","given":"M.H.","non-dropping-particle":"","parse-names":false,"suffix":""},{"dropping-particle":"","family":"Hermann","given":"K.A.","non-dropping-particle":"","parse-names":false,"suffix":""},{"dropping-particle":"","family":"Selle","given":"A.R.","non-dropping-particle":"","parse-names":false,"suffix":""},{"dropping-particle":"","family":"Augustine","given":"S.","non-dropping-particle":"","parse-names":false,"suffix":""},{"dropping-particle":"","family":"Goodman","given":"I.A.","non-dropping-particle":"","parse-names":false,"suffix":""},{"dropping-particle":"","family":"Pedersen","given":"J.","non-dropping-particle":"","parse-names":false,"suffix":""},{"dropping-particle":"","family":"Bolgrien","given":"D.","non-dropping-particle":"","parse-names":false,"suffix":""},{"dropping-particle":"","family":"Viger","given":"J.M.","non-dropping-particle":"","parse-names":false,"suffix":""},{"dropping-particle":"","family":"Chiang","given":"D.","non-dropping-particle":"","parse-names":false,"suffix":""},{"dropping-particle":"","family":"Lin","given":"C.J.","non-dropping-particle":"","parse-names":false,"suffix":""},{"dropping-particle":"","family":"Zhong","given":"Y.","non-dropping-particle":"","parse-names":false,"suffix":""},{"dropping-particle":"","family":"Baker","given":"J.","non-dropping-particle":"","parse-names":false,"suffix":""},{"dropping-particle":"Van","family":"Remortel","given":"R.D.","non-dropping-particle":"","parse-names":false,"suffix":""}],"container-title":"Environmental Monitoring and Assessment","id":"ITEM-1","issued":{"date-parts":[["2000"]]},"page":"227 – 245.","title":"Assessing Landscape Conditions Relative to Water Resources in the Western United States: A Strategic Approach.","type":"article-journal","volume":"64"},"uris":["http://www.mendeley.com/documents/?uuid=07e61d99-2dbc-4658-ae79-ada24a941785","http://www.mendeley.com/documents/?uuid=ea8c0d75-dc66-4fcb-bb56-a40e2f725229"]},{"id":"ITEM-2","itemData":{"ISBN":"9891780201","ISSN":"23915447","abstract":"This study is aimed at investigating the relationship between landform classification and vegetation in the southwest of Fars province, Iran. First, topographic position index (TPI) is used to perform landform classification using a Shuttle Radar Topography Mission (SRTM) digital elevation model (DEM) with resolution of 30 m. The classification has ten classes; high ridges, midslope ridges, upland drainage, upper slopes, open slopes, plains, valleys, local ridges, midslope drainage and streams. Visual interpretation indicates that for the local, midslope and high ridge landforms, normalized difference vegetation index (NDVI) values and tree heights are higher as compared to the other landforms. In addition, it is found that there are positive and significant correlations betweenNDVI and tree height (r = 0.923), and landform and NDVI (r = 0.640). This shows that landform classification and NDVI can be used to predict tree height in the area. High correlation of determination (R2) 0.909 is obtained for the prediction of tree height using landform classification and NDVI.","author":[{"dropping-particle":"","family":"Mokarram","given":"Marzieh","non-dropping-particle":"","parse-names":false,"suffix":""},{"dropping-particle":"","family":"Sathyamoorthy","given":"Dinesh","non-dropping-particle":"","parse-names":false,"suffix":""}],"container-title":"Open Geosciences","id":"ITEM-2","issue":"1","issued":{"date-parts":[["2016"]]},"page":"302-309","title":"Relationship between landform classification and vegetation (case study: Southwest of Fars province, Iran)","type":"article-journal","volume":"8"},"uris":["http://www.mendeley.com/documents/?uuid=4e70f410-6f2f-4463-abdf-ee471f983a16","http://www.mendeley.com/documents/?uuid=89cb5a0c-9f8a-4f22-8841-34ca5c3b244a"]}],"mendeley":{"formattedCitation":"(Jones et al., 2000; Mokarram &amp; Sathyamoorthy, 2016)","manualFormatting":"(Jones et al., 2000; Mokarram and Sathyamoorthy, 2016)","plainTextFormattedCitation":"(Jones et al., 2000; Mokarram &amp; Sathyamoorthy, 2016)","previouslyFormattedCitation":"(Jones et al., 2000; Mokarram &amp; Sathyamoorthy, 2016)"},"properties":{"noteIndex":0},"schema":"https://github.com/citation-style-language/schema/raw/master/csl-citation.json"}</w:instrText>
      </w:r>
      <w:r w:rsidRPr="00601FD1">
        <w:rPr>
          <w:rStyle w:val="FootnoteReference"/>
        </w:rPr>
        <w:fldChar w:fldCharType="separate"/>
      </w:r>
      <w:r w:rsidRPr="00601FD1">
        <w:rPr>
          <w:noProof/>
        </w:rPr>
        <w:t>(Jones et al., 2000; Mokarram and Sathyamoorthy, 2016)</w:t>
      </w:r>
      <w:r w:rsidRPr="00601FD1">
        <w:rPr>
          <w:rStyle w:val="FootnoteReference"/>
        </w:rPr>
        <w:fldChar w:fldCharType="end"/>
      </w:r>
      <w:r w:rsidRPr="00601FD1">
        <w:t>. The relative weight classes and consistency ratio (CR) were computed depending on the contributions of landform (using AHP).</w:t>
      </w:r>
    </w:p>
    <w:p w:rsidR="0073361A" w:rsidRPr="00601FD1" w:rsidRDefault="0073361A" w:rsidP="0073361A">
      <w:r w:rsidRPr="00601FD1">
        <w:lastRenderedPageBreak/>
        <w:t>Considering the relative weight of classes the scale value was identified and the landform thematic map of study area was reclassified into five classes.</w:t>
      </w:r>
    </w:p>
    <w:p w:rsidR="00720BC7" w:rsidRPr="00601FD1" w:rsidRDefault="00720BC7" w:rsidP="00C34AE4">
      <w:pPr>
        <w:jc w:val="center"/>
      </w:pPr>
      <w:r w:rsidRPr="00601FD1">
        <w:rPr>
          <w:noProof/>
        </w:rPr>
        <w:drawing>
          <wp:inline distT="0" distB="0" distL="0" distR="0" wp14:anchorId="42949A6F" wp14:editId="59F55BA8">
            <wp:extent cx="5099608" cy="2879678"/>
            <wp:effectExtent l="19050" t="19050" r="25400" b="16510"/>
            <wp:docPr id="77"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183727" cy="2927179"/>
                    </a:xfrm>
                    <a:prstGeom prst="rect">
                      <a:avLst/>
                    </a:prstGeom>
                    <a:noFill/>
                    <a:ln w="12700">
                      <a:solidFill>
                        <a:schemeClr val="tx1"/>
                      </a:solidFill>
                    </a:ln>
                  </pic:spPr>
                </pic:pic>
              </a:graphicData>
            </a:graphic>
          </wp:inline>
        </w:drawing>
      </w:r>
    </w:p>
    <w:p w:rsidR="00720BC7" w:rsidRPr="00601FD1" w:rsidRDefault="00720BC7" w:rsidP="00C34AE4">
      <w:pPr>
        <w:keepNext/>
      </w:pPr>
      <w:bookmarkStart w:id="148" w:name="_Toc68761617"/>
      <w:r w:rsidRPr="00601FD1">
        <w:t xml:space="preserve">Figure </w:t>
      </w:r>
      <w:r w:rsidR="00515F3B">
        <w:rPr>
          <w:noProof/>
        </w:rPr>
        <w:fldChar w:fldCharType="begin"/>
      </w:r>
      <w:r w:rsidR="00515F3B">
        <w:rPr>
          <w:noProof/>
        </w:rPr>
        <w:instrText xml:space="preserve"> STYLEREF 1 \s </w:instrText>
      </w:r>
      <w:r w:rsidR="00515F3B">
        <w:rPr>
          <w:noProof/>
        </w:rPr>
        <w:fldChar w:fldCharType="separate"/>
      </w:r>
      <w:r w:rsidR="00BD510E">
        <w:rPr>
          <w:noProof/>
        </w:rPr>
        <w:t>3</w:t>
      </w:r>
      <w:r w:rsidR="00515F3B">
        <w:rPr>
          <w:noProof/>
        </w:rPr>
        <w:fldChar w:fldCharType="end"/>
      </w:r>
      <w:r w:rsidR="001342E5">
        <w:t>.</w:t>
      </w:r>
      <w:r w:rsidR="00515F3B">
        <w:rPr>
          <w:noProof/>
        </w:rPr>
        <w:fldChar w:fldCharType="begin"/>
      </w:r>
      <w:r w:rsidR="00515F3B">
        <w:rPr>
          <w:noProof/>
        </w:rPr>
        <w:instrText xml:space="preserve"> SEQ Figure \* ARABIC \s 1 </w:instrText>
      </w:r>
      <w:r w:rsidR="00515F3B">
        <w:rPr>
          <w:noProof/>
        </w:rPr>
        <w:fldChar w:fldCharType="separate"/>
      </w:r>
      <w:r w:rsidR="00BD510E">
        <w:rPr>
          <w:noProof/>
        </w:rPr>
        <w:t>7</w:t>
      </w:r>
      <w:r w:rsidR="00515F3B">
        <w:rPr>
          <w:noProof/>
        </w:rPr>
        <w:fldChar w:fldCharType="end"/>
      </w:r>
      <w:r w:rsidRPr="00601FD1">
        <w:t>: TPI and slope pos</w:t>
      </w:r>
      <w:r w:rsidR="00C60459" w:rsidRPr="00601FD1">
        <w:t>ition</w:t>
      </w:r>
      <w:r w:rsidRPr="00601FD1">
        <w:t xml:space="preserve">; Source: </w:t>
      </w:r>
      <w:r w:rsidRPr="00601FD1">
        <w:rPr>
          <w:rStyle w:val="FootnoteReference"/>
        </w:rPr>
        <w:fldChar w:fldCharType="begin" w:fldLock="1"/>
      </w:r>
      <w:r w:rsidR="00A309A8">
        <w:instrText>ADDIN CSL_CITATION {"citationItems":[{"id":"ITEM-1","itemData":{"author":[{"dropping-particle":"","family":"Jones","given":"K. B.","non-dropping-particle":"","parse-names":false,"suffix":""},{"dropping-particle":"","family":"Heggem","given":"D.T.","non-dropping-particle":"","parse-names":false,"suffix":""},{"dropping-particle":"","family":"Wade","given":"T.G.","non-dropping-particle":"","parse-names":false,"suffix":""},{"dropping-particle":"","family":"Neale","given":"A.C.","non-dropping-particle":"","parse-names":false,"suffix":""},{"dropping-particle":"","family":"Ebert","given":"D.W.","non-dropping-particle":"","parse-names":false,"suffix":""},{"dropping-particle":"","family":"Nash","given":"M.S.","non-dropping-particle":"","parse-names":false,"suffix":""},{"dropping-particle":"","family":"Mehaffey","given":"M.H.","non-dropping-particle":"","parse-names":false,"suffix":""},{"dropping-particle":"","family":"Hermann","given":"K.A.","non-dropping-particle":"","parse-names":false,"suffix":""},{"dropping-particle":"","family":"Selle","given":"A.R.","non-dropping-particle":"","parse-names":false,"suffix":""},{"dropping-particle":"","family":"Augustine","given":"S.","non-dropping-particle":"","parse-names":false,"suffix":""},{"dropping-particle":"","family":"Goodman","given":"I.A.","non-dropping-particle":"","parse-names":false,"suffix":""},{"dropping-particle":"","family":"Pedersen","given":"J.","non-dropping-particle":"","parse-names":false,"suffix":""},{"dropping-particle":"","family":"Bolgrien","given":"D.","non-dropping-particle":"","parse-names":false,"suffix":""},{"dropping-particle":"","family":"Viger","given":"J.M.","non-dropping-particle":"","parse-names":false,"suffix":""},{"dropping-particle":"","family":"Chiang","given":"D.","non-dropping-particle":"","parse-names":false,"suffix":""},{"dropping-particle":"","family":"Lin","given":"C.J.","non-dropping-particle":"","parse-names":false,"suffix":""},{"dropping-particle":"","family":"Zhong","given":"Y.","non-dropping-particle":"","parse-names":false,"suffix":""},{"dropping-particle":"","family":"Baker","given":"J.","non-dropping-particle":"","parse-names":false,"suffix":""},{"dropping-particle":"Van","family":"Remortel","given":"R.D.","non-dropping-particle":"","parse-names":false,"suffix":""}],"container-title":"Environmental Monitoring and Assessment","id":"ITEM-1","issued":{"date-parts":[["2000"]]},"page":"227 – 245.","title":"Assessing Landscape Conditions Relative to Water Resources in the Western United States: A Strategic Approach.","type":"article-journal","volume":"64"},"uris":["http://www.mendeley.com/documents/?uuid=ea8c0d75-dc66-4fcb-bb56-a40e2f725229","http://www.mendeley.com/documents/?uuid=07e61d99-2dbc-4658-ae79-ada24a941785"]}],"mendeley":{"formattedCitation":"(Jones et al., 2000)","plainTextFormattedCitation":"(Jones et al., 2000)","previouslyFormattedCitation":"(Jones et al., 2000)"},"properties":{"noteIndex":0},"schema":"https://github.com/citation-style-language/schema/raw/master/csl-citation.json"}</w:instrText>
      </w:r>
      <w:r w:rsidRPr="00601FD1">
        <w:rPr>
          <w:rStyle w:val="FootnoteReference"/>
        </w:rPr>
        <w:fldChar w:fldCharType="separate"/>
      </w:r>
      <w:r w:rsidRPr="00601FD1">
        <w:rPr>
          <w:noProof/>
        </w:rPr>
        <w:t>(Jones et al., 2000)</w:t>
      </w:r>
      <w:bookmarkEnd w:id="148"/>
      <w:r w:rsidRPr="00601FD1">
        <w:rPr>
          <w:rStyle w:val="FootnoteReference"/>
        </w:rPr>
        <w:fldChar w:fldCharType="end"/>
      </w:r>
    </w:p>
    <w:p w:rsidR="00720BC7" w:rsidRPr="00601FD1" w:rsidRDefault="00720BC7" w:rsidP="008D3D8E">
      <w:pPr>
        <w:pStyle w:val="ListParagraph"/>
        <w:numPr>
          <w:ilvl w:val="0"/>
          <w:numId w:val="7"/>
        </w:numPr>
      </w:pPr>
      <w:r w:rsidRPr="00601FD1">
        <w:t xml:space="preserve">Lineament Density Map </w:t>
      </w:r>
    </w:p>
    <w:p w:rsidR="00720BC7" w:rsidRPr="00601FD1" w:rsidRDefault="00720BC7" w:rsidP="00C34AE4">
      <w:r w:rsidRPr="00601FD1">
        <w:t xml:space="preserve">The lineament of study area was extracted from satellite image by using Geomatics technique. The PCI Geomatics software </w:t>
      </w:r>
      <w:r w:rsidR="00A5721A" w:rsidRPr="00601FD1">
        <w:t>simplifies</w:t>
      </w:r>
      <w:r w:rsidRPr="00601FD1">
        <w:t xml:space="preserve"> extraction of lineament</w:t>
      </w:r>
      <w:r w:rsidR="004F507A" w:rsidRPr="00601FD1">
        <w:t>s</w:t>
      </w:r>
      <w:r w:rsidRPr="00601FD1">
        <w:t xml:space="preserve"> through algorithm librarian tools by using lineament extraction under line tools. The </w:t>
      </w:r>
      <w:r w:rsidR="004F507A" w:rsidRPr="00601FD1">
        <w:t xml:space="preserve">preprocessed </w:t>
      </w:r>
      <w:r w:rsidRPr="00601FD1">
        <w:t xml:space="preserve">satellite image of an area has been analyzed to detect the </w:t>
      </w:r>
      <w:r w:rsidR="00986402" w:rsidRPr="00601FD1">
        <w:t>lineaments (Figure 4.3).</w:t>
      </w:r>
      <w:r w:rsidRPr="00601FD1">
        <w:t xml:space="preserve"> Rockwork 16 software was </w:t>
      </w:r>
      <w:r w:rsidR="00BB4923" w:rsidRPr="00601FD1">
        <w:t>employed</w:t>
      </w:r>
      <w:r w:rsidR="00986402" w:rsidRPr="00601FD1">
        <w:t xml:space="preserve"> for plotting the rose diagram showing the orientations of geological structures</w:t>
      </w:r>
      <w:r w:rsidR="004546FC" w:rsidRPr="00601FD1">
        <w:t>. T</w:t>
      </w:r>
      <w:r w:rsidRPr="00601FD1">
        <w:t>he</w:t>
      </w:r>
      <w:r w:rsidR="004546FC" w:rsidRPr="00601FD1">
        <w:t xml:space="preserve"> </w:t>
      </w:r>
      <w:r w:rsidRPr="00601FD1">
        <w:t xml:space="preserve">extracted lineament </w:t>
      </w:r>
      <w:r w:rsidR="00AB54A0" w:rsidRPr="00601FD1">
        <w:t>was</w:t>
      </w:r>
      <w:r w:rsidRPr="00601FD1">
        <w:t xml:space="preserve"> processed on ArcGIS 10.5 to prepare </w:t>
      </w:r>
      <w:r w:rsidR="002E14E7" w:rsidRPr="00601FD1">
        <w:t xml:space="preserve">the </w:t>
      </w:r>
      <w:r w:rsidRPr="00601FD1">
        <w:t>lineament densi</w:t>
      </w:r>
      <w:r w:rsidR="003D5107" w:rsidRPr="00601FD1">
        <w:t>ty</w:t>
      </w:r>
      <w:r w:rsidR="000B4411" w:rsidRPr="00601FD1">
        <w:t xml:space="preserve"> map</w:t>
      </w:r>
      <w:r w:rsidR="00012D60">
        <w:t xml:space="preserve">. </w:t>
      </w:r>
      <w:r w:rsidR="003D5107" w:rsidRPr="00601FD1">
        <w:t>The relative weight and CR value</w:t>
      </w:r>
      <w:r w:rsidRPr="00601FD1">
        <w:t xml:space="preserve"> of lineament density was computed through </w:t>
      </w:r>
      <w:r w:rsidR="003D5107" w:rsidRPr="00601FD1">
        <w:t>AHP</w:t>
      </w:r>
      <w:r w:rsidRPr="00601FD1">
        <w:t xml:space="preserve"> (Ta</w:t>
      </w:r>
      <w:r w:rsidR="003355FC" w:rsidRPr="00601FD1">
        <w:t>ble 4.2</w:t>
      </w:r>
      <w:r w:rsidR="00C112DC" w:rsidRPr="00601FD1">
        <w:t xml:space="preserve">). </w:t>
      </w:r>
      <w:r w:rsidR="003D5107" w:rsidRPr="00601FD1">
        <w:t xml:space="preserve">The relative weight of classes was used for determining the </w:t>
      </w:r>
      <w:r w:rsidR="004E3999" w:rsidRPr="00601FD1">
        <w:t xml:space="preserve">clustered lineament density </w:t>
      </w:r>
      <w:r w:rsidR="003D5107" w:rsidRPr="00601FD1">
        <w:t xml:space="preserve">scale value </w:t>
      </w:r>
      <w:r w:rsidR="00D3227B" w:rsidRPr="00601FD1">
        <w:t xml:space="preserve">which used for </w:t>
      </w:r>
      <w:r w:rsidR="004E3999" w:rsidRPr="00601FD1">
        <w:t>further</w:t>
      </w:r>
      <w:r w:rsidRPr="00601FD1">
        <w:t xml:space="preserve"> </w:t>
      </w:r>
      <w:r w:rsidR="00D3227B" w:rsidRPr="00601FD1">
        <w:t>reclassification</w:t>
      </w:r>
      <w:r w:rsidR="004E3999" w:rsidRPr="00601FD1">
        <w:t>.</w:t>
      </w:r>
    </w:p>
    <w:p w:rsidR="00720BC7" w:rsidRPr="00601FD1" w:rsidRDefault="00720BC7" w:rsidP="008D3D8E">
      <w:pPr>
        <w:pStyle w:val="ListParagraph"/>
        <w:numPr>
          <w:ilvl w:val="0"/>
          <w:numId w:val="7"/>
        </w:numPr>
      </w:pPr>
      <w:r w:rsidRPr="00601FD1">
        <w:t xml:space="preserve">Geology Thematic Map </w:t>
      </w:r>
    </w:p>
    <w:p w:rsidR="00115204" w:rsidRDefault="00720BC7" w:rsidP="00C34AE4">
      <w:r w:rsidRPr="00601FD1">
        <w:t>T</w:t>
      </w:r>
      <w:r w:rsidR="008E1C38" w:rsidRPr="00601FD1">
        <w:t>he geologic</w:t>
      </w:r>
      <w:r w:rsidRPr="00601FD1">
        <w:t xml:space="preserve"> thematic map of study area was prepared from the geological map sheets collected from </w:t>
      </w:r>
      <w:r w:rsidR="00115204">
        <w:t>GSE</w:t>
      </w:r>
      <w:r w:rsidR="00583014" w:rsidRPr="00601FD1">
        <w:t xml:space="preserve"> and </w:t>
      </w:r>
      <w:r w:rsidRPr="00601FD1">
        <w:t>MoWIE. The geological map sheets are compiled at different time by diving the study area into four regions, at scale of 1:250,000.</w:t>
      </w:r>
      <w:r w:rsidR="00687C47" w:rsidRPr="00601FD1">
        <w:t xml:space="preserve"> </w:t>
      </w:r>
      <w:r w:rsidRPr="00601FD1">
        <w:t xml:space="preserve">In order to prepare the geological map of Weyib Sub-basin the geological map sheet of Ginnir, Asella, Megallo and Dodola was geo-referenced, digitized and clipped by using the shapefile </w:t>
      </w:r>
      <w:r w:rsidR="008E1C38" w:rsidRPr="00601FD1">
        <w:t xml:space="preserve">of </w:t>
      </w:r>
      <w:r w:rsidRPr="00601FD1">
        <w:t>study area</w:t>
      </w:r>
      <w:r w:rsidR="00115204">
        <w:t>.</w:t>
      </w:r>
    </w:p>
    <w:p w:rsidR="00720BC7" w:rsidRPr="00601FD1" w:rsidRDefault="00720BC7" w:rsidP="00C34AE4">
      <w:r w:rsidRPr="00601FD1">
        <w:lastRenderedPageBreak/>
        <w:t>The relative weight</w:t>
      </w:r>
      <w:r w:rsidR="00213E08" w:rsidRPr="00601FD1">
        <w:t xml:space="preserve"> of lithological unit</w:t>
      </w:r>
      <w:r w:rsidR="00C33786" w:rsidRPr="00601FD1">
        <w:t>s</w:t>
      </w:r>
      <w:r w:rsidR="00213E08" w:rsidRPr="00601FD1">
        <w:t xml:space="preserve">, scale value and CR </w:t>
      </w:r>
      <w:r w:rsidR="00FA61CE" w:rsidRPr="00601FD1">
        <w:t xml:space="preserve">value </w:t>
      </w:r>
      <w:r w:rsidRPr="00601FD1">
        <w:t xml:space="preserve">of the matrix computed by AHP </w:t>
      </w:r>
      <w:r w:rsidR="00830B17" w:rsidRPr="00601FD1">
        <w:t>was</w:t>
      </w:r>
      <w:r w:rsidR="00037AF2" w:rsidRPr="00601FD1">
        <w:t xml:space="preserve"> tabulated in T</w:t>
      </w:r>
      <w:r w:rsidR="00FD7639" w:rsidRPr="00601FD1">
        <w:t>able 4.3</w:t>
      </w:r>
      <w:r w:rsidR="00037AF2" w:rsidRPr="00601FD1">
        <w:t xml:space="preserve"> </w:t>
      </w:r>
      <w:r w:rsidR="00037AF2" w:rsidRPr="00601FD1">
        <w:fldChar w:fldCharType="begin" w:fldLock="1"/>
      </w:r>
      <w:r w:rsidR="00A309A8">
        <w:instrText>ADDIN CSL_CITATION {"citationItems":[{"id":"ITEM-1","itemData":{"author":[{"dropping-particle":"","family":"Banti","given":"Bane Lammesa","non-dropping-particle":"","parse-names":false,"suffix":""}],"id":"ITEM-1","issued":{"date-parts":[["2017"]]},"number-of-pages":"1-66","publisher":"Addis Ababa University","title":"Groundwater potential and Recharge zone mapping by using GIS and Remote sensing Techniques in the case of Middle Awash River Basins, Ethiopia","type":"thesis"},"uris":["http://www.mendeley.com/documents/?uuid=85aca65d-bd3b-40c0-b3a3-985d9655a5bf","http://www.mendeley.com/documents/?uuid=ea6e7cb4-9f80-466b-b132-58c638a0accb"]},{"id":"ITEM-2","itemData":{"author":[{"dropping-particle":"","family":"Kidanu","given":"Kindeya","non-dropping-particle":"","parse-names":false,"suffix":""}],"id":"ITEM-2","issued":{"date-parts":[["2018"]]},"publisher":"Addis Ababa University","title":"Identification of Groundwater potential zone mapping using Remote Sensing and GIS techniques, incase of Inderta district, Ethiopia","type":"thesis"},"uris":["http://www.mendeley.com/documents/?uuid=a3b470d3-baa9-419d-9bf7-4738ac8431da","http://www.mendeley.com/documents/?uuid=ef694525-eeef-49eb-b41e-c594d5d81815","http://www.mendeley.com/documents/?uuid=096b6f1b-223b-4771-9142-1284492e4226"]}],"mendeley":{"formattedCitation":"(Banti, 2017; Kidanu, 2018)","plainTextFormattedCitation":"(Banti, 2017; Kidanu, 2018)","previouslyFormattedCitation":"(Banti, 2017; Kidanu, 2018)"},"properties":{"noteIndex":0},"schema":"https://github.com/citation-style-language/schema/raw/master/csl-citation.json"}</w:instrText>
      </w:r>
      <w:r w:rsidR="00037AF2" w:rsidRPr="00601FD1">
        <w:fldChar w:fldCharType="separate"/>
      </w:r>
      <w:r w:rsidR="00037AF2" w:rsidRPr="00601FD1">
        <w:rPr>
          <w:noProof/>
        </w:rPr>
        <w:t>(Banti, 2017; Kidanu, 2018)</w:t>
      </w:r>
      <w:r w:rsidR="00037AF2" w:rsidRPr="00601FD1">
        <w:fldChar w:fldCharType="end"/>
      </w:r>
      <w:r w:rsidRPr="00601FD1">
        <w:t>.</w:t>
      </w:r>
    </w:p>
    <w:p w:rsidR="00720BC7" w:rsidRPr="00601FD1" w:rsidRDefault="00720BC7" w:rsidP="008D3D8E">
      <w:pPr>
        <w:pStyle w:val="ListParagraph"/>
        <w:numPr>
          <w:ilvl w:val="0"/>
          <w:numId w:val="7"/>
        </w:numPr>
      </w:pPr>
      <w:r w:rsidRPr="00601FD1">
        <w:t xml:space="preserve">Rainfall Thematic Map </w:t>
      </w:r>
    </w:p>
    <w:p w:rsidR="00DD654D" w:rsidRPr="00601FD1" w:rsidRDefault="00720BC7" w:rsidP="00C34AE4">
      <w:pPr>
        <w:rPr>
          <w:rFonts w:eastAsia="Times New Roman"/>
        </w:rPr>
      </w:pPr>
      <w:r w:rsidRPr="00601FD1">
        <w:t>Meteorological data collected from NMSA, SOMSC and MoWIE for Agarfa, Bale Robe, Ginnir, Dinsho, Sinana, Sheneka, Arda Tere, Meskel Darkina, Goro, Goba, Dinkiti, Me</w:t>
      </w:r>
      <w:r w:rsidR="006374B2">
        <w:t>lka Buta, Delo Sebro and Sof-uma</w:t>
      </w:r>
      <w:r w:rsidRPr="00601FD1">
        <w:t>r stations. Except Arda Tere, Ginnir, Meskel Darkina, Goro, Melka Buta, and Delo Sebro weather station</w:t>
      </w:r>
      <w:r w:rsidR="000F7099" w:rsidRPr="00601FD1">
        <w:t>s</w:t>
      </w:r>
      <w:r w:rsidRPr="00601FD1">
        <w:t xml:space="preserve"> which found in the vicinity of sub-basin boundary, all the other stations are found within</w:t>
      </w:r>
      <w:r w:rsidR="004B45F7" w:rsidRPr="00601FD1">
        <w:t xml:space="preserve"> the Weyib Sub-basin (Figure 3.3</w:t>
      </w:r>
      <w:r w:rsidRPr="00601FD1">
        <w:t>).</w:t>
      </w:r>
      <w:r w:rsidR="00FA61CE" w:rsidRPr="00601FD1">
        <w:t xml:space="preserve"> </w:t>
      </w:r>
      <w:r w:rsidRPr="00601FD1">
        <w:t>The raw data of rainfall w</w:t>
      </w:r>
      <w:r w:rsidR="00107DA0" w:rsidRPr="00601FD1">
        <w:t xml:space="preserve">as checked for missing of data </w:t>
      </w:r>
      <w:r w:rsidRPr="00601FD1">
        <w:t>and consis</w:t>
      </w:r>
      <w:r w:rsidR="0060006D" w:rsidRPr="00601FD1">
        <w:t>tency in process of data analyse</w:t>
      </w:r>
      <w:r w:rsidR="00A37D88" w:rsidRPr="00601FD1">
        <w:t xml:space="preserve">s under </w:t>
      </w:r>
      <w:r w:rsidRPr="00601FD1">
        <w:t>Section 3.2</w:t>
      </w:r>
      <w:r w:rsidR="00EA6141" w:rsidRPr="00601FD1">
        <w:t>.1.1.</w:t>
      </w:r>
      <w:r w:rsidR="000333D2" w:rsidRPr="00601FD1">
        <w:t xml:space="preserve"> </w:t>
      </w:r>
      <w:r w:rsidR="000333D2" w:rsidRPr="00601FD1">
        <w:rPr>
          <w:rFonts w:eastAsia="Times New Roman"/>
        </w:rPr>
        <w:t>For non-uniformly dispersed weather stations the station-average method may not provide an areal average rainfall that reflects the actual sp</w:t>
      </w:r>
      <w:r w:rsidR="00410ECD" w:rsidRPr="00601FD1">
        <w:rPr>
          <w:rFonts w:eastAsia="Times New Roman"/>
        </w:rPr>
        <w:t xml:space="preserve">atial distribution of rainfall. </w:t>
      </w:r>
      <w:r w:rsidR="00494D38" w:rsidRPr="00601FD1">
        <w:rPr>
          <w:rFonts w:eastAsia="Times New Roman"/>
        </w:rPr>
        <w:t xml:space="preserve">Thiessen-polygon </w:t>
      </w:r>
      <w:r w:rsidR="00EB5105" w:rsidRPr="00601FD1">
        <w:rPr>
          <w:rFonts w:eastAsia="Times New Roman"/>
        </w:rPr>
        <w:t>method</w:t>
      </w:r>
      <w:r w:rsidR="00EB5105" w:rsidRPr="00601FD1">
        <w:t xml:space="preserve"> was</w:t>
      </w:r>
      <w:r w:rsidR="00494D38" w:rsidRPr="00601FD1">
        <w:t xml:space="preserve"> used </w:t>
      </w:r>
      <w:r w:rsidR="00750450" w:rsidRPr="00601FD1">
        <w:t xml:space="preserve">to </w:t>
      </w:r>
      <w:r w:rsidR="00FA61CE" w:rsidRPr="00601FD1">
        <w:t xml:space="preserve">extend the </w:t>
      </w:r>
      <w:r w:rsidRPr="00601FD1">
        <w:rPr>
          <w:rFonts w:eastAsia="Times New Roman"/>
        </w:rPr>
        <w:t>actual point storm events at weather stations to areal estimates over the entire sub-basin.</w:t>
      </w:r>
      <w:r w:rsidR="00410ECD" w:rsidRPr="00601FD1">
        <w:t xml:space="preserve"> </w:t>
      </w:r>
      <w:r w:rsidR="00D8490F" w:rsidRPr="00601FD1">
        <w:rPr>
          <w:rFonts w:eastAsia="Times New Roman"/>
        </w:rPr>
        <w:t xml:space="preserve">It provide some weightage to </w:t>
      </w:r>
      <w:r w:rsidRPr="00601FD1">
        <w:rPr>
          <w:rFonts w:eastAsia="Times New Roman"/>
        </w:rPr>
        <w:t xml:space="preserve">various stations on a rational basis. </w:t>
      </w:r>
    </w:p>
    <w:p w:rsidR="00687C47" w:rsidRPr="00601FD1" w:rsidRDefault="00D8490F" w:rsidP="00C34AE4">
      <w:r w:rsidRPr="00601FD1">
        <w:t xml:space="preserve">Thiessen polygon method is a good alternatives </w:t>
      </w:r>
      <w:r w:rsidR="00720BC7" w:rsidRPr="00601FD1">
        <w:rPr>
          <w:rFonts w:eastAsia="Times New Roman"/>
        </w:rPr>
        <w:t>in</w:t>
      </w:r>
      <w:r w:rsidR="00720BC7" w:rsidRPr="00601FD1">
        <w:t xml:space="preserve"> cases where there are large differences in the catches and the rain gages are not uniformly distributed throughou</w:t>
      </w:r>
      <w:r w:rsidRPr="00601FD1">
        <w:t xml:space="preserve">t the watershed </w:t>
      </w:r>
      <w:r w:rsidR="00720BC7" w:rsidRPr="00601FD1">
        <w:rPr>
          <w:rFonts w:eastAsia="Times New Roman"/>
        </w:rPr>
        <w:fldChar w:fldCharType="begin" w:fldLock="1"/>
      </w:r>
      <w:r w:rsidR="00A309A8">
        <w:rPr>
          <w:rFonts w:eastAsia="Times New Roman"/>
        </w:rPr>
        <w:instrText>ADDIN CSL_CITATION {"citationItems":[{"id":"ITEM-1","itemData":{"ISSN":"1945-3094","abstract":"Considering the rainfall’s importance in hydrological\\r\\nmodeling, the objective of this study was the performance comparison, in\\r\\nconvergence terms, of techniques often used to estimate the average rainfall\\r\\nover an area: Thiessen Polygon (TP) Method; Reciprocal Distance Squared (RDS)\\r\\nMethod; Kriging Method (KM) and Multiquadric Equations (ME) Method. The\\r\\ncomparison was done indirectly, using GORE and BALANCE index to assess the\\r\\nconvergence results from each method by increasing the rain gauges density in a\\r\\nregion, through six scenarios. The Coremas/Mae D’água Watershed\\r\\nemployed as study area, with an area of 8385 km2, is situated\\r\\non Brazilian semi-arid. The results showed the TP, as RDS and ME techniques to\\r\\nbe employed successfully to obtain the average rainfall over an area,\\r\\nhighlighting the MEM. On the other hand, KM, using two variograms models, had\\r\\nan unstable behavior, pointing the prior study of data and variogram’s choice\\r\\nas a need to practical applying.","author":[{"dropping-particle":"","family":"Barbalho","given":"Fernando D.","non-dropping-particle":"","parse-names":false,"suffix":""},{"dropping-particle":"","family":"DaSilva","given":"Gabriela F. N.","non-dropping-particle":"","parse-names":false,"suffix":""},{"dropping-particle":"","family":"Formiga","given":"Klebber T. M.","non-dropping-particle":"","parse-names":false,"suffix":""}],"container-title":"Journal of Water Resource and Protection","id":"ITEM-1","issue":"2","issued":{"date-parts":[["2014"]]},"page":"97-103","title":"Average rainfall estimation: Methods performance comparison in the Brazilian Semi-Arid","type":"article-journal","volume":"6"},"uris":["http://www.mendeley.com/documents/?uuid=fcdf275b-3c8c-4fbc-be1d-a01eb3f6248d","http://www.mendeley.com/documents/?uuid=acd6f5ce-82eb-42a0-b592-8b1ec26aecdf"]},{"id":"ITEM-2","itemData":{"ISBN":"978-0-07-064855-5","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approach.","author":[{"dropping-particle":"","family":"Subramanya","given":"K","non-dropping-particle":"","parse-names":false,"suffix":""}],"container-title":"Engineering hydrology","edition":"Third edit","editor":[{"dropping-particle":"","family":"Mukherjee","given":"Shukti","non-dropping-particle":"","parse-names":false,"suffix":""}],"id":"ITEM-2","issued":{"date-parts":[["2008"]]},"page":"26-37","publisher":"Tata McGraw-Hill publishing company limited","publisher-place":"7 West Patel Nagar, New Delhi 110008","title":"Engineering hydology","type":"chapter"},"uris":["http://www.mendeley.com/documents/?uuid=6fd62e81-c8a0-4ec0-bf46-ba12a153cd97","http://www.mendeley.com/documents/?uuid=1a27c914-fce0-486c-8cde-a4628e670456","http://www.mendeley.com/documents/?uuid=219a8783-bc9e-4037-9a91-1c8208528e70"]}],"mendeley":{"formattedCitation":"(Barbalho et al., 2014; Subramanya, 2008)","plainTextFormattedCitation":"(Barbalho et al., 2014; Subramanya, 2008)","previouslyFormattedCitation":"(Barbalho et al., 2014; Subramanya, 2008)"},"properties":{"noteIndex":0},"schema":"https://github.com/citation-style-language/schema/raw/master/csl-citation.json"}</w:instrText>
      </w:r>
      <w:r w:rsidR="00720BC7" w:rsidRPr="00601FD1">
        <w:rPr>
          <w:rFonts w:eastAsia="Times New Roman"/>
        </w:rPr>
        <w:fldChar w:fldCharType="separate"/>
      </w:r>
      <w:r w:rsidR="00720BC7" w:rsidRPr="00601FD1">
        <w:rPr>
          <w:rFonts w:eastAsia="Times New Roman"/>
          <w:noProof/>
        </w:rPr>
        <w:t>(Barbalho et al., 2014; Subramanya, 2008)</w:t>
      </w:r>
      <w:r w:rsidR="00720BC7" w:rsidRPr="00601FD1">
        <w:rPr>
          <w:rFonts w:eastAsia="Times New Roman"/>
        </w:rPr>
        <w:fldChar w:fldCharType="end"/>
      </w:r>
      <w:r w:rsidR="00720BC7" w:rsidRPr="00601FD1">
        <w:rPr>
          <w:rFonts w:eastAsia="Times New Roman"/>
        </w:rPr>
        <w:t xml:space="preserve">. </w:t>
      </w:r>
      <w:r w:rsidR="00720BC7" w:rsidRPr="00601FD1">
        <w:t xml:space="preserve">It is frequently used, easier and more reproducible method </w:t>
      </w:r>
      <w:r w:rsidR="00720BC7" w:rsidRPr="00601FD1">
        <w:rPr>
          <w:vertAlign w:val="superscript"/>
        </w:rPr>
        <w:fldChar w:fldCharType="begin" w:fldLock="1"/>
      </w:r>
      <w:r w:rsidR="00A309A8">
        <w:instrText>ADDIN CSL_CITATION {"citationItems":[{"id":"ITEM-1","itemData":{"DOI":"10.5194/hess-18-5289-2014","author":[{"dropping-particle":"","family":"Munyaneza","given":"O","non-dropping-particle":"","parse-names":false,"suffix":""},{"dropping-particle":"","family":"Mukubwa","given":"A","non-dropping-particle":"","parse-names":false,"suffix":""},{"dropping-particle":"","family":"Maskey","given":"S","non-dropping-particle":"","parse-names":false,"suffix":""},{"dropping-particle":"","family":"Uhlenbrook","given":"S","non-dropping-particle":"","parse-names":false,"suffix":""},{"dropping-particle":"","family":"Wenninger","given":"J","non-dropping-particle":"","parse-names":false,"suffix":""}],"id":"ITEM-1","issued":{"date-parts":[["2014"]]},"page":"5289-5301","title":"Assessment of surface water resources availability using catchment modelling and the results of tracer studies in the mesoscale Migina Catchment , Rwanda","type":"article-journal"},"uris":["http://www.mendeley.com/documents/?uuid=b61f407c-f6b2-4d34-ba37-8d11478a07de"]},{"id":"ITEM-2","itemData":{"ISSN":"02508060","abstract":"Ambitious plans for expanding the area under irrigation in Ethiopia have not been adequately underpinned by assessments of the actual potential. A detailed hydrogeological study was conducted in one of the focal areas for expansion, in the northern part of the country. The study revealed that there are large groundwater reserves within the valley floor's Quaternary alluvial sediments and underlying Tertiary fractured volcanic rocks. Levels of salinity and sodicity do not pose constraints for agricultural water use. In the valley-floor aquifers there would appear to be sufficient water to support large- and small-scale irrigation development. © 2013 2013 International Water Resources Association.","author":[{"dropping-particle":"","family":"Ayenew","given":"Tenalem","non-dropping-particle":"","parse-names":false,"suffix":""},{"dropping-particle":"","family":"GebreEgziabher","given":"Merhawi","non-dropping-particle":"","parse-names":false,"suffix":""},{"dropping-particle":"","family":"Kebede","given":"Seifu","non-dropping-particle":"","parse-names":false,"suffix":""},{"dropping-particle":"","family":"Mamo","given":"Sileshi","non-dropping-particle":"","parse-names":false,"suffix":""}],"container-title":"Water International","id":"ITEM-2","issue":"4","issued":{"date-parts":[["2013"]]},"page":"480-492","title":"Integrated assessment of hydrogeology and water quality for groundwater-based irrigation development in the Raya Valley, northern Ethiopia","type":"article-journal","volume":"38"},"uris":["http://www.mendeley.com/documents/?uuid=7b50ca47-4e37-4606-ae80-fc95bb1e5949","http://www.mendeley.com/documents/?uuid=9bfe81f0-f7db-4bf9-abd1-f4872d8b2653"]},{"id":"ITEM-3","itemData":{"author":[{"dropping-particle":"","family":"Doyo","given":"Diriba Worku","non-dropping-particle":"","parse-names":false,"suffix":""}],"id":"ITEM-3","issued":{"date-parts":[["2020"]]},"number-of-pages":"1-84","publisher":"Hawassa University","title":"Groundwater potential mapping using remote sensing and GIS techniques: the case of Meki watershed, Central Rift valley, Ethiopia","type":"thesis"},"uris":["http://www.mendeley.com/documents/?uuid=2751595d-7581-4867-a4a6-8a89444e1e59","http://www.mendeley.com/documents/?uuid=de24f4fb-afa8-4ca2-b379-e72af14d232b"]}],"mendeley":{"formattedCitation":"(Ayenew et al., 2013; Doyo, 2020; Munyaneza et al., 2014)","plainTextFormattedCitation":"(Ayenew et al., 2013; Doyo, 2020; Munyaneza et al., 2014)","previouslyFormattedCitation":"(Ayenew et al., 2013; Doyo, 2020; Munyaneza et al., 2014)"},"properties":{"noteIndex":0},"schema":"https://github.com/citation-style-language/schema/raw/master/csl-citation.json"}</w:instrText>
      </w:r>
      <w:r w:rsidR="00720BC7" w:rsidRPr="00601FD1">
        <w:rPr>
          <w:vertAlign w:val="superscript"/>
        </w:rPr>
        <w:fldChar w:fldCharType="separate"/>
      </w:r>
      <w:r w:rsidR="00720BC7" w:rsidRPr="00601FD1">
        <w:rPr>
          <w:bCs/>
          <w:noProof/>
        </w:rPr>
        <w:t>(Ayenew et al., 2013; Doyo, 2020; Munyaneza et al., 2014)</w:t>
      </w:r>
      <w:r w:rsidR="00720BC7" w:rsidRPr="00601FD1">
        <w:rPr>
          <w:vertAlign w:val="superscript"/>
        </w:rPr>
        <w:fldChar w:fldCharType="end"/>
      </w:r>
      <w:r w:rsidR="00F90871" w:rsidRPr="00601FD1">
        <w:t xml:space="preserve">. </w:t>
      </w:r>
      <w:r w:rsidR="00720BC7" w:rsidRPr="00601FD1">
        <w:t>Thiessen polygon method assigns weights to the rain gages according to the proportions of the total watershed area tha</w:t>
      </w:r>
      <w:r w:rsidR="002B289A" w:rsidRPr="00601FD1">
        <w:t xml:space="preserve">t are geographically closest to </w:t>
      </w:r>
      <w:r w:rsidR="00720BC7" w:rsidRPr="00601FD1">
        <w:t xml:space="preserve">the rain gages </w:t>
      </w:r>
      <w:r w:rsidR="00720BC7" w:rsidRPr="00601FD1">
        <w:rPr>
          <w:vertAlign w:val="superscript"/>
        </w:rPr>
        <w:fldChar w:fldCharType="begin" w:fldLock="1"/>
      </w:r>
      <w:r w:rsidR="00A309A8">
        <w:instrText>ADDIN CSL_CITATION {"citationItems":[{"id":"ITEM-1","itemData":{"ISSN":"1945-3094","abstract":"Considering the rainfall’s importance in hydrological\\r\\nmodeling, the objective of this study was the performance comparison, in\\r\\nconvergence terms, of techniques often used to estimate the average rainfall\\r\\nover an area: Thiessen Polygon (TP) Method; Reciprocal Distance Squared (RDS)\\r\\nMethod; Kriging Method (KM) and Multiquadric Equations (ME) Method. The\\r\\ncomparison was done indirectly, using GORE and BALANCE index to assess the\\r\\nconvergence results from each method by increasing the rain gauges density in a\\r\\nregion, through six scenarios. The Coremas/Mae D’água Watershed\\r\\nemployed as study area, with an area of 8385 km2, is situated\\r\\non Brazilian semi-arid. The results showed the TP, as RDS and ME techniques to\\r\\nbe employed successfully to obtain the average rainfall over an area,\\r\\nhighlighting the MEM. On the other hand, KM, using two variograms models, had\\r\\nan unstable behavior, pointing the prior study of data and variogram’s choice\\r\\nas a need to practical applying.","author":[{"dropping-particle":"","family":"Barbalho","given":"Fernando D.","non-dropping-particle":"","parse-names":false,"suffix":""},{"dropping-particle":"","family":"DaSilva","given":"Gabriela F. N.","non-dropping-particle":"","parse-names":false,"suffix":""},{"dropping-particle":"","family":"Formiga","given":"Klebber T. M.","non-dropping-particle":"","parse-names":false,"suffix":""}],"container-title":"Journal of Water Resource and Protection","id":"ITEM-1","issue":"2","issued":{"date-parts":[["2014"]]},"page":"97-103","title":"Average rainfall estimation: Methods performance comparison in the Brazilian Semi-Arid","type":"article-journal","volume":"6"},"uris":["http://www.mendeley.com/documents/?uuid=fcdf275b-3c8c-4fbc-be1d-a01eb3f6248d","http://www.mendeley.com/documents/?uuid=acd6f5ce-82eb-42a0-b592-8b1ec26aecdf"]},{"id":"ITEM-2","itemData":{"ISBN":"978-0-07-064855-5","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approach.","author":[{"dropping-particle":"","family":"Subramanya","given":"K","non-dropping-particle":"","parse-names":false,"suffix":""}],"container-title":"Engineering hydrology","edition":"Third edit","editor":[{"dropping-particle":"","family":"Mukherjee","given":"Shukti","non-dropping-particle":"","parse-names":false,"suffix":""}],"id":"ITEM-2","issued":{"date-parts":[["2008"]]},"page":"26-37","publisher":"Tata McGraw-Hill publishing company limited","publisher-place":"7 West Patel Nagar, New Delhi 110008","title":"Engineering hydology","type":"chapter"},"uris":["http://www.mendeley.com/documents/?uuid=6fd62e81-c8a0-4ec0-bf46-ba12a153cd97","http://www.mendeley.com/documents/?uuid=1a27c914-fce0-486c-8cde-a4628e670456","http://www.mendeley.com/documents/?uuid=5c151160-cbf5-4769-abc3-ef5127f29e57"]}],"mendeley":{"formattedCitation":"(Barbalho et al., 2014; Subramanya, 2008)","plainTextFormattedCitation":"(Barbalho et al., 2014; Subramanya, 2008)","previouslyFormattedCitation":"(Barbalho et al., 2014; Subramanya, 2008)"},"properties":{"noteIndex":0},"schema":"https://github.com/citation-style-language/schema/raw/master/csl-citation.json"}</w:instrText>
      </w:r>
      <w:r w:rsidR="00720BC7" w:rsidRPr="00601FD1">
        <w:rPr>
          <w:vertAlign w:val="superscript"/>
        </w:rPr>
        <w:fldChar w:fldCharType="separate"/>
      </w:r>
      <w:r w:rsidR="00720BC7" w:rsidRPr="00601FD1">
        <w:rPr>
          <w:noProof/>
        </w:rPr>
        <w:t>(Barbalho et al., 2014; Subramanya, 2008)</w:t>
      </w:r>
      <w:r w:rsidR="00720BC7" w:rsidRPr="00601FD1">
        <w:rPr>
          <w:vertAlign w:val="superscript"/>
        </w:rPr>
        <w:fldChar w:fldCharType="end"/>
      </w:r>
      <w:r w:rsidR="005C66B1" w:rsidRPr="00601FD1">
        <w:t xml:space="preserve">. </w:t>
      </w:r>
    </w:p>
    <w:p w:rsidR="00B57A0D" w:rsidRPr="00601FD1" w:rsidRDefault="00720BC7" w:rsidP="00C34AE4">
      <w:pPr>
        <w:rPr>
          <w:rFonts w:eastAsia="Times New Roman"/>
        </w:rPr>
      </w:pPr>
      <w:r w:rsidRPr="00601FD1">
        <w:t>If P</w:t>
      </w:r>
      <w:r w:rsidRPr="00601FD1">
        <w:rPr>
          <w:vertAlign w:val="subscript"/>
        </w:rPr>
        <w:t>1</w:t>
      </w:r>
      <w:r w:rsidRPr="00601FD1">
        <w:t xml:space="preserve"> P</w:t>
      </w:r>
      <w:r w:rsidRPr="00601FD1">
        <w:rPr>
          <w:vertAlign w:val="subscript"/>
        </w:rPr>
        <w:t>2</w:t>
      </w:r>
      <w:r w:rsidRPr="00601FD1">
        <w:t>, …., P</w:t>
      </w:r>
      <w:r w:rsidRPr="00601FD1">
        <w:rPr>
          <w:vertAlign w:val="subscript"/>
        </w:rPr>
        <w:t>6</w:t>
      </w:r>
      <w:r w:rsidRPr="00601FD1">
        <w:t xml:space="preserve"> are the rainfall magnitudes recorded by the stations 1, 2, …, 6 respectively, and A</w:t>
      </w:r>
      <w:r w:rsidRPr="00601FD1">
        <w:rPr>
          <w:vertAlign w:val="subscript"/>
        </w:rPr>
        <w:t>1</w:t>
      </w:r>
      <w:r w:rsidRPr="00601FD1">
        <w:t>, A</w:t>
      </w:r>
      <w:r w:rsidRPr="00601FD1">
        <w:rPr>
          <w:vertAlign w:val="subscript"/>
        </w:rPr>
        <w:t>2</w:t>
      </w:r>
      <w:r w:rsidRPr="00601FD1">
        <w:t>, …, A</w:t>
      </w:r>
      <w:r w:rsidRPr="00601FD1">
        <w:rPr>
          <w:vertAlign w:val="subscript"/>
        </w:rPr>
        <w:t>6</w:t>
      </w:r>
      <w:r w:rsidRPr="00601FD1">
        <w:t xml:space="preserve"> are the respective areas of the Thiessen polygons, then the average rainfall over the catchment </w:t>
      </w:r>
      <m:oMath>
        <m:acc>
          <m:accPr>
            <m:chr m:val="̅"/>
            <m:ctrlPr>
              <w:rPr>
                <w:rFonts w:ascii="Cambria Math" w:hAnsi="Cambria Math"/>
              </w:rPr>
            </m:ctrlPr>
          </m:accPr>
          <m:e>
            <m:r>
              <m:rPr>
                <m:sty m:val="p"/>
              </m:rPr>
              <w:rPr>
                <w:rFonts w:ascii="Cambria Math" w:hAnsi="Cambria Math"/>
              </w:rPr>
              <m:t>P</m:t>
            </m:r>
          </m:e>
        </m:acc>
      </m:oMath>
      <w:r w:rsidRPr="00601FD1">
        <w:t xml:space="preserve"> and </w:t>
      </w:r>
      <w:r w:rsidRPr="00601FD1">
        <w:rPr>
          <w:rFonts w:eastAsia="Times New Roman"/>
        </w:rPr>
        <w:t>for</w:t>
      </w:r>
      <w:r w:rsidRPr="00601FD1">
        <w:t xml:space="preserve"> M stations is given by</w:t>
      </w:r>
      <w:r w:rsidR="007073F4">
        <w:rPr>
          <w:rFonts w:eastAsia="Times New Roman"/>
        </w:rPr>
        <w:t xml:space="preserve"> Equation (3.3</w:t>
      </w:r>
      <w:r w:rsidRPr="00601FD1">
        <w:rPr>
          <w:rFonts w:eastAsia="Times New Roman"/>
        </w:rPr>
        <w:t xml:space="preserve">). </w:t>
      </w:r>
    </w:p>
    <w:p w:rsidR="00720BC7" w:rsidRPr="00C02489" w:rsidRDefault="00B24F7C" w:rsidP="00C34AE4">
      <m:oMath>
        <m:acc>
          <m:accPr>
            <m:chr m:val="̅"/>
            <m:ctrlPr>
              <w:rPr>
                <w:rFonts w:ascii="Cambria Math" w:hAnsi="Cambria Math"/>
              </w:rPr>
            </m:ctrlPr>
          </m:accPr>
          <m:e>
            <m:r>
              <m:rPr>
                <m:sty m:val="p"/>
              </m:rPr>
              <w:rPr>
                <w:rFonts w:ascii="Cambria Math" w:hAnsi="Cambria Math"/>
              </w:rPr>
              <m:t>P</m:t>
            </m:r>
          </m:e>
        </m:acc>
        <m:r>
          <m:rPr>
            <m:sty m:val="p"/>
          </m:rPr>
          <w:rPr>
            <w:rFonts w:ascii="Cambria Math" w:eastAsia="Times New Roman" w:hAnsi="Cambria Math"/>
          </w:rPr>
          <m:t>=</m:t>
        </m:r>
        <m:f>
          <m:fPr>
            <m:ctrlPr>
              <w:rPr>
                <w:rFonts w:ascii="Cambria Math" w:eastAsia="Times New Roman" w:hAnsi="Cambria Math"/>
              </w:rPr>
            </m:ctrlPr>
          </m:fPr>
          <m:num>
            <w:bookmarkStart w:id="149" w:name="_Hlk52020939"/>
            <m:sSub>
              <m:sSubPr>
                <m:ctrlPr>
                  <w:rPr>
                    <w:rFonts w:ascii="Cambria Math" w:eastAsia="Times New Roman" w:hAnsi="Cambria Math"/>
                  </w:rPr>
                </m:ctrlPr>
              </m:sSubPr>
              <m:e>
                <m:r>
                  <m:rPr>
                    <m:sty m:val="p"/>
                  </m:rPr>
                  <w:rPr>
                    <w:rFonts w:ascii="Cambria Math" w:eastAsia="Times New Roman" w:hAnsi="Cambria Math"/>
                  </w:rPr>
                  <m:t>P</m:t>
                </m:r>
              </m:e>
              <m:sub>
                <m:r>
                  <m:rPr>
                    <m:sty m:val="p"/>
                  </m:rPr>
                  <w:rPr>
                    <w:rFonts w:ascii="Cambria Math" w:eastAsia="Times New Roman" w:hAnsi="Cambria Math"/>
                  </w:rPr>
                  <m:t>1</m:t>
                </m:r>
              </m:sub>
            </m:sSub>
            <m:sSub>
              <m:sSubPr>
                <m:ctrlPr>
                  <w:rPr>
                    <w:rFonts w:ascii="Cambria Math" w:eastAsia="Times New Roman" w:hAnsi="Cambria Math"/>
                  </w:rPr>
                </m:ctrlPr>
              </m:sSubPr>
              <m:e>
                <m:r>
                  <m:rPr>
                    <m:sty m:val="p"/>
                  </m:rPr>
                  <w:rPr>
                    <w:rFonts w:ascii="Cambria Math" w:eastAsia="Times New Roman" w:hAnsi="Cambria Math"/>
                  </w:rPr>
                  <m:t>*A</m:t>
                </m:r>
              </m:e>
              <m:sub>
                <m:r>
                  <m:rPr>
                    <m:sty m:val="p"/>
                  </m:rPr>
                  <w:rPr>
                    <w:rFonts w:ascii="Cambria Math" w:eastAsia="Times New Roman" w:hAnsi="Cambria Math"/>
                  </w:rPr>
                  <m:t>1</m:t>
                </m:r>
              </m:sub>
            </m:sSub>
            <w:bookmarkEnd w:id="149"/>
            <m:r>
              <m:rPr>
                <m:sty m:val="p"/>
              </m:rPr>
              <w:rPr>
                <w:rFonts w:ascii="Cambria Math" w:eastAsia="Times New Roman" w:hAnsi="Cambria Math"/>
              </w:rPr>
              <m:t>+</m:t>
            </m:r>
            <m:sSub>
              <m:sSubPr>
                <m:ctrlPr>
                  <w:rPr>
                    <w:rFonts w:ascii="Cambria Math" w:eastAsia="Times New Roman" w:hAnsi="Cambria Math"/>
                  </w:rPr>
                </m:ctrlPr>
              </m:sSubPr>
              <m:e>
                <m:r>
                  <m:rPr>
                    <m:sty m:val="p"/>
                  </m:rPr>
                  <w:rPr>
                    <w:rFonts w:ascii="Cambria Math" w:eastAsia="Times New Roman" w:hAnsi="Cambria Math"/>
                  </w:rPr>
                  <m:t>P</m:t>
                </m:r>
              </m:e>
              <m:sub>
                <m:r>
                  <m:rPr>
                    <m:sty m:val="p"/>
                  </m:rPr>
                  <w:rPr>
                    <w:rFonts w:ascii="Cambria Math" w:eastAsia="Times New Roman" w:hAnsi="Cambria Math"/>
                  </w:rPr>
                  <m:t>2</m:t>
                </m:r>
              </m:sub>
            </m:sSub>
            <m:sSub>
              <m:sSubPr>
                <m:ctrlPr>
                  <w:rPr>
                    <w:rFonts w:ascii="Cambria Math" w:eastAsia="Times New Roman" w:hAnsi="Cambria Math"/>
                  </w:rPr>
                </m:ctrlPr>
              </m:sSubPr>
              <m:e>
                <m:r>
                  <m:rPr>
                    <m:sty m:val="p"/>
                  </m:rPr>
                  <w:rPr>
                    <w:rFonts w:ascii="Cambria Math" w:eastAsia="Times New Roman" w:hAnsi="Cambria Math"/>
                  </w:rPr>
                  <m:t>*A</m:t>
                </m:r>
              </m:e>
              <m:sub>
                <m:r>
                  <m:rPr>
                    <m:sty m:val="p"/>
                  </m:rPr>
                  <w:rPr>
                    <w:rFonts w:ascii="Cambria Math" w:eastAsia="Times New Roman" w:hAnsi="Cambria Math"/>
                  </w:rPr>
                  <m:t>2</m:t>
                </m:r>
              </m:sub>
            </m:sSub>
            <m:r>
              <m:rPr>
                <m:sty m:val="p"/>
              </m:rPr>
              <w:rPr>
                <w:rFonts w:ascii="Cambria Math" w:eastAsia="Times New Roman" w:hAnsi="Cambria Math"/>
              </w:rPr>
              <m:t>+…+</m:t>
            </m:r>
            <m:sSub>
              <m:sSubPr>
                <m:ctrlPr>
                  <w:rPr>
                    <w:rFonts w:ascii="Cambria Math" w:eastAsia="Times New Roman" w:hAnsi="Cambria Math"/>
                  </w:rPr>
                </m:ctrlPr>
              </m:sSubPr>
              <m:e>
                <m:r>
                  <m:rPr>
                    <m:sty m:val="p"/>
                  </m:rPr>
                  <w:rPr>
                    <w:rFonts w:ascii="Cambria Math" w:eastAsia="Times New Roman" w:hAnsi="Cambria Math"/>
                  </w:rPr>
                  <m:t>P</m:t>
                </m:r>
              </m:e>
              <m:sub>
                <m:r>
                  <m:rPr>
                    <m:sty m:val="p"/>
                  </m:rPr>
                  <w:rPr>
                    <w:rFonts w:ascii="Cambria Math" w:eastAsia="Times New Roman" w:hAnsi="Cambria Math"/>
                  </w:rPr>
                  <m:t>6</m:t>
                </m:r>
              </m:sub>
            </m:sSub>
            <m:sSub>
              <m:sSubPr>
                <m:ctrlPr>
                  <w:rPr>
                    <w:rFonts w:ascii="Cambria Math" w:eastAsia="Times New Roman" w:hAnsi="Cambria Math"/>
                  </w:rPr>
                </m:ctrlPr>
              </m:sSubPr>
              <m:e>
                <m:r>
                  <m:rPr>
                    <m:sty m:val="p"/>
                  </m:rPr>
                  <w:rPr>
                    <w:rFonts w:ascii="Cambria Math" w:eastAsia="Times New Roman" w:hAnsi="Cambria Math"/>
                  </w:rPr>
                  <m:t>*A</m:t>
                </m:r>
              </m:e>
              <m:sub>
                <m:r>
                  <m:rPr>
                    <m:sty m:val="p"/>
                  </m:rPr>
                  <w:rPr>
                    <w:rFonts w:ascii="Cambria Math" w:eastAsia="Times New Roman" w:hAnsi="Cambria Math"/>
                  </w:rPr>
                  <m:t>6</m:t>
                </m:r>
              </m:sub>
            </m:sSub>
          </m:num>
          <m:den>
            <m:sSub>
              <m:sSubPr>
                <m:ctrlPr>
                  <w:rPr>
                    <w:rFonts w:ascii="Cambria Math" w:eastAsia="Times New Roman" w:hAnsi="Cambria Math"/>
                  </w:rPr>
                </m:ctrlPr>
              </m:sSubPr>
              <m:e>
                <m:r>
                  <m:rPr>
                    <m:sty m:val="p"/>
                  </m:rPr>
                  <w:rPr>
                    <w:rFonts w:ascii="Cambria Math" w:eastAsia="Times New Roman" w:hAnsi="Cambria Math"/>
                  </w:rPr>
                  <m:t>(A</m:t>
                </m:r>
              </m:e>
              <m:sub>
                <m:r>
                  <m:rPr>
                    <m:sty m:val="p"/>
                  </m:rPr>
                  <w:rPr>
                    <w:rFonts w:ascii="Cambria Math" w:eastAsia="Times New Roman" w:hAnsi="Cambria Math"/>
                  </w:rPr>
                  <m:t>1</m:t>
                </m:r>
              </m:sub>
            </m:sSub>
            <m:r>
              <m:rPr>
                <m:sty m:val="p"/>
              </m:rPr>
              <w:rPr>
                <w:rFonts w:ascii="Cambria Math" w:eastAsia="Times New Roman" w:hAnsi="Cambria Math"/>
              </w:rPr>
              <m:t>+</m:t>
            </m:r>
            <m:sSub>
              <m:sSubPr>
                <m:ctrlPr>
                  <w:rPr>
                    <w:rFonts w:ascii="Cambria Math" w:eastAsia="Times New Roman" w:hAnsi="Cambria Math"/>
                  </w:rPr>
                </m:ctrlPr>
              </m:sSubPr>
              <m:e>
                <m:r>
                  <m:rPr>
                    <m:sty m:val="p"/>
                  </m:rPr>
                  <w:rPr>
                    <w:rFonts w:ascii="Cambria Math" w:eastAsia="Times New Roman" w:hAnsi="Cambria Math"/>
                  </w:rPr>
                  <m:t>A</m:t>
                </m:r>
              </m:e>
              <m:sub>
                <m:r>
                  <m:rPr>
                    <m:sty m:val="p"/>
                  </m:rPr>
                  <w:rPr>
                    <w:rFonts w:ascii="Cambria Math" w:eastAsia="Times New Roman" w:hAnsi="Cambria Math"/>
                  </w:rPr>
                  <m:t>2</m:t>
                </m:r>
              </m:sub>
            </m:sSub>
            <m:r>
              <m:rPr>
                <m:sty m:val="p"/>
              </m:rPr>
              <w:rPr>
                <w:rFonts w:ascii="Cambria Math" w:eastAsia="Times New Roman" w:hAnsi="Cambria Math"/>
              </w:rPr>
              <m:t>+…+</m:t>
            </m:r>
            <m:sSub>
              <m:sSubPr>
                <m:ctrlPr>
                  <w:rPr>
                    <w:rFonts w:ascii="Cambria Math" w:eastAsia="Times New Roman" w:hAnsi="Cambria Math"/>
                  </w:rPr>
                </m:ctrlPr>
              </m:sSubPr>
              <m:e>
                <m:r>
                  <m:rPr>
                    <m:sty m:val="p"/>
                  </m:rPr>
                  <w:rPr>
                    <w:rFonts w:ascii="Cambria Math" w:eastAsia="Times New Roman" w:hAnsi="Cambria Math"/>
                  </w:rPr>
                  <m:t>A</m:t>
                </m:r>
              </m:e>
              <m:sub>
                <m:r>
                  <m:rPr>
                    <m:sty m:val="p"/>
                  </m:rPr>
                  <w:rPr>
                    <w:rFonts w:ascii="Cambria Math" w:eastAsia="Times New Roman" w:hAnsi="Cambria Math"/>
                  </w:rPr>
                  <m:t>6</m:t>
                </m:r>
              </m:sub>
            </m:sSub>
            <m:r>
              <m:rPr>
                <m:sty m:val="p"/>
              </m:rPr>
              <w:rPr>
                <w:rFonts w:ascii="Cambria Math" w:eastAsia="Times New Roman" w:hAnsi="Cambria Math"/>
              </w:rPr>
              <m:t>)</m:t>
            </m:r>
          </m:den>
        </m:f>
        <m:r>
          <m:rPr>
            <m:sty m:val="p"/>
          </m:rPr>
          <w:rPr>
            <w:rFonts w:ascii="Cambria Math" w:hAnsi="Cambria Math"/>
          </w:rPr>
          <m:t>….</m:t>
        </m:r>
      </m:oMath>
      <w:r w:rsidR="00720BC7" w:rsidRPr="00C02489">
        <w:rPr>
          <w:rFonts w:eastAsia="Times New Roman"/>
        </w:rPr>
        <w:t>……</w:t>
      </w:r>
      <w:r w:rsidR="007073F4">
        <w:rPr>
          <w:rFonts w:eastAsia="Times New Roman"/>
        </w:rPr>
        <w:t>……………….…………………………… Equation (3.3</w:t>
      </w:r>
      <w:r w:rsidR="00720BC7" w:rsidRPr="00C02489">
        <w:rPr>
          <w:rFonts w:eastAsia="Times New Roman"/>
        </w:rPr>
        <w:t>)</w:t>
      </w:r>
    </w:p>
    <w:p w:rsidR="00720BC7" w:rsidRDefault="00B24F7C" w:rsidP="009F4D59">
      <w:pPr>
        <w:rPr>
          <w:rFonts w:eastAsia="Times New Roman"/>
        </w:rPr>
      </w:pPr>
      <m:oMath>
        <m:acc>
          <m:accPr>
            <m:chr m:val="̅"/>
            <m:ctrlPr>
              <w:rPr>
                <w:rFonts w:ascii="Cambria Math" w:hAnsi="Cambria Math"/>
              </w:rPr>
            </m:ctrlPr>
          </m:accPr>
          <m:e>
            <m:r>
              <m:rPr>
                <m:sty m:val="p"/>
              </m:rPr>
              <w:rPr>
                <w:rFonts w:ascii="Cambria Math" w:hAnsi="Cambria Math"/>
              </w:rPr>
              <m:t>P</m:t>
            </m:r>
          </m:e>
        </m:acc>
        <m:r>
          <m:rPr>
            <m:sty m:val="p"/>
          </m:rPr>
          <w:rPr>
            <w:rFonts w:ascii="Cambria Math" w:hAnsi="Cambria Math"/>
          </w:rPr>
          <m:t>=</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M</m:t>
                </m:r>
              </m:sup>
              <m:e>
                <m:sSub>
                  <m:sSubPr>
                    <m:ctrlPr>
                      <w:rPr>
                        <w:rFonts w:ascii="Cambria Math" w:hAnsi="Cambria Math"/>
                      </w:rPr>
                    </m:ctrlPr>
                  </m:sSubPr>
                  <m:e>
                    <m:r>
                      <m:rPr>
                        <m:sty m:val="p"/>
                      </m:rPr>
                      <w:rPr>
                        <w:rFonts w:ascii="Cambria Math" w:hAnsi="Cambria Math"/>
                      </w:rPr>
                      <m:t>P</m:t>
                    </m:r>
                  </m:e>
                  <m:sub>
                    <m:r>
                      <m:rPr>
                        <m:sty m:val="p"/>
                      </m:rPr>
                      <w:rPr>
                        <w:rFonts w:ascii="Cambria Math" w:hAnsi="Cambria Math"/>
                      </w:rPr>
                      <m:t>i</m:t>
                    </m:r>
                  </m:sub>
                </m:sSub>
                <m:sSub>
                  <m:sSubPr>
                    <m:ctrlPr>
                      <w:rPr>
                        <w:rFonts w:ascii="Cambria Math" w:hAnsi="Cambria Math"/>
                      </w:rPr>
                    </m:ctrlPr>
                  </m:sSubPr>
                  <m:e>
                    <m:r>
                      <m:rPr>
                        <m:sty m:val="p"/>
                      </m:rPr>
                      <w:rPr>
                        <w:rFonts w:ascii="Cambria Math" w:hAnsi="Cambria Math"/>
                      </w:rPr>
                      <m:t>A</m:t>
                    </m:r>
                  </m:e>
                  <m:sub>
                    <m:r>
                      <m:rPr>
                        <m:sty m:val="p"/>
                      </m:rPr>
                      <w:rPr>
                        <w:rFonts w:ascii="Cambria Math" w:hAnsi="Cambria Math"/>
                      </w:rPr>
                      <m:t>i</m:t>
                    </m:r>
                  </m:sub>
                </m:sSub>
              </m:e>
            </m:nary>
          </m:num>
          <m:den>
            <m:r>
              <m:rPr>
                <m:sty m:val="p"/>
              </m:rPr>
              <w:rPr>
                <w:rFonts w:ascii="Cambria Math" w:hAnsi="Cambria Math"/>
              </w:rPr>
              <m:t>A</m:t>
            </m:r>
          </m:den>
        </m:f>
        <m:r>
          <m:rPr>
            <m:sty m:val="p"/>
          </m:rPr>
          <w:rPr>
            <w:rFonts w:ascii="Cambria Math" w:eastAsia="Times New Roman" w:hAnsi="Cambria Math"/>
          </w:rPr>
          <m:t>=</m:t>
        </m:r>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M</m:t>
            </m:r>
          </m:sup>
          <m:e>
            <m:sSub>
              <m:sSubPr>
                <m:ctrlPr>
                  <w:rPr>
                    <w:rFonts w:ascii="Cambria Math" w:hAnsi="Cambria Math"/>
                  </w:rPr>
                </m:ctrlPr>
              </m:sSubPr>
              <m:e>
                <m:r>
                  <m:rPr>
                    <m:sty m:val="p"/>
                  </m:rPr>
                  <w:rPr>
                    <w:rFonts w:ascii="Cambria Math" w:hAnsi="Cambria Math"/>
                  </w:rPr>
                  <m:t>P</m:t>
                </m:r>
              </m:e>
              <m:sub>
                <m:r>
                  <m:rPr>
                    <m:sty m:val="p"/>
                  </m:rPr>
                  <w:rPr>
                    <w:rFonts w:ascii="Cambria Math" w:hAnsi="Cambria Math"/>
                  </w:rPr>
                  <m:t>i</m:t>
                </m:r>
              </m:sub>
            </m:sSub>
            <m:f>
              <m:fPr>
                <m:ctrlPr>
                  <w:rPr>
                    <w:rFonts w:ascii="Cambria Math" w:hAnsi="Cambria Math"/>
                  </w:rPr>
                </m:ctrlPr>
              </m:fPr>
              <m:num>
                <m:sSub>
                  <m:sSubPr>
                    <m:ctrlPr>
                      <w:rPr>
                        <w:rFonts w:ascii="Cambria Math" w:hAnsi="Cambria Math"/>
                      </w:rPr>
                    </m:ctrlPr>
                  </m:sSubPr>
                  <m:e>
                    <m:r>
                      <m:rPr>
                        <m:sty m:val="p"/>
                      </m:rPr>
                      <w:rPr>
                        <w:rFonts w:ascii="Cambria Math" w:hAnsi="Cambria Math"/>
                      </w:rPr>
                      <m:t>A</m:t>
                    </m:r>
                  </m:e>
                  <m:sub>
                    <m:r>
                      <m:rPr>
                        <m:sty m:val="p"/>
                      </m:rPr>
                      <w:rPr>
                        <w:rFonts w:ascii="Cambria Math" w:hAnsi="Cambria Math"/>
                      </w:rPr>
                      <m:t>i</m:t>
                    </m:r>
                  </m:sub>
                </m:sSub>
              </m:num>
              <m:den>
                <m:r>
                  <m:rPr>
                    <m:sty m:val="p"/>
                  </m:rPr>
                  <w:rPr>
                    <w:rFonts w:ascii="Cambria Math" w:hAnsi="Cambria Math"/>
                  </w:rPr>
                  <m:t>A</m:t>
                </m:r>
              </m:den>
            </m:f>
          </m:e>
        </m:nary>
        <m:r>
          <m:rPr>
            <m:sty m:val="p"/>
          </m:rPr>
          <w:rPr>
            <w:rFonts w:ascii="Cambria Math" w:hAnsi="Cambria Math"/>
          </w:rPr>
          <m:t>….</m:t>
        </m:r>
      </m:oMath>
      <w:r w:rsidR="00720BC7" w:rsidRPr="00C02489">
        <w:rPr>
          <w:rFonts w:eastAsia="Times New Roman"/>
        </w:rPr>
        <w:t>…</w:t>
      </w:r>
      <w:r w:rsidR="007073F4">
        <w:rPr>
          <w:rFonts w:eastAsia="Times New Roman"/>
        </w:rPr>
        <w:t>……………………………………………… Equation (3.4</w:t>
      </w:r>
      <w:r w:rsidR="00720BC7" w:rsidRPr="00C02489">
        <w:rPr>
          <w:rFonts w:eastAsia="Times New Roman"/>
        </w:rPr>
        <w:t>)</w:t>
      </w:r>
    </w:p>
    <w:p w:rsidR="00B57A0D" w:rsidRPr="00C02489" w:rsidRDefault="00B57A0D" w:rsidP="00B57A0D">
      <w:r w:rsidRPr="00C02489">
        <w:rPr>
          <w:rFonts w:eastAsia="Times New Roman"/>
        </w:rPr>
        <w:t>The ratio</w:t>
      </w:r>
      <w:r w:rsidR="00F763D9">
        <w:rPr>
          <w:rFonts w:eastAsia="Times New Roman"/>
        </w:rPr>
        <w:t xml:space="preserve"> </w:t>
      </w:r>
      <w:r w:rsidRPr="00C02489">
        <w:rPr>
          <w:rFonts w:eastAsia="Times New Roman"/>
        </w:rPr>
        <w:t xml:space="preserve"> </w:t>
      </w:r>
      <m:oMath>
        <m:f>
          <m:fPr>
            <m:ctrlPr>
              <w:rPr>
                <w:rFonts w:ascii="Cambria Math" w:hAnsi="Cambria Math"/>
              </w:rPr>
            </m:ctrlPr>
          </m:fPr>
          <m:num>
            <m:sSub>
              <m:sSubPr>
                <m:ctrlPr>
                  <w:rPr>
                    <w:rFonts w:ascii="Cambria Math" w:hAnsi="Cambria Math"/>
                  </w:rPr>
                </m:ctrlPr>
              </m:sSubPr>
              <m:e>
                <m:r>
                  <m:rPr>
                    <m:sty m:val="p"/>
                  </m:rPr>
                  <w:rPr>
                    <w:rFonts w:ascii="Cambria Math" w:hAnsi="Cambria Math"/>
                  </w:rPr>
                  <m:t>A</m:t>
                </m:r>
              </m:e>
              <m:sub>
                <m:r>
                  <m:rPr>
                    <m:sty m:val="p"/>
                  </m:rPr>
                  <w:rPr>
                    <w:rFonts w:ascii="Cambria Math" w:hAnsi="Cambria Math"/>
                  </w:rPr>
                  <m:t>i</m:t>
                </m:r>
              </m:sub>
            </m:sSub>
          </m:num>
          <m:den>
            <m:r>
              <m:rPr>
                <m:sty m:val="p"/>
              </m:rPr>
              <w:rPr>
                <w:rFonts w:ascii="Cambria Math" w:hAnsi="Cambria Math"/>
              </w:rPr>
              <m:t>A</m:t>
            </m:r>
          </m:den>
        </m:f>
      </m:oMath>
      <w:r w:rsidRPr="00C02489">
        <w:rPr>
          <w:rFonts w:eastAsia="Times New Roman"/>
        </w:rPr>
        <w:t xml:space="preserve"> </w:t>
      </w:r>
      <w:r w:rsidR="00F763D9">
        <w:rPr>
          <w:rFonts w:eastAsia="Times New Roman"/>
        </w:rPr>
        <w:t xml:space="preserve"> </w:t>
      </w:r>
      <w:r w:rsidRPr="00C02489">
        <w:rPr>
          <w:rFonts w:eastAsia="Times New Roman"/>
        </w:rPr>
        <w:t>is called the weightage factor for each station.</w:t>
      </w:r>
    </w:p>
    <w:p w:rsidR="00720BC7" w:rsidRPr="00D17F99" w:rsidRDefault="00E72E94" w:rsidP="00C34AE4">
      <w:r>
        <w:t>ArcGIS was employed to prepare the Thiessen polygon of study area. In process, t</w:t>
      </w:r>
      <w:r w:rsidR="00AE2DBD">
        <w:t xml:space="preserve">he </w:t>
      </w:r>
      <w:r w:rsidR="00AE2DBD" w:rsidRPr="00C02489">
        <w:t xml:space="preserve">weather </w:t>
      </w:r>
      <w:r w:rsidR="00A5721A">
        <w:t>stations were</w:t>
      </w:r>
      <w:r w:rsidR="00AE2DBD">
        <w:t xml:space="preserve"> geo-referenced </w:t>
      </w:r>
      <w:r w:rsidR="006356ED">
        <w:t>with respective location</w:t>
      </w:r>
      <w:r>
        <w:t xml:space="preserve"> and</w:t>
      </w:r>
      <w:r w:rsidR="006356ED">
        <w:t xml:space="preserve"> </w:t>
      </w:r>
      <w:r w:rsidRPr="00C02489">
        <w:t>average annual rainfall</w:t>
      </w:r>
      <w:r>
        <w:t>.</w:t>
      </w:r>
      <w:r w:rsidRPr="00C02489">
        <w:t xml:space="preserve"> </w:t>
      </w:r>
      <w:r w:rsidR="00D17F99">
        <w:lastRenderedPageBreak/>
        <w:t xml:space="preserve">The clustered polygon shapefile was converted to raster </w:t>
      </w:r>
      <w:r w:rsidR="00606CFF">
        <w:t xml:space="preserve">format </w:t>
      </w:r>
      <w:r w:rsidR="00D17F99">
        <w:t>for reclassification and overlay analyses.</w:t>
      </w:r>
      <w:r w:rsidR="002F2AE9">
        <w:t xml:space="preserve"> </w:t>
      </w:r>
      <w:r w:rsidR="00720BC7" w:rsidRPr="00C02489">
        <w:t xml:space="preserve">Depending on the contribution </w:t>
      </w:r>
      <w:r w:rsidR="000229AD">
        <w:t xml:space="preserve">of rainfall classes </w:t>
      </w:r>
      <w:r w:rsidR="00853575">
        <w:t xml:space="preserve">the </w:t>
      </w:r>
      <w:r w:rsidR="00D17F99">
        <w:t xml:space="preserve">classified </w:t>
      </w:r>
      <w:r w:rsidR="00853575">
        <w:t xml:space="preserve">rainfall </w:t>
      </w:r>
      <w:r w:rsidR="00D17F99">
        <w:t xml:space="preserve">distribution </w:t>
      </w:r>
      <w:r w:rsidR="00853575">
        <w:t>classes we</w:t>
      </w:r>
      <w:r w:rsidR="00720BC7" w:rsidRPr="00C02489">
        <w:t xml:space="preserve">re ranked. The highest rank was assigned for high rainfall classes </w:t>
      </w:r>
      <w:r w:rsidR="004E0972">
        <w:t>while</w:t>
      </w:r>
      <w:r w:rsidR="00720BC7" w:rsidRPr="00C02489">
        <w:t xml:space="preserve"> the low</w:t>
      </w:r>
      <w:r w:rsidR="004E0972">
        <w:t xml:space="preserve">est rank </w:t>
      </w:r>
      <w:r w:rsidR="00720BC7" w:rsidRPr="00C02489">
        <w:t>for low rain</w:t>
      </w:r>
      <w:r w:rsidR="00606CFF">
        <w:t xml:space="preserve">fall class. The relative weight, scale value and </w:t>
      </w:r>
      <w:r w:rsidR="00720BC7" w:rsidRPr="00C02489">
        <w:t>CR</w:t>
      </w:r>
      <w:r w:rsidR="000229AD">
        <w:t xml:space="preserve"> value </w:t>
      </w:r>
      <w:r w:rsidR="00720BC7" w:rsidRPr="00C02489">
        <w:t>of matrix was determined by using AHP (Table 4.</w:t>
      </w:r>
      <w:r w:rsidR="00FD7639">
        <w:t>4</w:t>
      </w:r>
      <w:r w:rsidR="00720BC7" w:rsidRPr="00D11F3F">
        <w:t xml:space="preserve">). The final rainfall distribution thematic layer was prepared by reclassifying the rainfall distribution map using </w:t>
      </w:r>
      <w:r w:rsidR="004E0972" w:rsidRPr="00D11F3F">
        <w:t>scale value</w:t>
      </w:r>
      <w:r w:rsidR="004B45F7">
        <w:t xml:space="preserve"> of classes</w:t>
      </w:r>
      <w:r w:rsidR="00FA0505">
        <w:t>.</w:t>
      </w:r>
    </w:p>
    <w:p w:rsidR="00720BC7" w:rsidRPr="00D11F3F" w:rsidRDefault="00720BC7" w:rsidP="008D3D8E">
      <w:pPr>
        <w:pStyle w:val="ListParagraph"/>
        <w:numPr>
          <w:ilvl w:val="0"/>
          <w:numId w:val="7"/>
        </w:numPr>
      </w:pPr>
      <w:bookmarkStart w:id="150" w:name="_Hlk50344868"/>
      <w:r w:rsidRPr="00D11F3F">
        <w:t xml:space="preserve">Drainage Density Thematic Map </w:t>
      </w:r>
    </w:p>
    <w:p w:rsidR="00D57AD2" w:rsidRDefault="00720BC7" w:rsidP="007877BB">
      <w:r w:rsidRPr="00D11F3F">
        <w:t>The drainage network of study area was derived from DEM by using Arc SWAT ArcGIS extension models. The process starts from delineation of the watershed and sub-watershed boundary. Watersheds are delineated</w:t>
      </w:r>
      <w:r w:rsidRPr="00C02489">
        <w:t xml:space="preserve"> by the area upstream from specified outlet point, in GIS environment. A flow direction grid assigns value to each cell to indicate the ultimate destination of the water flowing across the surface of the land. Based on the landscape topography the flow accumulation tool calculates the flow into each cell by identifying the upstream cells that </w:t>
      </w:r>
      <w:r w:rsidR="00597562">
        <w:t xml:space="preserve">flows into each downslope cell. </w:t>
      </w:r>
    </w:p>
    <w:p w:rsidR="007877BB" w:rsidRDefault="00720BC7" w:rsidP="007877BB">
      <w:r w:rsidRPr="00C02489">
        <w:t xml:space="preserve">Automated watershed delineation embedded in Arc SWAT interface simplify </w:t>
      </w:r>
      <w:r w:rsidR="00D92D03" w:rsidRPr="00C02489">
        <w:t xml:space="preserve">the watershed </w:t>
      </w:r>
      <w:r w:rsidR="00D92D03">
        <w:t>delineation</w:t>
      </w:r>
      <w:r w:rsidRPr="00C02489">
        <w:t xml:space="preserve"> and drainage line.</w:t>
      </w:r>
      <w:r w:rsidR="00B27B4E">
        <w:t xml:space="preserve"> </w:t>
      </w:r>
      <w:r w:rsidR="00D92D03" w:rsidRPr="00C02489">
        <w:t>T</w:t>
      </w:r>
      <w:r w:rsidRPr="00C02489">
        <w:t xml:space="preserve">he </w:t>
      </w:r>
      <w:r>
        <w:t xml:space="preserve">default </w:t>
      </w:r>
      <w:r w:rsidRPr="00C02489">
        <w:t>threshold-based stream definition was used to define the minimum size of the sub-basins</w:t>
      </w:r>
      <w:r>
        <w:t xml:space="preserve"> </w:t>
      </w:r>
      <w:r>
        <w:fldChar w:fldCharType="begin" w:fldLock="1"/>
      </w:r>
      <w:r w:rsidR="00A309A8">
        <w:instrText>ADDIN CSL_CITATION {"citationItems":[{"id":"ITEM-1","itemData":{"abstract":"This study targets to evaluate the performance of the ArcSWAT model in simulating streamflow for the Weyib river catchment in Ethiopia. Two techniques that are widely used in models evaluating, namely quantitative statistics (four very common statistical indices) and graphical method (hydrograph analysis technique), were applied to estimate the performance of the ArcSWAT model in this study. Results of calibration and validation of the model at a daily time step furnished R2 of 0.95, NSE of 0.92, RSR of 0.26 and Pbias of 1.31 for model calibration while R2 of 0.97, NSE of 0.95, RSR of 0.20 and Pbias of 2.48 for model validation stage. According to monthly model demonstration ratings, for all the four evaluation criteria (R2, NSE, RSR and Pbias), the model performed very well during both calibration and validation periods.","author":[{"dropping-particle":"","family":"Serur","given":"Abdulkerim Bedewi","non-dropping-particle":"","parse-names":false,"suffix":""},{"dropping-particle":"","family":"Sarma","given":"Arup Kumar","non-dropping-particle":"","parse-names":false,"suffix":""}],"container-title":"International Journal of Innovative and Emerging Research in Engineering","id":"ITEM-1","issue":"2","issued":{"date-parts":[["2016"]]},"page":"7","title":"Evaluation of the ArcSWAT model in simulating catchment hydrology : In Weyib River Basin, Bale Mountainous area of Southeastern Ethiopia","type":"article-journal","volume":"3"},"uris":["http://www.mendeley.com/documents/?uuid=ba514730-98c4-4fb6-86de-241d1c2570c9","http://www.mendeley.com/documents/?uuid=9c0687ab-8c3b-4c65-9444-e05cc55a085f"]}],"mendeley":{"formattedCitation":"(Serur &amp; Sarma, 2016a)","manualFormatting":"(Serur and Sarma, 2016a)","plainTextFormattedCitation":"(Serur &amp; Sarma, 2016a)","previouslyFormattedCitation":"(Serur &amp; Sarma, 2016a)"},"properties":{"noteIndex":0},"schema":"https://github.com/citation-style-language/schema/raw/master/csl-citation.json"}</w:instrText>
      </w:r>
      <w:r>
        <w:fldChar w:fldCharType="separate"/>
      </w:r>
      <w:r w:rsidRPr="0038470B">
        <w:rPr>
          <w:noProof/>
        </w:rPr>
        <w:t xml:space="preserve">(Serur </w:t>
      </w:r>
      <w:r w:rsidR="00246BCC">
        <w:rPr>
          <w:noProof/>
        </w:rPr>
        <w:t>and</w:t>
      </w:r>
      <w:r w:rsidRPr="0038470B">
        <w:rPr>
          <w:noProof/>
        </w:rPr>
        <w:t xml:space="preserve"> Sarma, 2016a)</w:t>
      </w:r>
      <w:r>
        <w:fldChar w:fldCharType="end"/>
      </w:r>
      <w:r w:rsidRPr="00C02489">
        <w:t>.</w:t>
      </w:r>
      <w:r w:rsidR="00C33EBB">
        <w:t xml:space="preserve"> </w:t>
      </w:r>
      <w:r w:rsidR="003C7672">
        <w:t>As the major parts of Weyib Sub-basin is flat plateau, minimum</w:t>
      </w:r>
      <w:r w:rsidR="00B27B4E">
        <w:t xml:space="preserve"> </w:t>
      </w:r>
      <w:r w:rsidR="00B27B4E" w:rsidRPr="00C02489">
        <w:t>threshold</w:t>
      </w:r>
      <w:r w:rsidR="00B27B4E">
        <w:t xml:space="preserve"> area </w:t>
      </w:r>
      <w:r w:rsidR="003C7672">
        <w:t xml:space="preserve">was used to extract </w:t>
      </w:r>
      <w:r w:rsidR="00C33EBB">
        <w:t>the finer drainage lines (minor streams)</w:t>
      </w:r>
      <w:r w:rsidR="00B27B4E">
        <w:t xml:space="preserve">. </w:t>
      </w:r>
      <w:r w:rsidR="003C7672">
        <w:t xml:space="preserve">This will </w:t>
      </w:r>
      <w:r w:rsidR="00D04ADE">
        <w:t>avail</w:t>
      </w:r>
      <w:r w:rsidR="003C7672">
        <w:t xml:space="preserve"> in </w:t>
      </w:r>
      <w:r w:rsidR="00D04ADE">
        <w:t>establishing</w:t>
      </w:r>
      <w:r w:rsidR="003C7672">
        <w:t xml:space="preserve"> the spatial variability of </w:t>
      </w:r>
      <w:r w:rsidR="00553241">
        <w:t xml:space="preserve">respective </w:t>
      </w:r>
      <w:r w:rsidR="003C7672">
        <w:t>factors contribution for groundwater potential zone (</w:t>
      </w:r>
      <w:r w:rsidR="00553241">
        <w:t xml:space="preserve">i.e. </w:t>
      </w:r>
      <w:r w:rsidR="006374B2">
        <w:t>for</w:t>
      </w:r>
      <w:r w:rsidR="003C7672">
        <w:t xml:space="preserve"> reclassification). </w:t>
      </w:r>
      <w:r w:rsidRPr="00C02489">
        <w:t>Weyib Sub</w:t>
      </w:r>
      <w:r w:rsidR="006374B2">
        <w:t>-basin was delineated at Sof-uma</w:t>
      </w:r>
      <w:r w:rsidRPr="00C02489">
        <w:t xml:space="preserve">r outlet. All the stream flowing to Weyib River was </w:t>
      </w:r>
      <w:r w:rsidR="00E8523F">
        <w:t>derived and shown in Figure 4.11</w:t>
      </w:r>
      <w:r w:rsidRPr="00C02489">
        <w:t>. The extracted drainage network was proc</w:t>
      </w:r>
      <w:r w:rsidR="002C7F82">
        <w:t xml:space="preserve">essed on ArcGIS 10.5 to prepare </w:t>
      </w:r>
      <w:r w:rsidRPr="00C02489">
        <w:t xml:space="preserve">drainage density </w:t>
      </w:r>
      <w:r w:rsidR="002C7F82">
        <w:t xml:space="preserve">map </w:t>
      </w:r>
      <w:r w:rsidRPr="00C02489">
        <w:t>(F</w:t>
      </w:r>
      <w:r w:rsidR="00E8523F">
        <w:t>igure 4.12</w:t>
      </w:r>
      <w:r w:rsidR="007877BB">
        <w:t xml:space="preserve">). </w:t>
      </w:r>
      <w:r w:rsidR="007877BB" w:rsidRPr="00C02489">
        <w:t>Drainage density is the total length of streams of all orders (km) per drainage area (km</w:t>
      </w:r>
      <w:r w:rsidR="007877BB" w:rsidRPr="00C02489">
        <w:rPr>
          <w:vertAlign w:val="superscript"/>
        </w:rPr>
        <w:t>2</w:t>
      </w:r>
      <w:r w:rsidR="007877BB" w:rsidRPr="00C02489">
        <w:t xml:space="preserve">) </w:t>
      </w:r>
      <w:r w:rsidR="007877BB" w:rsidRPr="00C02489">
        <w:rPr>
          <w:rStyle w:val="FootnoteReference"/>
        </w:rPr>
        <w:fldChar w:fldCharType="begin" w:fldLock="1"/>
      </w:r>
      <w:r w:rsidR="00A309A8">
        <w:instrText>ADDIN CSL_CITATION {"citationItems":[{"id":"ITEM-1","itemData":{"ISSN":"17551315","abstract":"Drainage basin/watershed analysis based on morphometric parameters is very important for watershed planning. Morphometric analysis of watershed is the best method to identify the relationship of various aspects in the area. Despite many technical papers were dealt with in this area of study, there is no particular standard classification and implication of each parameter. It is very confusing to evaluate a value of every morphometric parameter. This paper deals with the meaning of values of the various morphometric parameters, with adequate contextual information. A critical review is presented on each classification, the range of values, and their implications. Besides classification and its impact, the authors also concern about the quality of input data, either in data preparation or scale/the detail level of mapping. This review paper hopefully can give a comprehensive explanation to assist the upcoming research dealing with morphometric analysis.","author":[{"dropping-particle":"","family":"Sukristiyanti","given":"S.","non-dropping-particle":"","parse-names":false,"suffix":""},{"dropping-particle":"","family":"Maria","given":"R.","non-dropping-particle":"","parse-names":false,"suffix":""},{"dropping-particle":"","family":"Lestiana","given":"H.","non-dropping-particle":"","parse-names":false,"suffix":""}],"container-title":"IOP Conference Series: Earth and Environmental Science","id":"ITEM-1","issue":"1","issued":{"date-parts":[["2018"]]},"title":"Watershed-based morphometric analysis: A Review","type":"article-journal","volume":"118"},"uris":["http://www.mendeley.com/documents/?uuid=741c2735-79c0-4108-a7b3-3364217c59d5","http://www.mendeley.com/documents/?uuid=58411064-6164-4e85-a4b8-ada6557f938a"]},{"id":"ITEM-2","itemData":{"author":[{"dropping-particle":"","family":"Magesh","given":"N.S.","non-dropping-particle":"","parse-names":false,"suffix":""},{"dropping-particle":"","family":"Chandrasekar","given":"N.","non-dropping-particle":"","parse-names":false,"suffix":""},{"dropping-particle":"","family":"Soundranayagam","given":"J.P.","non-dropping-particle":"","parse-names":false,"suffix":""}],"container-title":"Geoscience frontiers","id":"ITEM-2","issue":"2","issued":{"date-parts":[["2012"]]},"page":"189-196","title":"Delineation of groundwater potential zones in Theni district, Tamil Nadu, using remote sensing, GIS and MIF techniques.","type":"article-journal","volume":"3"},"uris":["http://www.mendeley.com/documents/?uuid=53c8a1e6-a30a-4b85-b308-72e54a77f186","http://www.mendeley.com/documents/?uuid=4ee41164-92a8-475e-9f33-919ac9a8de5c"]}],"mendeley":{"formattedCitation":"(Magesh et al., 2012; Sukristiyanti et al., 2018)","plainTextFormattedCitation":"(Magesh et al., 2012; Sukristiyanti et al., 2018)","previouslyFormattedCitation":"(Magesh et al., 2012; Sukristiyanti et al., 2018)"},"properties":{"noteIndex":0},"schema":"https://github.com/citation-style-language/schema/raw/master/csl-citation.json"}</w:instrText>
      </w:r>
      <w:r w:rsidR="007877BB" w:rsidRPr="00C02489">
        <w:rPr>
          <w:rStyle w:val="FootnoteReference"/>
        </w:rPr>
        <w:fldChar w:fldCharType="separate"/>
      </w:r>
      <w:r w:rsidR="007877BB" w:rsidRPr="00C02489">
        <w:rPr>
          <w:bCs/>
          <w:noProof/>
        </w:rPr>
        <w:t>(Magesh et al., 2012; Sukristiyanti et al., 2018)</w:t>
      </w:r>
      <w:r w:rsidR="007877BB" w:rsidRPr="00C02489">
        <w:rPr>
          <w:rStyle w:val="FootnoteReference"/>
        </w:rPr>
        <w:fldChar w:fldCharType="end"/>
      </w:r>
      <w:r w:rsidR="007877BB" w:rsidRPr="00C02489">
        <w:t xml:space="preserve">. </w:t>
      </w:r>
    </w:p>
    <w:p w:rsidR="007877BB" w:rsidRPr="00C02489" w:rsidRDefault="007877BB" w:rsidP="007877BB">
      <w:r w:rsidRPr="00C02489">
        <w:t xml:space="preserve">The drainage density is be given by: </w:t>
      </w:r>
    </w:p>
    <w:p w:rsidR="007877BB" w:rsidRPr="00C02489" w:rsidRDefault="007877BB" w:rsidP="007877BB">
      <m:oMath>
        <m:r>
          <m:rPr>
            <m:sty m:val="p"/>
          </m:rPr>
          <w:rPr>
            <w:rFonts w:ascii="Cambria Math" w:hAnsi="Cambria Math"/>
          </w:rPr>
          <m:t>DD=</m:t>
        </m:r>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n</m:t>
            </m:r>
          </m:sup>
          <m:e>
            <m:r>
              <m:rPr>
                <m:sty m:val="p"/>
              </m:rPr>
              <w:rPr>
                <w:rFonts w:ascii="Cambria Math" w:hAnsi="Cambria Math"/>
              </w:rPr>
              <m:t xml:space="preserve"> ( </m:t>
            </m:r>
            <m:f>
              <m:fPr>
                <m:ctrlPr>
                  <w:rPr>
                    <w:rFonts w:ascii="Cambria Math" w:hAnsi="Cambria Math"/>
                  </w:rPr>
                </m:ctrlPr>
              </m:fPr>
              <m:num>
                <m:r>
                  <m:rPr>
                    <m:sty m:val="p"/>
                  </m:rPr>
                  <w:rPr>
                    <w:rFonts w:ascii="Cambria Math" w:hAnsi="Cambria Math"/>
                  </w:rPr>
                  <m:t>Li</m:t>
                </m:r>
              </m:num>
              <m:den>
                <m:r>
                  <m:rPr>
                    <m:sty m:val="p"/>
                  </m:rPr>
                  <w:rPr>
                    <w:rFonts w:ascii="Cambria Math" w:hAnsi="Cambria Math"/>
                  </w:rPr>
                  <m:t>A</m:t>
                </m:r>
              </m:den>
            </m:f>
          </m:e>
        </m:nary>
        <m:r>
          <m:rPr>
            <m:sty m:val="p"/>
          </m:rPr>
          <w:rPr>
            <w:rFonts w:ascii="Cambria Math" w:hAnsi="Cambria Math"/>
          </w:rPr>
          <m:t>)      ….</m:t>
        </m:r>
      </m:oMath>
      <w:r w:rsidRPr="00C02489">
        <w:rPr>
          <w:rFonts w:eastAsia="Times New Roman"/>
        </w:rPr>
        <w:t>…………………………………………………...……Equation (</w:t>
      </w:r>
      <w:r w:rsidR="007073F4">
        <w:rPr>
          <w:rFonts w:eastAsia="Times New Roman"/>
        </w:rPr>
        <w:t>3.5</w:t>
      </w:r>
      <w:r w:rsidRPr="00C02489">
        <w:rPr>
          <w:rFonts w:eastAsia="Times New Roman"/>
        </w:rPr>
        <w:t>)</w:t>
      </w:r>
    </w:p>
    <w:p w:rsidR="00601FD1" w:rsidRDefault="007877BB" w:rsidP="00601FD1">
      <w:r w:rsidRPr="00C02489">
        <w:t>Where DD is drainage density, ∑Li is the total length of the stream in the watershed and A is the total area of the watershed.</w:t>
      </w:r>
      <w:r w:rsidR="004E366B">
        <w:t xml:space="preserve"> </w:t>
      </w:r>
    </w:p>
    <w:p w:rsidR="00C312AA" w:rsidRDefault="007877BB" w:rsidP="00601FD1">
      <w:r w:rsidRPr="00C02489">
        <w:lastRenderedPageBreak/>
        <w:t xml:space="preserve">Even though there are no fixed value ranges for drainage density, based on some definitions about drainage classes it can be highlighted that there are two main classes of drainage density; low/coarse and high/fine class. Low drainage densities and stream frequency indicate excessive permeability of the underground formation, dense vegetation and low relief </w:t>
      </w:r>
      <w:r w:rsidRPr="00C02489">
        <w:rPr>
          <w:rStyle w:val="FootnoteReference"/>
        </w:rPr>
        <w:fldChar w:fldCharType="begin" w:fldLock="1"/>
      </w:r>
      <w:r w:rsidR="00A309A8">
        <w:instrText>ADDIN CSL_CITATION {"citationItems":[{"id":"ITEM-1","itemData":{"ISBN":"0123456789","ISSN":"23636211","abstract":"The stages of landscape brought by Wainganga river cycle of erosion are precisely characterized and determined by progressive returns of maximum relief ratio (above 70%), maximum amount of slope (40–100%), high dissection index (above 30%) high hypsometric integral (above 60%), high percentage of unconsumed upland (above 30%), and low circularity index. A total number of streams are 9472 in which 6502 are first-order, 2190 are second-order, 605 are third-order, 153 are fourth-order, 17 are fifth-order, and 4 are sixth-order streams. Bifurcation values range from 2.97 to 9.00 and the average bifurcation value is 3.97. The elongation ratios are 0.12. The values reveal that the basin is strongly elongated and it is composed of highly permeable homogenous geologic materials. The drainage density of the river basin is 0.66. With the advancement of the cyclic landscape, the trend of hypsometric integrals, relief ratio, amount of slope, dissection index, and percentage of unconsumed upland trends to decrease to a minimum, while circularity index increases. The penultimate stage of the landscape finally achieves maximum circularity with minimum returns of other variables progressively. The study recommends that the river basin needs a hydrogeological and geophysical study in the future for proper water management and choice of artificial recharge structures for recharge of groundwater in the area under consideration.","author":[{"dropping-particle":"","family":"Kudnar","given":"Nanabhau S.","non-dropping-particle":"","parse-names":false,"suffix":""},{"dropping-particle":"","family":"Rajasekhar","given":"M.","non-dropping-particle":"","parse-names":false,"suffix":""}],"container-title":"Modeling Earth Systems and Environment","id":"ITEM-1","issue":"1","issued":{"date-parts":[["2019"]]},"page":"311-327","publisher":"Springer International Publishing","title":"A study of the morphometric analysis and cycle of erosion in Waingangā Basin, India","type":"article-journal","volume":"6"},"uris":["http://www.mendeley.com/documents/?uuid=f6c1079f-a4af-40cd-a063-3e77fc7be461","http://www.mendeley.com/documents/?uuid=482d2a31-7dcd-4d24-9fd7-7008db006b79"]}],"mendeley":{"formattedCitation":"(Kudnar &amp; Rajasekhar, 2019)","manualFormatting":"(Kudnar and Rajasekhar, 2019)","plainTextFormattedCitation":"(Kudnar &amp; Rajasekhar, 2019)","previouslyFormattedCitation":"(Kudnar &amp; Rajasekhar, 2019)"},"properties":{"noteIndex":0},"schema":"https://github.com/citation-style-language/schema/raw/master/csl-citation.json"}</w:instrText>
      </w:r>
      <w:r w:rsidRPr="00C02489">
        <w:rPr>
          <w:rStyle w:val="FootnoteReference"/>
        </w:rPr>
        <w:fldChar w:fldCharType="separate"/>
      </w:r>
      <w:r>
        <w:rPr>
          <w:bCs/>
          <w:noProof/>
        </w:rPr>
        <w:t>(Kudnar and</w:t>
      </w:r>
      <w:r w:rsidRPr="00C02489">
        <w:rPr>
          <w:bCs/>
          <w:noProof/>
        </w:rPr>
        <w:t xml:space="preserve"> Rajasekhar, 2019)</w:t>
      </w:r>
      <w:r w:rsidRPr="00C02489">
        <w:rPr>
          <w:rStyle w:val="FootnoteReference"/>
        </w:rPr>
        <w:fldChar w:fldCharType="end"/>
      </w:r>
      <w:r w:rsidRPr="00C02489">
        <w:t xml:space="preserve">. Surface runoff is not rapidly removed from the watershed, showing a slow hydrologic response. The high drainage density of the watershed reflects high runoff and low infiltration, showing a quick hydrological response to rainfall events. Area of high drainage density has an impermeable sub-soil material and sparse vegetation </w:t>
      </w:r>
      <w:r w:rsidRPr="00C02489">
        <w:rPr>
          <w:rStyle w:val="FootnoteReference"/>
        </w:rPr>
        <w:fldChar w:fldCharType="begin" w:fldLock="1"/>
      </w:r>
      <w:r w:rsidR="00A309A8">
        <w:instrText>ADDIN CSL_CITATION {"citationItems":[{"id":"ITEM-1","itemData":{"ISSN":"17551315","abstract":"Drainage basin/watershed analysis based on morphometric parameters is very important for watershed planning. Morphometric analysis of watershed is the best method to identify the relationship of various aspects in the area. Despite many technical papers were dealt with in this area of study, there is no particular standard classification and implication of each parameter. It is very confusing to evaluate a value of every morphometric parameter. This paper deals with the meaning of values of the various morphometric parameters, with adequate contextual information. A critical review is presented on each classification, the range of values, and their implications. Besides classification and its impact, the authors also concern about the quality of input data, either in data preparation or scale/the detail level of mapping. This review paper hopefully can give a comprehensive explanation to assist the upcoming research dealing with morphometric analysis.","author":[{"dropping-particle":"","family":"Sukristiyanti","given":"S.","non-dropping-particle":"","parse-names":false,"suffix":""},{"dropping-particle":"","family":"Maria","given":"R.","non-dropping-particle":"","parse-names":false,"suffix":""},{"dropping-particle":"","family":"Lestiana","given":"H.","non-dropping-particle":"","parse-names":false,"suffix":""}],"container-title":"IOP Conference Series: Earth and Environmental Science","id":"ITEM-1","issue":"1","issued":{"date-parts":[["2018"]]},"title":"Watershed-based morphometric analysis: A Review","type":"article-journal","volume":"118"},"uris":["http://www.mendeley.com/documents/?uuid=58411064-6164-4e85-a4b8-ada6557f938a","http://www.mendeley.com/documents/?uuid=741c2735-79c0-4108-a7b3-3364217c59d5"]}],"mendeley":{"formattedCitation":"(Sukristiyanti et al., 2018)","plainTextFormattedCitation":"(Sukristiyanti et al., 2018)","previouslyFormattedCitation":"(Sukristiyanti et al., 2018)"},"properties":{"noteIndex":0},"schema":"https://github.com/citation-style-language/schema/raw/master/csl-citation.json"}</w:instrText>
      </w:r>
      <w:r w:rsidRPr="00C02489">
        <w:rPr>
          <w:rStyle w:val="FootnoteReference"/>
        </w:rPr>
        <w:fldChar w:fldCharType="separate"/>
      </w:r>
      <w:r w:rsidRPr="00C02489">
        <w:rPr>
          <w:noProof/>
        </w:rPr>
        <w:t>(Sukristiyanti et al., 2018)</w:t>
      </w:r>
      <w:r w:rsidRPr="00C02489">
        <w:rPr>
          <w:rStyle w:val="FootnoteReference"/>
        </w:rPr>
        <w:fldChar w:fldCharType="end"/>
      </w:r>
      <w:r w:rsidRPr="00C02489">
        <w:t xml:space="preserve">. </w:t>
      </w:r>
    </w:p>
    <w:p w:rsidR="00720BC7" w:rsidRPr="00C02489" w:rsidRDefault="007877BB" w:rsidP="00601FD1">
      <w:r w:rsidRPr="00C02489">
        <w:t xml:space="preserve">Commonly very high drainage density was recorded at the volcanic mountain’s and near the mountain’s foot, while very low drainage density was recorded at the central rift floor </w:t>
      </w:r>
      <w:r w:rsidRPr="00C02489">
        <w:rPr>
          <w:rStyle w:val="FootnoteReference"/>
        </w:rPr>
        <w:fldChar w:fldCharType="begin" w:fldLock="1"/>
      </w:r>
      <w:r w:rsidR="00A309A8">
        <w:instrText>ADDIN CSL_CITATION {"citationItems":[{"id":"ITEM-1","itemData":{"DOI":"doi.org/10.1007/978-1-4614-9213-9_119-1","ISBN":"978-1-4614-9213-9","author":[{"dropping-particle":"","family":"Drummond","given":"Sarah A.","non-dropping-particle":"","parse-names":false,"suffix":""},{"dropping-particle":"","family":"Erkeling","given":"Gino","non-dropping-particle":"","parse-names":false,"suffix":""}],"container-title":"Encyclopedia of Planetary Landforms","id":"ITEM-1","issued":{"date-parts":[["2014"]]},"page":"1-15","publisher":"Springer; New York; NY","title":"Drainage pattern","type":"entry-encyclopedia"},"uris":["http://www.mendeley.com/documents/?uuid=0951e9b6-4e84-427e-b24c-b814e9f50399","http://www.mendeley.com/documents/?uuid=9a22ff3f-b93e-49da-a0d5-aae90840d885"]}],"mendeley":{"formattedCitation":"(Drummond &amp; Erkeling, 2014)","manualFormatting":"(Drummond and Erkeling, 2014)","plainTextFormattedCitation":"(Drummond &amp; Erkeling, 2014)","previouslyFormattedCitation":"(Drummond &amp; Erkeling, 2014)"},"properties":{"noteIndex":0},"schema":"https://github.com/citation-style-language/schema/raw/master/csl-citation.json"}</w:instrText>
      </w:r>
      <w:r w:rsidRPr="00C02489">
        <w:rPr>
          <w:rStyle w:val="FootnoteReference"/>
        </w:rPr>
        <w:fldChar w:fldCharType="separate"/>
      </w:r>
      <w:r>
        <w:rPr>
          <w:bCs/>
          <w:noProof/>
        </w:rPr>
        <w:t>(Drummond and</w:t>
      </w:r>
      <w:r w:rsidRPr="00C02489">
        <w:rPr>
          <w:bCs/>
          <w:noProof/>
        </w:rPr>
        <w:t xml:space="preserve"> Erkeling, 2014)</w:t>
      </w:r>
      <w:r w:rsidRPr="00C02489">
        <w:rPr>
          <w:rStyle w:val="FootnoteReference"/>
        </w:rPr>
        <w:fldChar w:fldCharType="end"/>
      </w:r>
      <w:r w:rsidRPr="00C02489">
        <w:t>.</w:t>
      </w:r>
      <w:r w:rsidR="009F5652">
        <w:t xml:space="preserve"> </w:t>
      </w:r>
      <w:r w:rsidR="00720BC7" w:rsidRPr="00C02489">
        <w:t xml:space="preserve">Depending on the contribution of drainage classes for groundwater potential, the rank and relative weight of classes are computed through AHP process. Finally, the drainage density map was reclassified on basis of the </w:t>
      </w:r>
      <w:r w:rsidR="008E7DFE">
        <w:t>scale value</w:t>
      </w:r>
      <w:r w:rsidR="00DC4ACF">
        <w:t>.</w:t>
      </w:r>
    </w:p>
    <w:p w:rsidR="00720BC7" w:rsidRPr="00C02489" w:rsidRDefault="00720BC7" w:rsidP="008D3D8E">
      <w:pPr>
        <w:pStyle w:val="ListParagraph"/>
        <w:numPr>
          <w:ilvl w:val="0"/>
          <w:numId w:val="7"/>
        </w:numPr>
      </w:pPr>
      <w:r w:rsidRPr="00C02489">
        <w:t xml:space="preserve">Slope Thematic Map </w:t>
      </w:r>
    </w:p>
    <w:p w:rsidR="00720BC7" w:rsidRPr="00C02489" w:rsidRDefault="00720BC7" w:rsidP="00601FD1">
      <w:r w:rsidRPr="00C02489">
        <w:t xml:space="preserve">The thematic map of slope was extracted from </w:t>
      </w:r>
      <w:r w:rsidR="00B16436">
        <w:t xml:space="preserve">SRTM </w:t>
      </w:r>
      <w:r w:rsidRPr="00C02489">
        <w:t xml:space="preserve">DEM of 30*30-meter spatial resolution by using ArcGIS 10.5. The slope tool in Arc GIS calculates the maximum rate of change in elevation over the distance between the cell and its eight neighbors </w:t>
      </w:r>
      <w:r w:rsidRPr="00C02489">
        <w:fldChar w:fldCharType="begin" w:fldLock="1"/>
      </w:r>
      <w:r w:rsidR="00A309A8">
        <w:instrText>ADDIN CSL_CITATION {"citationItems":[{"id":"ITEM-1","itemData":{"author":[{"dropping-particle":"","family":"Tegegn","given":"Kassa","non-dropping-particle":"","parse-names":false,"suffix":""}],"id":"ITEM-1","issued":{"date-parts":[["2015"]]},"title":"Assessment of groundwater potential zones in Baro Basin using GIS and Remote sensing","type":"article-journal"},"uris":["http://www.mendeley.com/documents/?uuid=4832f842-a1d9-4084-a40b-bdff4a0bf1a3"]}],"mendeley":{"formattedCitation":"(Tegegn, 2015)","plainTextFormattedCitation":"(Tegegn, 2015)","previouslyFormattedCitation":"(Tegegn, 2015)"},"properties":{"noteIndex":0},"schema":"https://github.com/citation-style-language/schema/raw/master/csl-citation.json"}</w:instrText>
      </w:r>
      <w:r w:rsidRPr="00C02489">
        <w:fldChar w:fldCharType="separate"/>
      </w:r>
      <w:r w:rsidRPr="00C02489">
        <w:rPr>
          <w:noProof/>
        </w:rPr>
        <w:t>(Tegegn, 2015)</w:t>
      </w:r>
      <w:r w:rsidRPr="00C02489">
        <w:fldChar w:fldCharType="end"/>
      </w:r>
      <w:r w:rsidRPr="00C02489">
        <w:t>. The lower the slope value is the flatter the terrain while the higher the slope value is the steeper the terrain. AHP is used for computing the relative weight of slope classes and percentage of inconsistency of the matrix (Table 4.</w:t>
      </w:r>
      <w:r w:rsidR="00FD7639">
        <w:t>6</w:t>
      </w:r>
      <w:r w:rsidRPr="00C02489">
        <w:t xml:space="preserve">). The computed value of relative weight was used for </w:t>
      </w:r>
      <w:r w:rsidR="008060DE">
        <w:t xml:space="preserve">demining the scale value and </w:t>
      </w:r>
      <w:r w:rsidRPr="00C02489">
        <w:t>reclassification of slope themati</w:t>
      </w:r>
      <w:r w:rsidR="00B13CF7">
        <w:t>c map.</w:t>
      </w:r>
    </w:p>
    <w:p w:rsidR="00720BC7" w:rsidRPr="00C02489" w:rsidRDefault="00720BC7" w:rsidP="008D3D8E">
      <w:pPr>
        <w:pStyle w:val="ListParagraph"/>
        <w:numPr>
          <w:ilvl w:val="0"/>
          <w:numId w:val="7"/>
        </w:numPr>
      </w:pPr>
      <w:r w:rsidRPr="00C02489">
        <w:t xml:space="preserve">Elevation Thematic Map </w:t>
      </w:r>
    </w:p>
    <w:p w:rsidR="00504259" w:rsidRDefault="00720BC7" w:rsidP="00601FD1">
      <w:r w:rsidRPr="00C02489">
        <w:t xml:space="preserve">The thematic map of elevation was extracted from DEM by using ArcGIS 10.5. The generated map of elevation was ranked as per contribution for groundwater potential and reclassified into five classes to prepare the final thematic layer of elevation. </w:t>
      </w:r>
    </w:p>
    <w:p w:rsidR="00720BC7" w:rsidRDefault="00720BC7" w:rsidP="00601FD1">
      <w:r w:rsidRPr="00C02489">
        <w:t xml:space="preserve">The highest rank was given for low elevation zone and vice versa </w:t>
      </w:r>
      <w:r w:rsidRPr="00C02489">
        <w:fldChar w:fldCharType="begin" w:fldLock="1"/>
      </w:r>
      <w:r w:rsidR="00A309A8">
        <w:instrText>ADDIN CSL_CITATION {"citationItems":[{"id":"ITEM-1","itemData":{"ISBN":"5856420187","author":[{"dropping-particle":"","family":"Godebo","given":"Tewodros Rango","non-dropping-particle":"","parse-names":false,"suffix":""}],"id":"ITEM-1","issued":{"date-parts":[["2018"]]},"publisher":"Addis Ababa University","title":"Application of remote sensing and GIS for Geological investigation and groundwater potential zone identification, Southeastern Ethiopian plateau, Bale Mountains and the surrounding areas","type":"thesis"},"uris":["http://www.mendeley.com/documents/?uuid=7e416c66-f94d-4525-a220-cc121a6bbeee","http://www.mendeley.com/documents/?uuid=3fa629ef-40c7-4f6f-b252-c80e55ce8304"]},{"id":"ITEM-2","itemData":{"author":[{"dropping-particle":"","family":"Doyo","given":"Diriba Worku","non-dropping-particle":"","parse-names":false,"suffix":""}],"id":"ITEM-2","issued":{"date-parts":[["2020"]]},"number-of-pages":"1-84","publisher":"Hawassa University","title":"Groundwater potential mapping using remote sensing and GIS techniques: the case of Meki watershed, Central Rift valley, Ethiopia","type":"thesis"},"uris":["http://www.mendeley.com/documents/?uuid=2751595d-7581-4867-a4a6-8a89444e1e59","http://www.mendeley.com/documents/?uuid=de24f4fb-afa8-4ca2-b379-e72af14d232b","http://www.mendeley.com/documents/?uuid=1c67051d-40c7-487d-aead-31f40e91faae"]},{"id":"ITEM-3","itemData":{"ISSN":"22145818","abstract":"Study Region: Part of the Lake Tana sub-basin of the Blue Nile, Ethiopia Study focus: This study is aimed to identify and locate the groundwater potential zones of Megech watershed using geographic information system (GIS) and remote sensing. Lithology, lineament density, slope, geomorphology, soil, land use and land cover, rainfall, drainage density and elevation were used as proxy data to map the groundwater potential zones of the watershed. Weights were assigned for each thematic layer and thematic layer classes using the PriEsT Analytical Hierarchy Process (AHP) tool. Suitably ArcGIS overlay analysis was conducted to obtain the groundwater potential map. Geology, lineament density, slope and geomorphology were found to be the dominant and sensitive factors for groundwater zoning as portrayed in the map removal analysis. New hydrological insights for the region: Three groundwater potential zones were identified in the study area namely low, moderate and high. These groundwater potential zones were compared with an independent set of groundwater inventory data to validate the results. The validation analysis showed 78.5 % agreement between the groundwater inventory data and the qualitative results. Use of proxy data can serve as a credible source of information for groundwater potential zoning and could greatly help in the groundwater development and management of a region.","author":[{"dropping-particle":"","family":"Berhanu","given":"Kibrit Gedam","non-dropping-particle":"","parse-names":false,"suffix":""},{"dropping-particle":"","family":"Hatiye","given":"Samuel Dagalo","non-dropping-particle":"","parse-names":false,"suffix":""}],"container-title":"Journal of Hydrology: Regional Studies","id":"ITEM-3","issue":"2","issued":{"date-parts":[["2020"]]},"page":"1-20","publisher":"Elsevier","title":"Identification of Groundwater Potential Zones Using Proxy Data: Case study of Megech Watershed, Ethiopia","type":"article-journal","volume":"28"},"uris":["http://www.mendeley.com/documents/?uuid=3490be92-453d-4041-a8ee-a20a1819fce5","http://www.mendeley.com/documents/?uuid=eb26e103-6c48-4c4c-ba99-ee12644d8c83","http://www.mendeley.com/documents/?uuid=e5553b30-f355-4782-bf0e-f789cd07037f"]}],"mendeley":{"formattedCitation":"(K. G. Berhanu &amp; Hatiye, 2020; Doyo, 2020; Godebo, 2018)","manualFormatting":"(Berhanu and Hatiye, 2020; Doyo, 2020; Godebo, 2018)","plainTextFormattedCitation":"(K. G. Berhanu &amp; Hatiye, 2020; Doyo, 2020; Godebo, 2018)","previouslyFormattedCitation":"(K. G. Berhanu &amp; Hatiye, 2020; Doyo, 2020; Godebo, 2018)"},"properties":{"noteIndex":0},"schema":"https://github.com/citation-style-language/schema/raw/master/csl-citation.json"}</w:instrText>
      </w:r>
      <w:r w:rsidRPr="00C02489">
        <w:fldChar w:fldCharType="separate"/>
      </w:r>
      <w:r w:rsidR="00246BCC">
        <w:rPr>
          <w:noProof/>
        </w:rPr>
        <w:t>(Berhanu and</w:t>
      </w:r>
      <w:r w:rsidRPr="00C02489">
        <w:rPr>
          <w:noProof/>
        </w:rPr>
        <w:t xml:space="preserve"> Hatiye, 2020; Doyo, 2020; Godebo, 2018)</w:t>
      </w:r>
      <w:r w:rsidRPr="00C02489">
        <w:fldChar w:fldCharType="end"/>
      </w:r>
      <w:r w:rsidRPr="00C02489">
        <w:t xml:space="preserve">. The relative weight and </w:t>
      </w:r>
      <w:r w:rsidR="00A72A9C">
        <w:t xml:space="preserve">CR </w:t>
      </w:r>
      <w:r w:rsidR="00E457FA">
        <w:t xml:space="preserve">value </w:t>
      </w:r>
      <w:r w:rsidRPr="00C02489">
        <w:t xml:space="preserve">of elevation map was computed through AHP. Using the relative weight of classes, the elevation map was ranked and </w:t>
      </w:r>
      <w:r w:rsidR="00E457FA">
        <w:t xml:space="preserve">the thematic layer was </w:t>
      </w:r>
      <w:r w:rsidR="00E457FA" w:rsidRPr="00C02489">
        <w:t xml:space="preserve">reclassified </w:t>
      </w:r>
      <w:r w:rsidR="0044794F">
        <w:t>by</w:t>
      </w:r>
      <w:r w:rsidR="00E457FA">
        <w:t xml:space="preserve"> </w:t>
      </w:r>
      <w:r w:rsidR="00006D07">
        <w:t xml:space="preserve">using </w:t>
      </w:r>
      <w:r w:rsidR="00E457FA">
        <w:t xml:space="preserve">scale value </w:t>
      </w:r>
      <w:r w:rsidRPr="00C02489">
        <w:t>(Table 4.</w:t>
      </w:r>
      <w:r w:rsidR="00FD7639">
        <w:t>7</w:t>
      </w:r>
      <w:r w:rsidRPr="00C02489">
        <w:t>).</w:t>
      </w:r>
    </w:p>
    <w:p w:rsidR="00C312AA" w:rsidRPr="00C02489" w:rsidRDefault="00C312AA" w:rsidP="00601FD1">
      <w:pPr>
        <w:rPr>
          <w:rFonts w:eastAsia="Times New Roman"/>
          <w:snapToGrid w:val="0"/>
          <w:w w:val="0"/>
          <w:u w:color="000000"/>
          <w:bdr w:val="none" w:sz="0" w:space="0" w:color="000000"/>
          <w:shd w:val="clear" w:color="000000" w:fill="000000"/>
        </w:rPr>
      </w:pPr>
    </w:p>
    <w:p w:rsidR="00720BC7" w:rsidRPr="00C02489" w:rsidRDefault="00720BC7" w:rsidP="008D3D8E">
      <w:pPr>
        <w:pStyle w:val="ListParagraph"/>
        <w:numPr>
          <w:ilvl w:val="0"/>
          <w:numId w:val="7"/>
        </w:numPr>
      </w:pPr>
      <w:r w:rsidRPr="00C02489">
        <w:lastRenderedPageBreak/>
        <w:t xml:space="preserve">Land Use and Land Cover (LU/LC) Thematic Map </w:t>
      </w:r>
    </w:p>
    <w:p w:rsidR="00E27065" w:rsidRDefault="00720BC7" w:rsidP="00601FD1">
      <w:r w:rsidRPr="00C02489">
        <w:t>To prepare the LU/LC map of study area the</w:t>
      </w:r>
      <w:r w:rsidR="00E75D03">
        <w:t xml:space="preserve"> pre-processed</w:t>
      </w:r>
      <w:r w:rsidR="00E75D03" w:rsidRPr="00C02489">
        <w:t xml:space="preserve"> </w:t>
      </w:r>
      <w:r w:rsidRPr="00C02489">
        <w:t xml:space="preserve">Landsat 8 OLI/TIRS multi-spectral images of 2019 was </w:t>
      </w:r>
      <w:r w:rsidR="00E75D03">
        <w:t xml:space="preserve">used. </w:t>
      </w:r>
      <w:r w:rsidRPr="00C02489">
        <w:t>Supervised images classi</w:t>
      </w:r>
      <w:r w:rsidR="002D0349">
        <w:t>fication technique was employed</w:t>
      </w:r>
      <w:r w:rsidRPr="00C02489">
        <w:t xml:space="preserve"> by </w:t>
      </w:r>
      <w:r w:rsidR="00E27065">
        <w:t xml:space="preserve">using the actual points and </w:t>
      </w:r>
      <w:r w:rsidRPr="00C02489">
        <w:t xml:space="preserve">linking ERDAS </w:t>
      </w:r>
      <w:r w:rsidR="00E27065">
        <w:t xml:space="preserve">Imagine 2015 with Google earth. </w:t>
      </w:r>
      <w:r w:rsidRPr="00C02489">
        <w:t xml:space="preserve">The accuracy of classified LU/LC map was assessed by calculating the overall accuracy, producer’s accuracy, user’s accuracy and Kappa coefficient (K) </w:t>
      </w:r>
      <w:r w:rsidRPr="00C02489">
        <w:fldChar w:fldCharType="begin" w:fldLock="1"/>
      </w:r>
      <w:r w:rsidR="009906F2">
        <w:instrText>ADDIN CSL_CITATION {"citationItems":[{"id":"ITEM-1","itemData":{"DOI":"10.1007/s12524-011-0165-4","author":[{"dropping-particle":"","family":"Rahman","given":"Atiqur","non-dropping-particle":"","parse-names":false,"suffix":""},{"dropping-particle":"","family":"Kumar","given":"Sunil","non-dropping-particle":"","parse-names":false,"suffix":""},{"dropping-particle":"","family":"Fazal","given":"Shahab","non-dropping-particle":"","parse-names":false,"suffix":""}],"container-title":"Journal of the Indian Society of Remote Sensing","id":"ITEM-1","issue":"5","issued":{"date-parts":[["2012"]]},"title":"Assessment of land use / land cover change in the North-West District of Delhi Using Remote Sensing and GIS techniques","type":"article-journal"},"uris":["http://www.mendeley.com/documents/?uuid=bb495a27-f686-4394-bc0b-15257c83a6ff","http://www.mendeley.com/documents/?uuid=3ade1fea-9fde-4c08-88dc-0c98d83c066d"]},{"id":"ITEM-2","itemData":{"ISSN":"2366-3286","abstract":"Land Use Land Cover Changes (LULCC) has impacts on a wide range of environmental and landscape attributes including the quality of land, water and air. The main objective of this study was to analysis the impact of anthropogenic activities and LULCC on weather (rainfall and temperature) and vegetation in the study area over a period of 28 years. The study has employed temporal LANDSAT sensors data to identify the changes in LULC and Vegetation Indices through anthropogenic influence. Moreover, statistical analysis of temperature and rainfall data (1985-2015) has also been done of Bambasi station. It has been found that the average temperature has been increased approximately 2.2 A degrees C and the average rainfall amount was declined throughout the period. The drastic changes have been noticed in LULC, vegetation health and its area through NDVI during the first interval (1987-2001) but the land change growth was less in second interval (2001-2015). The increasing population, urbanization and resettlement scheme for refugees were the responsible factors for changes. This case study indicates that the impact of anthropogenic activities leads the change in LULC and the climate has been influenced or vice versa over the time period in this semi-arid region of Ethiopia.","author":[{"dropping-particle":"","family":"Emiru","given":"Tamam","non-dropping-particle":"","parse-names":false,"suffix":""},{"dropping-particle":"","family":"Naqvi","given":"Hasan Raja","non-dropping-particle":"","parse-names":false,"suffix":""},{"dropping-particle":"","family":"Athick","given":"Mohammed Abdul","non-dropping-particle":"","parse-names":false,"suffix":""}],"container-title":"Spatial Information Research","id":"ITEM-2","issue":"4","issued":{"date-parts":[["2018"]]},"page":"427-436","publisher":"Springer Singapore","title":"Anthropogenic impact on land use land cover: influence on weather and vegetation in Bambasi Wereda, Ethiopia","type":"article-journal","volume":"26"},"uris":["http://www.mendeley.com/documents/?uuid=5734aa9e-d3cc-4001-aaa8-f6c287f3209e","http://www.mendeley.com/documents/?uuid=09fa97ca-0370-413a-95aa-8edba9a2392f"]},{"id":"ITEM-3","itemData":{"author":[{"dropping-particle":"","family":"Desta","given":"Wallelign Alem","non-dropping-particle":"","parse-names":false,"suffix":""}],"id":"ITEM-3","issued":{"date-parts":[["2007"]]},"number-of-pages":"1-88","publisher":"Addis Abeba University","title":"Assessment of Land Use Land Cover dynamics at Bale Mountains National Park using GIS and Remote sensing","type":"thesis"},"uris":["http://www.mendeley.com/documents/?uuid=a280a64d-6448-47a2-b757-2de473e050cd","http://www.mendeley.com/documents/?uuid=93dbfd98-b07f-4496-8935-67c5b8d16502"]},{"id":"ITEM-4","itemData":{"author":[{"dropping-particle":"","family":"Doyo","given":"Diriba Worku","non-dropping-particle":"","parse-names":false,"suffix":""}],"id":"ITEM-4","issued":{"date-parts":[["2020"]]},"number-of-pages":"1-84","publisher":"Hawassa University","title":"Groundwater potential mapping using remote sensing and GIS techniques: the case of Meki watershed, Central Rift valley, Ethiopia","type":"thesis"},"uris":["http://www.mendeley.com/documents/?uuid=2751595d-7581-4867-a4a6-8a89444e1e59","http://www.mendeley.com/documents/?uuid=de24f4fb-afa8-4ca2-b379-e72af14d232b","http://www.mendeley.com/documents/?uuid=f504ff0d-dc4b-485a-ad71-123aca85530e"]}],"mendeley":{"formattedCitation":"(Desta, 2007; Doyo, 2020; Emiru et al., 2018; Rahman et al., 2012)","plainTextFormattedCitation":"(Desta, 2007; Doyo, 2020; Emiru et al., 2018; Rahman et al., 2012)","previouslyFormattedCitation":"(Desta, 2007; Doyo, 2020; Emiru et al., 2018; Rahman et al., 2012)"},"properties":{"noteIndex":0},"schema":"https://github.com/citation-style-language/schema/raw/master/csl-citation.json"}</w:instrText>
      </w:r>
      <w:r w:rsidRPr="00C02489">
        <w:fldChar w:fldCharType="separate"/>
      </w:r>
      <w:r w:rsidR="00993050" w:rsidRPr="00993050">
        <w:rPr>
          <w:noProof/>
        </w:rPr>
        <w:t>(Desta, 2007; Doyo, 2020; Emiru et al., 2018; Rahman et al., 2012)</w:t>
      </w:r>
      <w:r w:rsidRPr="00C02489">
        <w:fldChar w:fldCharType="end"/>
      </w:r>
      <w:r w:rsidR="00E27065">
        <w:t xml:space="preserve">. </w:t>
      </w:r>
      <w:r w:rsidR="00E27065" w:rsidRPr="00E27065">
        <w:t xml:space="preserve">One hundred forty nine </w:t>
      </w:r>
      <w:r w:rsidR="00E27065">
        <w:t>control points were</w:t>
      </w:r>
      <w:r w:rsidR="00E27065" w:rsidRPr="00E27065">
        <w:t xml:space="preserve"> used</w:t>
      </w:r>
      <w:r w:rsidR="00E27065">
        <w:t xml:space="preserve"> for assessing the </w:t>
      </w:r>
      <w:r w:rsidR="00E27065" w:rsidRPr="00C02489">
        <w:t>accuracy</w:t>
      </w:r>
      <w:r w:rsidR="00E27065">
        <w:t xml:space="preserve"> of classified LU/LC</w:t>
      </w:r>
      <w:r w:rsidR="00E27065" w:rsidRPr="00E27065">
        <w:t>. Since the sub basin is large and encompassing a limited accessibility area, it is not possible to record a densely populated huge amount of control points actual location and LU/LC by using GPS (with limited time and resources). Hence only twenty points of mixed LU/LC classes (which need detail identification) was recorded intently by usi</w:t>
      </w:r>
      <w:r w:rsidR="00E27065">
        <w:t xml:space="preserve">ng GPS and the left one hundred </w:t>
      </w:r>
      <w:r w:rsidR="00E27065" w:rsidRPr="00E27065">
        <w:t>twenty nine point was taken randomly by using Arc GIS 10.5 Arc tool box.</w:t>
      </w:r>
    </w:p>
    <w:p w:rsidR="00C312AA" w:rsidRDefault="00720BC7" w:rsidP="00601FD1">
      <w:r w:rsidRPr="00C02489">
        <w:t xml:space="preserve">The overall classification accuracy is the percentage of correctly classified samples of an error matrix. It is computed by dividing the total number of correctly classified sample by the total number of sample including error sample </w:t>
      </w:r>
      <w:r w:rsidRPr="00C02489">
        <w:fldChar w:fldCharType="begin" w:fldLock="1"/>
      </w:r>
      <w:r w:rsidR="00A309A8">
        <w:instrText>ADDIN CSL_CITATION {"citationItems":[{"id":"ITEM-1","itemData":{"author":[{"dropping-particle":"","family":"Abdelkareem","given":"O.E.A.","non-dropping-particle":"","parse-names":false,"suffix":""},{"dropping-particle":"","family":"Elamin","given":"H.M.A.","non-dropping-particle":"","parse-names":false,"suffix":""},{"dropping-particle":"","family":"Eltahir","given":"M.E.S.","non-dropping-particle":"","parse-names":false,"suffix":""},{"dropping-particle":"","family":"Adam","given":"H.E.","non-dropping-particle":"","parse-names":false,"suffix":""},{"dropping-particle":"","family":"Elhaja","given":"M.E.","non-dropping-particle":"","parse-names":false,"suffix":""},{"dropping-particle":"","family":"Rahamtalla","given":"A.M.","non-dropping-particle":"","parse-names":false,"suffix":""},{"dropping-particle":"","family":"Babatunde","given":"O.","non-dropping-particle":"","parse-names":false,"suffix":""},{"dropping-particle":"","family":"Elmar","given":"C.","non-dropping-particle":"","parse-names":false,"suffix":""}],"container-title":"International Journal of Agricultural and Environmental Sciences","id":"ITEM-1","issue":"1","issued":{"date-parts":[["2018"]]},"page":"5-9","title":"Accuracy assessment of land use land cover in Umabdalla natural reserved forest, South Kordofan, Sudan","type":"article-journal","volume":"3"},"uris":["http://www.mendeley.com/documents/?uuid=8f8af357-e48a-46ca-b707-236da6f6b510","http://www.mendeley.com/documents/?uuid=56abf9e8-4bf0-493b-9d7f-659e202f53ae"]}],"mendeley":{"formattedCitation":"(Abdelkareem et al., 2018)","plainTextFormattedCitation":"(Abdelkareem et al., 2018)","previouslyFormattedCitation":"(Abdelkareem et al., 2018)"},"properties":{"noteIndex":0},"schema":"https://github.com/citation-style-language/schema/raw/master/csl-citation.json"}</w:instrText>
      </w:r>
      <w:r w:rsidRPr="00C02489">
        <w:fldChar w:fldCharType="separate"/>
      </w:r>
      <w:r w:rsidRPr="00B81C14">
        <w:rPr>
          <w:noProof/>
        </w:rPr>
        <w:t>(Abdelkareem et al., 2018)</w:t>
      </w:r>
      <w:r w:rsidRPr="00C02489">
        <w:fldChar w:fldCharType="end"/>
      </w:r>
      <w:r w:rsidRPr="00C02489">
        <w:t xml:space="preserve">. The producer’s accuracy </w:t>
      </w:r>
      <w:r w:rsidR="00101843" w:rsidRPr="00C02489">
        <w:t>depicts</w:t>
      </w:r>
      <w:r w:rsidRPr="00C02489">
        <w:t xml:space="preserve"> how well a certain area could be classified. It is obtained by dividing the number of correctly classified pixels in the category by the total number of pixels assigned to the same class </w:t>
      </w:r>
      <w:r w:rsidRPr="00C02489">
        <w:fldChar w:fldCharType="begin" w:fldLock="1"/>
      </w:r>
      <w:r w:rsidR="00A309A8">
        <w:instrText>ADDIN CSL_CITATION {"citationItems":[{"id":"ITEM-1","itemData":{"author":[{"dropping-particle":"","family":"Doyo","given":"Diriba Worku","non-dropping-particle":"","parse-names":false,"suffix":""}],"id":"ITEM-1","issued":{"date-parts":[["2020"]]},"number-of-pages":"1-84","publisher":"Hawassa University","title":"Groundwater potential mapping using remote sensing and GIS techniques: the case of Meki watershed, Central Rift valley, Ethiopia","type":"thesis"},"uris":["http://www.mendeley.com/documents/?uuid=2751595d-7581-4867-a4a6-8a89444e1e59","http://www.mendeley.com/documents/?uuid=de24f4fb-afa8-4ca2-b379-e72af14d232b"]}],"mendeley":{"formattedCitation":"(Doyo, 2020)","plainTextFormattedCitation":"(Doyo, 2020)","previouslyFormattedCitation":"(Doyo, 2020)"},"properties":{"noteIndex":0},"schema":"https://github.com/citation-style-language/schema/raw/master/csl-citation.json"}</w:instrText>
      </w:r>
      <w:r w:rsidRPr="00C02489">
        <w:fldChar w:fldCharType="separate"/>
      </w:r>
      <w:r w:rsidRPr="00C02489">
        <w:rPr>
          <w:noProof/>
        </w:rPr>
        <w:t>(Doyo, 2020)</w:t>
      </w:r>
      <w:r w:rsidRPr="00C02489">
        <w:fldChar w:fldCharType="end"/>
      </w:r>
      <w:r w:rsidR="001418F3">
        <w:t xml:space="preserve">. </w:t>
      </w:r>
      <w:r w:rsidRPr="00C02489">
        <w:t xml:space="preserve">User’s Accuracy is the ratio between the total number of pixels correctly belonging to a class and the total number of pixels assigned to the same class by the classification procedure. This quantity explains the probability that a pixel of the classified image truly corresponds to the class to which it has been assigned. </w:t>
      </w:r>
    </w:p>
    <w:p w:rsidR="00720BC7" w:rsidRPr="00C02489" w:rsidRDefault="00720BC7" w:rsidP="00601FD1">
      <w:r w:rsidRPr="00C02489">
        <w:t xml:space="preserve">The kappa statistics is an estimate of measure of overall agreement between image data and the reference data. It compensates for chance of agreement in the classification and provides a measure of how much better the classification performed in comparison to the probability of random assigning of pixels to their correct categories. </w:t>
      </w:r>
    </w:p>
    <w:p w:rsidR="00720BC7" w:rsidRPr="00C02489" w:rsidRDefault="00720BC7" w:rsidP="00C34AE4">
      <w:pPr>
        <w:pStyle w:val="Caption"/>
        <w:spacing w:before="120" w:after="120" w:line="360" w:lineRule="auto"/>
        <w:rPr>
          <w:i w:val="0"/>
          <w:color w:val="auto"/>
          <w:sz w:val="24"/>
          <w:szCs w:val="24"/>
        </w:rPr>
      </w:pPr>
      <m:oMath>
        <m:r>
          <w:rPr>
            <w:rFonts w:ascii="Cambria Math" w:hAnsi="Cambria Math"/>
            <w:color w:val="auto"/>
            <w:sz w:val="24"/>
            <w:szCs w:val="24"/>
          </w:rPr>
          <m:t>K=</m:t>
        </m:r>
        <m:d>
          <m:dPr>
            <m:begChr m:val="["/>
            <m:endChr m:val="]"/>
            <m:ctrlPr>
              <w:rPr>
                <w:rFonts w:ascii="Cambria Math" w:hAnsi="Cambria Math"/>
                <w:i w:val="0"/>
                <w:color w:val="auto"/>
                <w:sz w:val="24"/>
                <w:szCs w:val="24"/>
              </w:rPr>
            </m:ctrlPr>
          </m:dPr>
          <m:e>
            <m:f>
              <m:fPr>
                <m:ctrlPr>
                  <w:rPr>
                    <w:rFonts w:ascii="Cambria Math" w:hAnsi="Cambria Math"/>
                    <w:i w:val="0"/>
                    <w:iCs w:val="0"/>
                    <w:color w:val="auto"/>
                    <w:sz w:val="24"/>
                    <w:szCs w:val="24"/>
                  </w:rPr>
                </m:ctrlPr>
              </m:fPr>
              <m:num>
                <m:d>
                  <m:dPr>
                    <m:ctrlPr>
                      <w:rPr>
                        <w:rFonts w:ascii="Cambria Math" w:hAnsi="Cambria Math"/>
                        <w:i w:val="0"/>
                        <w:color w:val="auto"/>
                        <w:sz w:val="24"/>
                        <w:szCs w:val="24"/>
                      </w:rPr>
                    </m:ctrlPr>
                  </m:dPr>
                  <m:e>
                    <m:r>
                      <w:rPr>
                        <w:rFonts w:ascii="Cambria Math" w:hAnsi="Cambria Math"/>
                        <w:color w:val="auto"/>
                        <w:sz w:val="24"/>
                        <w:szCs w:val="24"/>
                      </w:rPr>
                      <m:t>TS*TCS</m:t>
                    </m:r>
                  </m:e>
                </m:d>
                <m:r>
                  <w:rPr>
                    <w:rFonts w:ascii="Cambria Math" w:hAnsi="Cambria Math"/>
                    <w:color w:val="auto"/>
                    <w:sz w:val="24"/>
                    <w:szCs w:val="24"/>
                  </w:rPr>
                  <m:t>-(</m:t>
                </m:r>
                <m:nary>
                  <m:naryPr>
                    <m:chr m:val="∑"/>
                    <m:limLoc m:val="undOvr"/>
                    <m:subHide m:val="1"/>
                    <m:supHide m:val="1"/>
                    <m:ctrlPr>
                      <w:rPr>
                        <w:rFonts w:ascii="Cambria Math" w:hAnsi="Cambria Math"/>
                        <w:i w:val="0"/>
                        <w:iCs w:val="0"/>
                        <w:color w:val="auto"/>
                        <w:sz w:val="24"/>
                        <w:szCs w:val="24"/>
                      </w:rPr>
                    </m:ctrlPr>
                  </m:naryPr>
                  <m:sub/>
                  <m:sup/>
                  <m:e>
                    <m:r>
                      <w:rPr>
                        <w:rFonts w:ascii="Cambria Math" w:hAnsi="Cambria Math"/>
                        <w:color w:val="auto"/>
                        <w:sz w:val="24"/>
                        <w:szCs w:val="24"/>
                      </w:rPr>
                      <m:t>CT*RT)</m:t>
                    </m:r>
                  </m:e>
                </m:nary>
              </m:num>
              <m:den>
                <m:d>
                  <m:dPr>
                    <m:ctrlPr>
                      <w:rPr>
                        <w:rFonts w:ascii="Cambria Math" w:hAnsi="Cambria Math"/>
                        <w:i w:val="0"/>
                        <w:color w:val="auto"/>
                        <w:sz w:val="24"/>
                        <w:szCs w:val="24"/>
                      </w:rPr>
                    </m:ctrlPr>
                  </m:dPr>
                  <m:e>
                    <m:sSup>
                      <m:sSupPr>
                        <m:ctrlPr>
                          <w:rPr>
                            <w:rFonts w:ascii="Cambria Math" w:hAnsi="Cambria Math"/>
                            <w:i w:val="0"/>
                            <w:iCs w:val="0"/>
                            <w:color w:val="auto"/>
                            <w:sz w:val="24"/>
                            <w:szCs w:val="24"/>
                          </w:rPr>
                        </m:ctrlPr>
                      </m:sSupPr>
                      <m:e>
                        <m:r>
                          <w:rPr>
                            <w:rFonts w:ascii="Cambria Math" w:hAnsi="Cambria Math"/>
                            <w:color w:val="auto"/>
                            <w:sz w:val="24"/>
                            <w:szCs w:val="24"/>
                          </w:rPr>
                          <m:t>TS</m:t>
                        </m:r>
                      </m:e>
                      <m:sup>
                        <m:r>
                          <w:rPr>
                            <w:rFonts w:ascii="Cambria Math" w:hAnsi="Cambria Math"/>
                            <w:color w:val="auto"/>
                            <w:sz w:val="24"/>
                            <w:szCs w:val="24"/>
                          </w:rPr>
                          <m:t>2</m:t>
                        </m:r>
                      </m:sup>
                    </m:sSup>
                  </m:e>
                </m:d>
                <m:r>
                  <w:rPr>
                    <w:rFonts w:ascii="Cambria Math" w:hAnsi="Cambria Math"/>
                    <w:color w:val="auto"/>
                    <w:sz w:val="24"/>
                    <w:szCs w:val="24"/>
                  </w:rPr>
                  <m:t>-(</m:t>
                </m:r>
                <m:nary>
                  <m:naryPr>
                    <m:chr m:val="∑"/>
                    <m:limLoc m:val="undOvr"/>
                    <m:subHide m:val="1"/>
                    <m:supHide m:val="1"/>
                    <m:ctrlPr>
                      <w:rPr>
                        <w:rFonts w:ascii="Cambria Math" w:hAnsi="Cambria Math"/>
                        <w:i w:val="0"/>
                        <w:iCs w:val="0"/>
                        <w:color w:val="auto"/>
                        <w:sz w:val="24"/>
                        <w:szCs w:val="24"/>
                      </w:rPr>
                    </m:ctrlPr>
                  </m:naryPr>
                  <m:sub/>
                  <m:sup/>
                  <m:e>
                    <m:r>
                      <w:rPr>
                        <w:rFonts w:ascii="Cambria Math" w:hAnsi="Cambria Math"/>
                        <w:color w:val="auto"/>
                        <w:sz w:val="24"/>
                        <w:szCs w:val="24"/>
                      </w:rPr>
                      <m:t>CT*RT)</m:t>
                    </m:r>
                  </m:e>
                </m:nary>
              </m:den>
            </m:f>
          </m:e>
        </m:d>
        <m:r>
          <w:rPr>
            <w:rFonts w:ascii="Cambria Math" w:hAnsi="Cambria Math"/>
            <w:color w:val="auto"/>
            <w:sz w:val="24"/>
            <w:szCs w:val="24"/>
          </w:rPr>
          <m:t>*100%</m:t>
        </m:r>
      </m:oMath>
      <w:r w:rsidRPr="00C02489">
        <w:rPr>
          <w:i w:val="0"/>
          <w:color w:val="auto"/>
          <w:sz w:val="24"/>
          <w:szCs w:val="24"/>
        </w:rPr>
        <w:t xml:space="preserve">.........................................................................Equation </w:t>
      </w:r>
      <w:r w:rsidR="007073F4">
        <w:rPr>
          <w:i w:val="0"/>
          <w:color w:val="auto"/>
          <w:sz w:val="24"/>
          <w:szCs w:val="24"/>
        </w:rPr>
        <w:t>3.6</w:t>
      </w:r>
      <w:r w:rsidRPr="00C02489">
        <w:rPr>
          <w:i w:val="0"/>
          <w:color w:val="auto"/>
          <w:sz w:val="24"/>
          <w:szCs w:val="24"/>
        </w:rPr>
        <w:t xml:space="preserve"> </w:t>
      </w:r>
    </w:p>
    <w:p w:rsidR="00720BC7" w:rsidRPr="00C02489" w:rsidRDefault="00720BC7" w:rsidP="00C34AE4">
      <w:r w:rsidRPr="00C02489">
        <w:t>Where TS, CT, RT and TCS represents total number of sample, column total, raw total, and total corrected sample.</w:t>
      </w:r>
    </w:p>
    <w:p w:rsidR="00720BC7" w:rsidRPr="00C02489" w:rsidRDefault="00720BC7" w:rsidP="00C34AE4">
      <w:r w:rsidRPr="00C02489">
        <w:lastRenderedPageBreak/>
        <w:t>A Kappa coefficient greater than 0.80 (80%) represents strong agreement. The value between 0.40 and 0.80 (40 to 80%) represents moderate agreement, while a value below 0.40 (40%) represents poor agreement</w:t>
      </w:r>
      <w:r w:rsidR="000013FA">
        <w:t xml:space="preserve"> </w:t>
      </w:r>
      <w:r w:rsidR="009602BD">
        <w:fldChar w:fldCharType="begin" w:fldLock="1"/>
      </w:r>
      <w:r w:rsidR="009906F2">
        <w:instrText>ADDIN CSL_CITATION {"citationItems":[{"id":"ITEM-1","itemData":{"author":[{"dropping-particle":"","family":"Desta","given":"Wallelign Alem","non-dropping-particle":"","parse-names":false,"suffix":""}],"id":"ITEM-1","issued":{"date-parts":[["2007"]]},"number-of-pages":"1-88","publisher":"Addis Abeba University","title":"Assessment of Land Use Land Cover dynamics at Bale Mountains National Park using GIS and Remote sensing","type":"thesis"},"uris":["http://www.mendeley.com/documents/?uuid=a280a64d-6448-47a2-b757-2de473e050cd","http://www.mendeley.com/documents/?uuid=93dbfd98-b07f-4496-8935-67c5b8d16502"]}],"mendeley":{"formattedCitation":"(Desta, 2007)","plainTextFormattedCitation":"(Desta, 2007)","previouslyFormattedCitation":"(Desta, 2007)"},"properties":{"noteIndex":0},"schema":"https://github.com/citation-style-language/schema/raw/master/csl-citation.json"}</w:instrText>
      </w:r>
      <w:r w:rsidR="009602BD">
        <w:fldChar w:fldCharType="separate"/>
      </w:r>
      <w:r w:rsidR="00993050" w:rsidRPr="00993050">
        <w:rPr>
          <w:noProof/>
        </w:rPr>
        <w:t>(Desta, 2007)</w:t>
      </w:r>
      <w:r w:rsidR="009602BD">
        <w:fldChar w:fldCharType="end"/>
      </w:r>
      <w:r w:rsidR="00C312AA">
        <w:t xml:space="preserve">. </w:t>
      </w:r>
      <w:r w:rsidRPr="00C02489">
        <w:t>Depending on the contribution of LU/LC classes</w:t>
      </w:r>
      <w:r w:rsidR="003A0D10">
        <w:t>,</w:t>
      </w:r>
      <w:r w:rsidRPr="00C02489">
        <w:t xml:space="preserve"> the relativ</w:t>
      </w:r>
      <w:r w:rsidR="003830A9">
        <w:t xml:space="preserve">e weight and </w:t>
      </w:r>
      <w:r w:rsidRPr="00C02489">
        <w:t>CR</w:t>
      </w:r>
      <w:r w:rsidR="003830A9">
        <w:t xml:space="preserve"> value </w:t>
      </w:r>
      <w:r w:rsidR="00D22D8F">
        <w:t>of LU/LC was computed (Table 4.8</w:t>
      </w:r>
      <w:r w:rsidRPr="00C02489">
        <w:t xml:space="preserve">). The final LU/LC map </w:t>
      </w:r>
      <w:r w:rsidR="003A0D10">
        <w:t>was</w:t>
      </w:r>
      <w:r w:rsidR="0068333C">
        <w:t xml:space="preserve"> reclassified by using the </w:t>
      </w:r>
      <w:r w:rsidR="003A0D10">
        <w:t xml:space="preserve">scale value </w:t>
      </w:r>
      <w:r w:rsidRPr="00C02489">
        <w:t>of</w:t>
      </w:r>
      <w:r w:rsidR="003A0D10">
        <w:t xml:space="preserve"> LU/LC classes</w:t>
      </w:r>
      <w:r w:rsidRPr="00C02489">
        <w:t xml:space="preserve"> (Figure 4.1</w:t>
      </w:r>
      <w:r w:rsidR="00470F85">
        <w:t>9</w:t>
      </w:r>
      <w:r w:rsidRPr="00C02489">
        <w:t>).</w:t>
      </w:r>
    </w:p>
    <w:p w:rsidR="00720BC7" w:rsidRPr="00C02489" w:rsidRDefault="00720BC7" w:rsidP="008D3D8E">
      <w:pPr>
        <w:pStyle w:val="ListParagraph"/>
        <w:numPr>
          <w:ilvl w:val="0"/>
          <w:numId w:val="7"/>
        </w:numPr>
      </w:pPr>
      <w:bookmarkStart w:id="151" w:name="_Toc23171175"/>
      <w:bookmarkStart w:id="152" w:name="_Toc23256458"/>
      <w:bookmarkEnd w:id="150"/>
      <w:r w:rsidRPr="00C02489">
        <w:t xml:space="preserve">Soil Texture Thematic Map </w:t>
      </w:r>
      <w:bookmarkEnd w:id="151"/>
      <w:bookmarkEnd w:id="152"/>
    </w:p>
    <w:p w:rsidR="00504259" w:rsidRDefault="00720BC7" w:rsidP="00C34AE4">
      <w:r w:rsidRPr="00C02489">
        <w:t xml:space="preserve">The soil map of Weyib Sub-basin was clipped from the soil map of Genale-Dawa River basin. The soils are classified on the basis of the revised legend of FAO/UNESCO soil map of the world </w:t>
      </w:r>
      <w:r w:rsidRPr="00C02489">
        <w:fldChar w:fldCharType="begin" w:fldLock="1"/>
      </w:r>
      <w:r w:rsidR="00A309A8">
        <w:instrText>ADDIN CSL_CITATION {"citationItems":[{"id":"ITEM-1","itemData":{"author":[{"dropping-particle":"","family":"FAO","given":"","non-dropping-particle":"","parse-names":false,"suffix":""}],"id":"ITEM-1","issued":{"date-parts":[["1988"]]},"page":"1-109","publisher-place":"Rome, Italy","title":"Soil map of the world, FAO/UNESCO-ISRIC, revised legend with corrections. World soil resources report No. 60","type":"article-journal"},"uris":["http://www.mendeley.com/documents/?uuid=50889b18-2803-44c9-9666-5cd4ea9224f5","http://www.mendeley.com/documents/?uuid=ee956510-6c27-484f-94a5-9ecde4dff801"]}],"mendeley":{"formattedCitation":"(FAO, 1988)","plainTextFormattedCitation":"(FAO, 1988)","previouslyFormattedCitation":"(FAO, 1988)"},"properties":{"noteIndex":0},"schema":"https://github.com/citation-style-language/schema/raw/master/csl-citation.json"}</w:instrText>
      </w:r>
      <w:r w:rsidRPr="00C02489">
        <w:fldChar w:fldCharType="separate"/>
      </w:r>
      <w:r w:rsidRPr="00C02489">
        <w:rPr>
          <w:noProof/>
        </w:rPr>
        <w:t>(FAO, 1988)</w:t>
      </w:r>
      <w:r w:rsidRPr="00C02489">
        <w:fldChar w:fldCharType="end"/>
      </w:r>
      <w:r w:rsidRPr="00C02489">
        <w:t>. The soil shape file was converted to raster format on ArcGIS 10.5 software’s platform. Since the rat</w:t>
      </w:r>
      <w:r w:rsidR="00680EDE">
        <w:t>e of infiltration, permeability</w:t>
      </w:r>
      <w:r w:rsidRPr="00C02489">
        <w:t xml:space="preserve"> and recharge depends on the soil textures, the identified types of soils are reclassified on basis of soil texture </w:t>
      </w:r>
      <w:r w:rsidRPr="00C02489">
        <w:fldChar w:fldCharType="begin" w:fldLock="1"/>
      </w:r>
      <w:r w:rsidR="00A309A8">
        <w:instrText>ADDIN CSL_CITATION {"citationItems":[{"id":"ITEM-1","itemData":{"author":[{"dropping-particle":"","family":"IUSS Working Group WRB","given":"","non-dropping-particle":"","parse-names":false,"suffix":""}],"id":"ITEM-1","issued":{"date-parts":[["2015"]]},"number-of-pages":"1-192","publisher-place":"Rome, Italy","title":"World reference base for soil resources 2014, update 2015 International soil classification system for naming soils and creating legends for soil maps. World soil resources reports No. 106.","type":"report"},"uris":["http://www.mendeley.com/documents/?uuid=0b07c64a-eec9-40e5-9d6e-1f1f9942208b","http://www.mendeley.com/documents/?uuid=0b49b0c2-3e5b-4193-90f0-e7b62fd01aad"]}],"mendeley":{"formattedCitation":"(IUSS Working Group WRB, 2015)","plainTextFormattedCitation":"(IUSS Working Group WRB, 2015)","previouslyFormattedCitation":"(IUSS Working Group WRB, 2015)"},"properties":{"noteIndex":0},"schema":"https://github.com/citation-style-language/schema/raw/master/csl-citation.json"}</w:instrText>
      </w:r>
      <w:r w:rsidRPr="00C02489">
        <w:fldChar w:fldCharType="separate"/>
      </w:r>
      <w:r w:rsidRPr="00C02489">
        <w:rPr>
          <w:noProof/>
        </w:rPr>
        <w:t>(IUSS Working Group WRB, 2015)</w:t>
      </w:r>
      <w:r w:rsidRPr="00C02489">
        <w:fldChar w:fldCharType="end"/>
      </w:r>
      <w:r w:rsidRPr="00C02489">
        <w:t xml:space="preserve">. Sandy soil particles are visible and within a range of 0.05–2 mm diameter. Silt soil particle are merely visible having a diameter ranges between 0.002–0.05 mm. Clay soil particle diameter is less than 0.002 mm and not visible </w:t>
      </w:r>
      <w:r w:rsidRPr="00C02489">
        <w:fldChar w:fldCharType="begin" w:fldLock="1"/>
      </w:r>
      <w:r w:rsidR="00A309A8">
        <w:instrText>ADDIN CSL_CITATION {"citationItems":[{"id":"ITEM-1","itemData":{"author":[{"dropping-particle":"","family":"Nachtergaele","given":"Freddy","non-dropping-particle":"","parse-names":false,"suffix":""},{"dropping-particle":"Van","family":"Velthuizen","given":"Harrij","non-dropping-particle":"","parse-names":false,"suffix":""},{"dropping-particle":"","family":"Verelst","given":"Luc","non-dropping-particle":"","parse-names":false,"suffix":""},{"dropping-particle":"","family":"Batjes","given":"Niels","non-dropping-particle":"","parse-names":false,"suffix":""},{"dropping-particle":"","family":"Dijkshoorn","given":"Koos","non-dropping-particle":"","parse-names":false,"suffix":""},{"dropping-particle":"Van","family":"Engelen","given":"Vincent","non-dropping-particle":"","parse-names":false,"suffix":""},{"dropping-particle":"","family":"Fischer","given":"Guenther","non-dropping-particle":"","parse-names":false,"suffix":""},{"dropping-particle":"","family":"Jones","given":"Arwyn","non-dropping-particle":"","parse-names":false,"suffix":""},{"dropping-particle":"","family":"Montanarella","given":"Luca","non-dropping-particle":"","parse-names":false,"suffix":""},{"dropping-particle":"","family":"Petri","given":"Monica","non-dropping-particle":"","parse-names":false,"suffix":""},{"dropping-particle":"","family":"Prieler","given":"Sylvia","non-dropping-particle":"","parse-names":false,"suffix":""},{"dropping-particle":"","family":"Teixeira","given":"Edmar","non-dropping-particle":"","parse-names":false,"suffix":""},{"dropping-particle":"","family":"Wiberg","given":"David","non-dropping-particle":"","parse-names":false,"suffix":""},{"dropping-particle":"","family":"Shi","given":"Xuezheng","non-dropping-particle":"","parse-names":false,"suffix":""}],"id":"ITEM-1","issued":{"date-parts":[["2009"]]},"page":"1-39","publisher-place":"FAO, Rome, Italy and IIASA, Laxenburg, Austria.","title":"Harmonized World Soil Database (version 1.1)","type":"article-journal"},"uris":["http://www.mendeley.com/documents/?uuid=0e2dc56a-0415-4ee6-880a-7f7a4868a2f4","http://www.mendeley.com/documents/?uuid=db4d4958-de8a-41c4-9ea9-4d3af8d0dd91"]}],"mendeley":{"formattedCitation":"(Nachtergaele et al., 2009)","plainTextFormattedCitation":"(Nachtergaele et al., 2009)","previouslyFormattedCitation":"(Nachtergaele et al., 2009)"},"properties":{"noteIndex":0},"schema":"https://github.com/citation-style-language/schema/raw/master/csl-citation.json"}</w:instrText>
      </w:r>
      <w:r w:rsidRPr="00C02489">
        <w:fldChar w:fldCharType="separate"/>
      </w:r>
      <w:r w:rsidRPr="00C02489">
        <w:rPr>
          <w:noProof/>
        </w:rPr>
        <w:t>(Nachtergaele et al., 2009)</w:t>
      </w:r>
      <w:r w:rsidRPr="00C02489">
        <w:fldChar w:fldCharType="end"/>
      </w:r>
      <w:r w:rsidRPr="00C02489">
        <w:t>.</w:t>
      </w:r>
    </w:p>
    <w:p w:rsidR="00720BC7" w:rsidRPr="00C02489" w:rsidRDefault="00720BC7" w:rsidP="00C34AE4">
      <w:r w:rsidRPr="00C02489">
        <w:t xml:space="preserve"> Loams are soils with mixed particles of sand, silt and clay. The rate of infiltration of sandy soil is higher than in a silty soil. In a clayey soil, it may be initially high (for heavy black clay with cracking), but becomes low when the soil is moist to wet. The percentage of sand, silt and clay contents of soil classes are determined from Microsoft access database of world FAO 2003 digital soil map of the world </w:t>
      </w:r>
      <w:r w:rsidRPr="00C02489">
        <w:fldChar w:fldCharType="begin" w:fldLock="1"/>
      </w:r>
      <w:r w:rsidR="00A309A8">
        <w:instrText>ADDIN CSL_CITATION {"citationItems":[{"id":"ITEM-1","itemData":{"author":[{"dropping-particle":"","family":"FAO","given":"","non-dropping-particle":"","parse-names":false,"suffix":""}],"id":"ITEM-1","issued":{"date-parts":[["2003"]]},"number":"Version 3.6","publisher":"FAO/UNESCO","publisher-place":"Rome, Italy","title":"The digital soil map of the world","type":"article"},"uris":["http://www.mendeley.com/documents/?uuid=ef69da0c-d8bf-4411-b510-80b2b2c11fbc","http://www.mendeley.com/documents/?uuid=5ab2c386-0ad5-4d30-92dc-7dd53eed6964"]}],"mendeley":{"formattedCitation":"(FAO, 2003)","plainTextFormattedCitation":"(FAO, 2003)","previouslyFormattedCitation":"(FAO, 2003)"},"properties":{"noteIndex":0},"schema":"https://github.com/citation-style-language/schema/raw/master/csl-citation.json"}</w:instrText>
      </w:r>
      <w:r w:rsidRPr="00C02489">
        <w:fldChar w:fldCharType="separate"/>
      </w:r>
      <w:r w:rsidRPr="00C02489">
        <w:rPr>
          <w:noProof/>
        </w:rPr>
        <w:t>(FAO, 2003)</w:t>
      </w:r>
      <w:r w:rsidRPr="00C02489">
        <w:fldChar w:fldCharType="end"/>
      </w:r>
      <w:r w:rsidRPr="00C02489">
        <w:t xml:space="preserve">. </w:t>
      </w:r>
      <w:r w:rsidRPr="00C02489">
        <w:rPr>
          <w:rFonts w:eastAsia="TimesNewRomanPSMT"/>
        </w:rPr>
        <w:t>Using USDA soil texture classification method, the</w:t>
      </w:r>
      <w:r w:rsidRPr="00C02489">
        <w:t xml:space="preserve"> soil texture class corresponds to a particular range of separate fractions </w:t>
      </w:r>
      <w:r w:rsidR="00187655">
        <w:t>are determined (Appendix table 5</w:t>
      </w:r>
      <w:bookmarkStart w:id="153" w:name="_Hlk48560292"/>
      <w:r w:rsidR="00680EDE">
        <w:t xml:space="preserve"> and </w:t>
      </w:r>
      <w:r w:rsidRPr="00C02489">
        <w:t>Appendix figure</w:t>
      </w:r>
      <w:bookmarkEnd w:id="153"/>
      <w:r w:rsidR="00680EDE">
        <w:t xml:space="preserve"> </w:t>
      </w:r>
      <w:r w:rsidR="00FD31D0">
        <w:t xml:space="preserve">2). Considering the soil textures, </w:t>
      </w:r>
      <w:r w:rsidRPr="00C02489">
        <w:t>the relative weight of each classes</w:t>
      </w:r>
      <w:r w:rsidR="007B09D0">
        <w:t>, scale value</w:t>
      </w:r>
      <w:r w:rsidRPr="00C02489">
        <w:t xml:space="preserve"> and </w:t>
      </w:r>
      <w:r w:rsidR="00F00E5A">
        <w:t>CR value</w:t>
      </w:r>
      <w:r w:rsidRPr="00C02489">
        <w:t xml:space="preserve"> </w:t>
      </w:r>
      <w:r w:rsidR="007B09D0">
        <w:t>was</w:t>
      </w:r>
      <w:r w:rsidRPr="00C02489">
        <w:t xml:space="preserve"> determined by </w:t>
      </w:r>
      <w:r w:rsidR="00FD31D0">
        <w:t xml:space="preserve">using </w:t>
      </w:r>
      <w:r w:rsidRPr="00C02489">
        <w:t xml:space="preserve">AHP </w:t>
      </w:r>
      <w:r w:rsidRPr="00C02489">
        <w:fldChar w:fldCharType="begin" w:fldLock="1"/>
      </w:r>
      <w:r w:rsidR="00A309A8">
        <w:instrText>ADDIN CSL_CITATION {"citationItems":[{"id":"ITEM-1","itemData":{"author":[{"dropping-particle":"","family":"Nachtergaele","given":"Freddy","non-dropping-particle":"","parse-names":false,"suffix":""},{"dropping-particle":"Van","family":"Velthuizen","given":"Harrij","non-dropping-particle":"","parse-names":false,"suffix":""},{"dropping-particle":"","family":"Verelst","given":"Luc","non-dropping-particle":"","parse-names":false,"suffix":""},{"dropping-particle":"","family":"Batjes","given":"Niels","non-dropping-particle":"","parse-names":false,"suffix":""},{"dropping-particle":"","family":"Dijkshoorn","given":"Koos","non-dropping-particle":"","parse-names":false,"suffix":""},{"dropping-particle":"Van","family":"Engelen","given":"Vincent","non-dropping-particle":"","parse-names":false,"suffix":""},{"dropping-particle":"","family":"Fischer","given":"Guenther","non-dropping-particle":"","parse-names":false,"suffix":""},{"dropping-particle":"","family":"Jones","given":"Arwyn","non-dropping-particle":"","parse-names":false,"suffix":""},{"dropping-particle":"","family":"Montanarella","given":"Luca","non-dropping-particle":"","parse-names":false,"suffix":""},{"dropping-particle":"","family":"Petri","given":"Monica","non-dropping-particle":"","parse-names":false,"suffix":""},{"dropping-particle":"","family":"Prieler","given":"Sylvia","non-dropping-particle":"","parse-names":false,"suffix":""},{"dropping-particle":"","family":"Teixeira","given":"Edmar","non-dropping-particle":"","parse-names":false,"suffix":""},{"dropping-particle":"","family":"Wiberg","given":"David","non-dropping-particle":"","parse-names":false,"suffix":""},{"dropping-particle":"","family":"Shi","given":"Xuezheng","non-dropping-particle":"","parse-names":false,"suffix":""}],"id":"ITEM-1","issued":{"date-parts":[["2009"]]},"page":"1-39","publisher-place":"FAO, Rome, Italy and IIASA, Laxenburg, Austria.","title":"Harmonized World Soil Database (version 1.1)","type":"article-journal"},"uris":["http://www.mendeley.com/documents/?uuid=db4d4958-de8a-41c4-9ea9-4d3af8d0dd91","http://www.mendeley.com/documents/?uuid=0e2dc56a-0415-4ee6-880a-7f7a4868a2f4"]}],"mendeley":{"formattedCitation":"(Nachtergaele et al., 2009)","plainTextFormattedCitation":"(Nachtergaele et al., 2009)","previouslyFormattedCitation":"(Nachtergaele et al., 2009)"},"properties":{"noteIndex":0},"schema":"https://github.com/citation-style-language/schema/raw/master/csl-citation.json"}</w:instrText>
      </w:r>
      <w:r w:rsidRPr="00C02489">
        <w:fldChar w:fldCharType="separate"/>
      </w:r>
      <w:r w:rsidRPr="00C02489">
        <w:rPr>
          <w:noProof/>
        </w:rPr>
        <w:t>(Nachtergaele et al., 2009)</w:t>
      </w:r>
      <w:r w:rsidRPr="00C02489">
        <w:fldChar w:fldCharType="end"/>
      </w:r>
      <w:r w:rsidR="00994C33">
        <w:t xml:space="preserve">. </w:t>
      </w:r>
      <w:r w:rsidRPr="00C02489">
        <w:t xml:space="preserve">Finally, the identified soil texture </w:t>
      </w:r>
      <w:r w:rsidR="00564554">
        <w:t>was</w:t>
      </w:r>
      <w:r w:rsidRPr="00C02489">
        <w:t xml:space="preserve"> reclassified on the basis of groundwater potential contribution.</w:t>
      </w:r>
    </w:p>
    <w:p w:rsidR="00656A47" w:rsidRPr="00746D4A" w:rsidRDefault="00D11CA2" w:rsidP="00C34AE4">
      <w:pPr>
        <w:pStyle w:val="Heading3"/>
        <w:numPr>
          <w:ilvl w:val="2"/>
          <w:numId w:val="1"/>
        </w:numPr>
      </w:pPr>
      <w:bookmarkStart w:id="154" w:name="_Toc68025089"/>
      <w:bookmarkStart w:id="155" w:name="_Toc68761571"/>
      <w:r w:rsidRPr="00746D4A">
        <w:t>D</w:t>
      </w:r>
      <w:r w:rsidR="004D5A61">
        <w:t>elineation</w:t>
      </w:r>
      <w:r w:rsidR="00DB4DC6" w:rsidRPr="00746D4A">
        <w:t xml:space="preserve"> </w:t>
      </w:r>
      <w:r w:rsidRPr="00746D4A">
        <w:t xml:space="preserve">of </w:t>
      </w:r>
      <w:r w:rsidR="00DB4DC6" w:rsidRPr="00746D4A">
        <w:t>groundwater potential zones</w:t>
      </w:r>
      <w:bookmarkEnd w:id="154"/>
      <w:bookmarkEnd w:id="155"/>
      <w:r w:rsidR="00DB4DC6" w:rsidRPr="00746D4A">
        <w:t xml:space="preserve"> </w:t>
      </w:r>
    </w:p>
    <w:p w:rsidR="00C312AA" w:rsidRDefault="00101843" w:rsidP="00C34AE4">
      <w:r w:rsidRPr="00F930DA">
        <w:t>A GIS and RS technique was</w:t>
      </w:r>
      <w:r w:rsidR="00656A47" w:rsidRPr="00F930DA">
        <w:t xml:space="preserve"> applied to delineate the GWPZ of Weyib Sub-basin</w:t>
      </w:r>
      <w:r w:rsidR="005E796A">
        <w:t>.</w:t>
      </w:r>
      <w:r w:rsidR="00656A47" w:rsidRPr="00F930DA">
        <w:t xml:space="preserve"> </w:t>
      </w:r>
      <w:r w:rsidR="00656A47">
        <w:t xml:space="preserve">The </w:t>
      </w:r>
      <w:r w:rsidR="005E796A">
        <w:t xml:space="preserve">application of multiple criteria decision analysis, Analytic hierarchy process, </w:t>
      </w:r>
      <w:r w:rsidR="00656A47" w:rsidRPr="00F930DA">
        <w:t xml:space="preserve">was used to develop the GWPZ’s </w:t>
      </w:r>
      <w:r w:rsidR="005E796A">
        <w:t>by integrating nine</w:t>
      </w:r>
      <w:r w:rsidR="00656A47" w:rsidRPr="00F930DA">
        <w:t xml:space="preserve"> groundwater </w:t>
      </w:r>
      <w:r w:rsidR="000E20DA">
        <w:t>influencing</w:t>
      </w:r>
      <w:r w:rsidR="00656A47" w:rsidRPr="00F930DA">
        <w:t xml:space="preserve"> </w:t>
      </w:r>
      <w:r w:rsidR="005E796A">
        <w:t>factors</w:t>
      </w:r>
      <w:r w:rsidR="00656A47" w:rsidRPr="00F930DA">
        <w:t>. The thematic layer of geomorphology, lineament density, geology, slope, soil texture, rainfall distri</w:t>
      </w:r>
      <w:r w:rsidR="009B7CAE">
        <w:t xml:space="preserve">bution, drainage density, </w:t>
      </w:r>
      <w:r w:rsidR="00BA2EB6">
        <w:t xml:space="preserve">LU/LC </w:t>
      </w:r>
      <w:r w:rsidR="00656A47" w:rsidRPr="00F930DA">
        <w:t xml:space="preserve">and elevation was prepared. </w:t>
      </w:r>
    </w:p>
    <w:p w:rsidR="00656A47" w:rsidRPr="00746D4A" w:rsidRDefault="00656A47" w:rsidP="00C34AE4">
      <w:r w:rsidRPr="00F930DA">
        <w:lastRenderedPageBreak/>
        <w:t>The methods include identification/evaluation of criteria, data collection, preprocessing, input dataset and re</w:t>
      </w:r>
      <w:r w:rsidR="00C312AA">
        <w:t xml:space="preserve">classification of input layers. </w:t>
      </w:r>
      <w:r w:rsidRPr="00F930DA">
        <w:t xml:space="preserve">Pair wise comparison of criteria </w:t>
      </w:r>
      <w:r w:rsidR="00DE759F">
        <w:t xml:space="preserve">was </w:t>
      </w:r>
      <w:r w:rsidRPr="00F930DA">
        <w:t xml:space="preserve">conducted to </w:t>
      </w:r>
      <w:r w:rsidR="00610CB1">
        <w:t xml:space="preserve">determine the </w:t>
      </w:r>
      <w:r w:rsidRPr="00F930DA">
        <w:t xml:space="preserve">weight </w:t>
      </w:r>
      <w:r w:rsidR="00610CB1">
        <w:t>of</w:t>
      </w:r>
      <w:r w:rsidRPr="00F930DA">
        <w:t xml:space="preserve"> each thematic </w:t>
      </w:r>
      <w:r w:rsidR="00092EBC" w:rsidRPr="00F930DA">
        <w:t>layer</w:t>
      </w:r>
      <w:r w:rsidRPr="00F930DA">
        <w:t xml:space="preserve">. After assigning weight </w:t>
      </w:r>
      <w:r w:rsidR="00A652B9">
        <w:t xml:space="preserve">and ranking each thematic </w:t>
      </w:r>
      <w:r w:rsidR="00092EBC">
        <w:t>layer</w:t>
      </w:r>
      <w:r w:rsidR="00A652B9">
        <w:t xml:space="preserve"> </w:t>
      </w:r>
      <w:r w:rsidRPr="00F930DA">
        <w:t>the thematic maps was integrated by weighte</w:t>
      </w:r>
      <w:r w:rsidR="00B60650">
        <w:t>d overlay analysis tools of Arc</w:t>
      </w:r>
      <w:r w:rsidRPr="00F930DA">
        <w:t>GIS, to develop GWPZ. Finally, the delineated GWPZ’s was verified by comparing the mapped GWPZ with the actual boreholes, hand dug w</w:t>
      </w:r>
      <w:r w:rsidR="00B60650">
        <w:t>ells and springs yield</w:t>
      </w:r>
      <w:r w:rsidRPr="00F930DA">
        <w:t xml:space="preserve">. </w:t>
      </w:r>
    </w:p>
    <w:p w:rsidR="00702952" w:rsidRPr="00C02489" w:rsidRDefault="00702952" w:rsidP="00C34AE4">
      <w:pPr>
        <w:pStyle w:val="Heading4"/>
        <w:numPr>
          <w:ilvl w:val="3"/>
          <w:numId w:val="1"/>
        </w:numPr>
        <w:spacing w:before="120" w:after="120"/>
      </w:pPr>
      <w:r w:rsidRPr="00C02489">
        <w:t>Analytical Hierarchy Process (AHP)</w:t>
      </w:r>
    </w:p>
    <w:p w:rsidR="00504259" w:rsidRDefault="00702952" w:rsidP="00C34AE4">
      <w:r w:rsidRPr="00C02489">
        <w:t xml:space="preserve">The </w:t>
      </w:r>
      <w:r w:rsidR="00A14008" w:rsidRPr="00C02489">
        <w:t xml:space="preserve">relative weight of </w:t>
      </w:r>
      <w:r w:rsidR="00A14008">
        <w:t>classes</w:t>
      </w:r>
      <w:r w:rsidR="00A14008" w:rsidRPr="00C02489">
        <w:t xml:space="preserve"> </w:t>
      </w:r>
      <w:r w:rsidR="00A14008">
        <w:t xml:space="preserve">and the </w:t>
      </w:r>
      <w:r w:rsidR="00C80FB2" w:rsidRPr="00C02489">
        <w:t xml:space="preserve">magnitude </w:t>
      </w:r>
      <w:r w:rsidR="00EA05EB">
        <w:t xml:space="preserve">factors </w:t>
      </w:r>
      <w:r w:rsidR="00C80FB2">
        <w:t>influencing groundwater potential</w:t>
      </w:r>
      <w:r w:rsidR="00651795">
        <w:t xml:space="preserve"> was </w:t>
      </w:r>
      <w:r w:rsidRPr="00C02489">
        <w:t xml:space="preserve">computed by using the AHP. The three successive steps in AHP </w:t>
      </w:r>
      <w:r w:rsidR="00682837" w:rsidRPr="00C02489">
        <w:t>include</w:t>
      </w:r>
      <w:r w:rsidRPr="00C02489">
        <w:t xml:space="preserve">; pair-wise comparison of thematic importance, matrix normalization and ranking and consistency check. </w:t>
      </w:r>
      <w:r w:rsidR="00C32143" w:rsidRPr="001337D6">
        <w:t xml:space="preserve">To </w:t>
      </w:r>
      <w:r w:rsidR="00C32143">
        <w:t xml:space="preserve">perform the pairwise comparison and </w:t>
      </w:r>
      <w:r w:rsidR="004164CC">
        <w:t>identify</w:t>
      </w:r>
      <w:r w:rsidR="00C32143" w:rsidRPr="001337D6">
        <w:t xml:space="preserve"> the relative importance of factors</w:t>
      </w:r>
      <w:r w:rsidR="00C32143">
        <w:t>,</w:t>
      </w:r>
      <w:r w:rsidR="00C32143" w:rsidRPr="001337D6">
        <w:t xml:space="preserve"> previous </w:t>
      </w:r>
      <w:r w:rsidR="00682837" w:rsidRPr="001337D6">
        <w:t>literatures were</w:t>
      </w:r>
      <w:r w:rsidR="00C32143" w:rsidRPr="001337D6">
        <w:t xml:space="preserve"> reviewed and </w:t>
      </w:r>
      <w:r w:rsidR="00682837" w:rsidRPr="001337D6">
        <w:t>experienced hydrological experts</w:t>
      </w:r>
      <w:r w:rsidR="00C32143" w:rsidRPr="001337D6">
        <w:t xml:space="preserve"> are decided.</w:t>
      </w:r>
      <w:r w:rsidR="00C32143">
        <w:t xml:space="preserve"> </w:t>
      </w:r>
      <w:r w:rsidRPr="00C02489">
        <w:t xml:space="preserve">The </w:t>
      </w:r>
      <w:r w:rsidRPr="001337D6">
        <w:t xml:space="preserve">comparison was made on a scale of numbers 1–9 which shows how many times a layer is important than the other </w:t>
      </w:r>
      <w:r w:rsidRPr="001337D6">
        <w:fldChar w:fldCharType="begin" w:fldLock="1"/>
      </w:r>
      <w:r w:rsidR="00A309A8">
        <w:instrText>ADDIN CSL_CITATION {"citationItems":[{"id":"ITEM-1","itemData":{"author":[{"dropping-particle":"","family":"Saaty","given":"T. L.","non-dropping-particle":"","parse-names":false,"suffix":""},{"dropping-particle":"","family":"Kearns","given":"K.P","non-dropping-particle":"","parse-names":false,"suffix":""}],"id":"ITEM-1","issued":{"date-parts":[["1985"]]},"number-of-pages":"19-62","publisher":"McGraw Hill","publisher-place":"New York, USA","title":"The Analytic Hierarchy Process, Decision analysis","type":"book"},"uris":["http://www.mendeley.com/documents/?uuid=7ad366af-a050-40a5-a4dc-e62cee313bc2","http://www.mendeley.com/documents/?uuid=af7a3c38-202c-4b3b-a6e1-5cb7c845bdc5"]}],"mendeley":{"formattedCitation":"(Saaty &amp; Kearns, 1985)","manualFormatting":"(Saaty and Kearns, 1985)","plainTextFormattedCitation":"(Saaty &amp; Kearns, 1985)","previouslyFormattedCitation":"(Saaty &amp; Kearns, 1985)"},"properties":{"noteIndex":0},"schema":"https://github.com/citation-style-language/schema/raw/master/csl-citation.json"}</w:instrText>
      </w:r>
      <w:r w:rsidRPr="001337D6">
        <w:fldChar w:fldCharType="separate"/>
      </w:r>
      <w:r w:rsidR="00246BCC" w:rsidRPr="001337D6">
        <w:rPr>
          <w:noProof/>
        </w:rPr>
        <w:t>(Saaty and</w:t>
      </w:r>
      <w:r w:rsidR="00086E90" w:rsidRPr="001337D6">
        <w:rPr>
          <w:noProof/>
        </w:rPr>
        <w:t xml:space="preserve"> Kearns, 1985)</w:t>
      </w:r>
      <w:r w:rsidRPr="001337D6">
        <w:fldChar w:fldCharType="end"/>
      </w:r>
      <w:r w:rsidRPr="001337D6">
        <w:t>. Appendix table 1 represents the scaling used in AHP, while the m</w:t>
      </w:r>
      <w:r w:rsidR="00B84D95" w:rsidRPr="001337D6">
        <w:t xml:space="preserve">atrix is tabulated in </w:t>
      </w:r>
      <w:r w:rsidR="006B5DF3" w:rsidRPr="001337D6">
        <w:t>T</w:t>
      </w:r>
      <w:r w:rsidR="00B84D95" w:rsidRPr="001337D6">
        <w:t>able 4.11</w:t>
      </w:r>
      <w:r w:rsidRPr="001337D6">
        <w:t xml:space="preserve">. </w:t>
      </w:r>
    </w:p>
    <w:p w:rsidR="00702952" w:rsidRPr="00C02489" w:rsidRDefault="00702952" w:rsidP="00C34AE4">
      <w:r w:rsidRPr="001337D6">
        <w:t>The main diagonal matrix contains 1, as each factor is as important as itself. The upper triangular matrix above the main diagonal</w:t>
      </w:r>
      <w:r>
        <w:t xml:space="preserve"> matrix</w:t>
      </w:r>
      <w:r w:rsidRPr="00456014">
        <w:t xml:space="preserve"> was filled by comparison of criteria in the row to the column</w:t>
      </w:r>
      <w:r w:rsidR="00B84D95">
        <w:t>, while t</w:t>
      </w:r>
      <w:r w:rsidRPr="00456014">
        <w:t>he lower triangular matrix was filled using reciprocal values of the upper triangular matrix based on Saaty’s rating scale</w:t>
      </w:r>
      <w:r w:rsidR="00B84D95">
        <w:t xml:space="preserve">. </w:t>
      </w:r>
      <w:r w:rsidRPr="00C02489">
        <w:t>The matrix was normalized by dividing each number in the column by the</w:t>
      </w:r>
      <w:r w:rsidR="00047161">
        <w:t xml:space="preserve"> sum of the column</w:t>
      </w:r>
      <w:r w:rsidRPr="00C02489">
        <w:t>.</w:t>
      </w:r>
    </w:p>
    <w:p w:rsidR="00702952" w:rsidRPr="00C02489" w:rsidRDefault="00B24F7C" w:rsidP="00C34AE4">
      <m:oMath>
        <m:sSub>
          <m:sSubPr>
            <m:ctrlPr>
              <w:rPr>
                <w:rFonts w:ascii="Cambria Math" w:hAnsi="Cambria Math"/>
              </w:rPr>
            </m:ctrlPr>
          </m:sSubPr>
          <m:e>
            <m:acc>
              <m:accPr>
                <m:chr m:val="̅"/>
                <m:ctrlPr>
                  <w:rPr>
                    <w:rFonts w:ascii="Cambria Math" w:hAnsi="Cambria Math"/>
                  </w:rPr>
                </m:ctrlPr>
              </m:accPr>
              <m:e>
                <m:r>
                  <m:rPr>
                    <m:sty m:val="p"/>
                  </m:rPr>
                  <w:rPr>
                    <w:rFonts w:ascii="Cambria Math" w:hAnsi="Cambria Math"/>
                  </w:rPr>
                  <m:t>a</m:t>
                </m:r>
              </m:e>
            </m:acc>
          </m:e>
          <m:sub>
            <m:r>
              <m:rPr>
                <m:sty m:val="p"/>
              </m:rPr>
              <w:rPr>
                <w:rFonts w:ascii="Cambria Math" w:hAnsi="Cambria Math"/>
              </w:rPr>
              <m:t>jk</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a</m:t>
                </m:r>
              </m:e>
              <m:sub>
                <m:r>
                  <m:rPr>
                    <m:sty m:val="p"/>
                  </m:rPr>
                  <w:rPr>
                    <w:rFonts w:ascii="Cambria Math" w:hAnsi="Cambria Math"/>
                  </w:rPr>
                  <m:t>jk</m:t>
                </m:r>
              </m:sub>
            </m:sSub>
          </m:num>
          <m:den>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m</m:t>
                </m:r>
              </m:sup>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jk</m:t>
                    </m:r>
                  </m:sub>
                </m:sSub>
              </m:e>
            </m:nary>
          </m:den>
        </m:f>
      </m:oMath>
      <w:r w:rsidR="00702952" w:rsidRPr="00C02489">
        <w:t>………………</w:t>
      </w:r>
      <w:r w:rsidR="00B71C16">
        <w:t>……….</w:t>
      </w:r>
      <w:r w:rsidR="00702952" w:rsidRPr="00C02489">
        <w:t>………………………………………...Equation (3.</w:t>
      </w:r>
      <w:r w:rsidR="007073F4">
        <w:t>7</w:t>
      </w:r>
      <w:r w:rsidR="00702952" w:rsidRPr="00C02489">
        <w:t>)</w:t>
      </w:r>
    </w:p>
    <w:p w:rsidR="00702952" w:rsidRPr="00C02489" w:rsidRDefault="00702952" w:rsidP="00C34AE4">
      <w:r w:rsidRPr="00C02489">
        <w:t xml:space="preserve">Where </w:t>
      </w:r>
      <m:oMath>
        <m:acc>
          <m:accPr>
            <m:chr m:val="̅"/>
            <m:ctrlPr>
              <w:rPr>
                <w:rFonts w:ascii="Cambria Math" w:hAnsi="Cambria Math"/>
              </w:rPr>
            </m:ctrlPr>
          </m:accPr>
          <m:e>
            <m:r>
              <m:rPr>
                <m:sty m:val="p"/>
              </m:rPr>
              <w:rPr>
                <w:rFonts w:ascii="Cambria Math" w:hAnsi="Cambria Math"/>
              </w:rPr>
              <m:t>a</m:t>
            </m:r>
          </m:e>
        </m:acc>
      </m:oMath>
      <w:r w:rsidRPr="00C02489">
        <w:t xml:space="preserve"> is value in the matrix, j is column number, k is row number, i is the theme or class, m is the total number of themes or classes. To produce thematic weights or classes relative weight w</w:t>
      </w:r>
      <w:r w:rsidRPr="00C02489">
        <w:rPr>
          <w:vertAlign w:val="subscript"/>
        </w:rPr>
        <w:t>j</w:t>
      </w:r>
      <w:r w:rsidRPr="00C02489">
        <w:t xml:space="preserve"> from the</w:t>
      </w:r>
      <w:r w:rsidR="00600D89">
        <w:t xml:space="preserve"> normalized values, Equation </w:t>
      </w:r>
      <w:r w:rsidR="00703098">
        <w:t>(</w:t>
      </w:r>
      <w:r w:rsidR="00600D89">
        <w:t>3.</w:t>
      </w:r>
      <w:r w:rsidR="00F9519F">
        <w:t>8</w:t>
      </w:r>
      <w:r w:rsidR="00703098">
        <w:t>)</w:t>
      </w:r>
      <w:r w:rsidRPr="00C02489">
        <w:t xml:space="preserve"> was used. The normalized weights were then ranked in descending order.</w:t>
      </w:r>
    </w:p>
    <w:p w:rsidR="00246BCC" w:rsidRDefault="00B24F7C" w:rsidP="00C34AE4">
      <w:pPr>
        <w:rPr>
          <w:rFonts w:eastAsia="Times New Roman"/>
        </w:rPr>
      </w:pPr>
      <m:oMath>
        <m:sSub>
          <m:sSubPr>
            <m:ctrlPr>
              <w:rPr>
                <w:rFonts w:ascii="Cambria Math" w:eastAsia="Times New Roman" w:hAnsi="Cambria Math"/>
              </w:rPr>
            </m:ctrlPr>
          </m:sSubPr>
          <m:e>
            <m:r>
              <m:rPr>
                <m:sty m:val="p"/>
              </m:rPr>
              <w:rPr>
                <w:rFonts w:ascii="Cambria Math" w:eastAsia="Times New Roman" w:hAnsi="Cambria Math"/>
              </w:rPr>
              <m:t>w</m:t>
            </m:r>
          </m:e>
          <m:sub>
            <m:r>
              <m:rPr>
                <m:sty m:val="p"/>
              </m:rPr>
              <w:rPr>
                <w:rFonts w:ascii="Cambria Math" w:eastAsia="Times New Roman" w:hAnsi="Cambria Math"/>
              </w:rPr>
              <m:t>j</m:t>
            </m:r>
          </m:sub>
        </m:sSub>
        <m:r>
          <m:rPr>
            <m:sty m:val="p"/>
          </m:rPr>
          <w:rPr>
            <w:rFonts w:ascii="Cambria Math" w:eastAsia="Times New Roman" w:hAnsi="Cambria Math"/>
          </w:rPr>
          <m:t>=</m:t>
        </m:r>
        <m:f>
          <m:fPr>
            <m:ctrlPr>
              <w:rPr>
                <w:rFonts w:ascii="Cambria Math" w:eastAsia="Times New Roman" w:hAnsi="Cambria Math"/>
              </w:rPr>
            </m:ctrlPr>
          </m:fPr>
          <m:num>
            <m:sSub>
              <m:sSubPr>
                <m:ctrlPr>
                  <w:rPr>
                    <w:rFonts w:ascii="Cambria Math" w:eastAsia="Times New Roman" w:hAnsi="Cambria Math"/>
                  </w:rPr>
                </m:ctrlPr>
              </m:sSubPr>
              <m:e>
                <m:acc>
                  <m:accPr>
                    <m:chr m:val="̅"/>
                    <m:ctrlPr>
                      <w:rPr>
                        <w:rFonts w:ascii="Cambria Math" w:eastAsia="Times New Roman" w:hAnsi="Cambria Math"/>
                      </w:rPr>
                    </m:ctrlPr>
                  </m:accPr>
                  <m:e>
                    <m:r>
                      <m:rPr>
                        <m:sty m:val="p"/>
                      </m:rPr>
                      <w:rPr>
                        <w:rFonts w:ascii="Cambria Math" w:eastAsia="Times New Roman" w:hAnsi="Cambria Math"/>
                      </w:rPr>
                      <m:t>a</m:t>
                    </m:r>
                  </m:e>
                </m:acc>
              </m:e>
              <m:sub>
                <m:r>
                  <m:rPr>
                    <m:sty m:val="p"/>
                  </m:rPr>
                  <w:rPr>
                    <w:rFonts w:ascii="Cambria Math" w:eastAsia="Times New Roman" w:hAnsi="Cambria Math"/>
                  </w:rPr>
                  <m:t>jk</m:t>
                </m:r>
              </m:sub>
            </m:sSub>
          </m:num>
          <m:den>
            <m:r>
              <m:rPr>
                <m:sty m:val="p"/>
              </m:rPr>
              <w:rPr>
                <w:rFonts w:ascii="Cambria Math" w:eastAsia="Times New Roman" w:hAnsi="Cambria Math"/>
              </w:rPr>
              <m:t>n</m:t>
            </m:r>
          </m:den>
        </m:f>
        <m:r>
          <m:rPr>
            <m:sty m:val="p"/>
          </m:rPr>
          <w:rPr>
            <w:rFonts w:ascii="Cambria Math" w:eastAsia="Times New Roman" w:hAnsi="Cambria Math"/>
          </w:rPr>
          <m:t xml:space="preserve"> </m:t>
        </m:r>
      </m:oMath>
      <w:r w:rsidR="00702952" w:rsidRPr="00C02489">
        <w:rPr>
          <w:rFonts w:eastAsia="Times New Roman"/>
        </w:rPr>
        <w:t>…………………….………………………………………….…</w:t>
      </w:r>
      <w:r w:rsidR="007073F4">
        <w:rPr>
          <w:rFonts w:eastAsia="Times New Roman"/>
        </w:rPr>
        <w:t>…...Equation (3.8</w:t>
      </w:r>
      <w:r w:rsidR="00246BCC">
        <w:rPr>
          <w:rFonts w:eastAsia="Times New Roman"/>
        </w:rPr>
        <w:t>)</w:t>
      </w:r>
    </w:p>
    <w:p w:rsidR="00D66A1A" w:rsidRDefault="00702952" w:rsidP="00C34AE4">
      <w:r w:rsidRPr="00C02489">
        <w:t xml:space="preserve">The final stage is to calculate a consistency ratio (CR) to measure how consistent the judgments have been relative to large samples of purely random judgments. A consistency ratio of 0 indicates perfect consistency of pair-wise comparison. </w:t>
      </w:r>
    </w:p>
    <w:p w:rsidR="00702952" w:rsidRPr="00B5662E" w:rsidRDefault="00702952" w:rsidP="00C34AE4">
      <w:r w:rsidRPr="00C02489">
        <w:lastRenderedPageBreak/>
        <w:t>If the CR is much in excess of 0.1 the pair-wise comparison will be too inconsistent and</w:t>
      </w:r>
      <w:r w:rsidR="00D66A1A">
        <w:t xml:space="preserve"> the exercise must be repeated. </w:t>
      </w:r>
      <w:r w:rsidRPr="00C02489">
        <w:t xml:space="preserve">The consistency is desirable to be less than 0.10 </w:t>
      </w:r>
      <w:r w:rsidRPr="00B5662E">
        <w:fldChar w:fldCharType="begin" w:fldLock="1"/>
      </w:r>
      <w:r w:rsidR="00A309A8" w:rsidRPr="00B5662E">
        <w:instrText>ADDIN CSL_CITATION {"citationItems":[{"id":"ITEM-1","itemData":{"ISSN":"20100248","abstract":"The objective of the study is to optimize the strategies built by SWOT (Strength, Weakness, Opportunity, and Threat) - QSPM (Quantitative Strategic Planning Matrix) that would help the policy maker and to rationalize the dilemma in decision making to fabricate environmental protection policies, laws and standards .These laws for coastal resources against the anthropogenic activities will help curb deteriorating impacts on environmental components that was identified from the RIAM (Rapid Impact Assessment Matrix) process in the State of Kuwait. Optimizing and rationalizing of the strategies are performed with the concept of AHP (Analytic Hierarchy Process) /ANP (Analytical Network Process) utilizing multi-criteria decision (MCD) making software - SuperDecision.AHP/ANP with SuperDecision has often helped as an effective means of dealing with complex decision-making for the strategies to be prioritized, optimized and rationalized. AHP/ANP helps capture both subjective and objective evaluation measures, providing a useful mechanism for checking their consistency relative to considered alternatives, thus reducing bias in decision making particularly during the SWOT-QSPM process. The new priorities generated by optimizing and rationalized by AHP/ANP Model was the best fit strategies for effective policy construction to tackle the coastal deterioration. [PUBLICATION ABSTRACT]","author":[{"dropping-particle":"","family":"Baby","given":"Saji","non-dropping-particle":"","parse-names":false,"suffix":""}],"container-title":"International Journal of Innovation, Management and Technology","id":"ITEM-1","issue":"2","issued":{"date-parts":[["2013"]]},"page":"218-227","title":"AHP Modeling for multicriteria decision-making and to optimise strategies for protecting Coastal Landscape resources","type":"article-journal","volume":"4"},"uris":["http://www.mendeley.com/documents/?uuid=86b60fa8-7a68-45ca-9e6f-0c3418b19c26","http://www.mendeley.com/documents/?uuid=4eb57964-a300-4c9c-8f7e-b0bce4c95988"]},{"id":"ITEM-2","itemData":{"author":[{"dropping-particle":"","family":"Saaty","given":"T. L.","non-dropping-particle":"","parse-names":false,"suffix":""},{"dropping-particle":"","family":"Kearns","given":"K.P","non-dropping-particle":"","parse-names":false,"suffix":""}],"id":"ITEM-2","issued":{"date-parts":[["1985"]]},"number-of-pages":"19-62","publisher":"McGraw Hill","publisher-place":"New York, USA","title":"The Analytic Hierarchy Process, Decision analysis","type":"book"},"uris":["http://www.mendeley.com/documents/?uuid=7ad366af-a050-40a5-a4dc-e62cee313bc2","http://www.mendeley.com/documents/?uuid=af7a3c38-202c-4b3b-a6e1-5cb7c845bdc5","http://www.mendeley.com/documents/?uuid=30ac0db0-dd86-4163-877b-135c3a9a63d2"]},{"id":"ITEM-3","itemData":{"abstract":"This study was focused on determining groundwater recharge and groundwater potential for Mhinga area in South Africa, which is a rural area that depends mainly on groundwater for domestic water supply. Numerical modelling was used to simulate the groundwater behaviour in the aquifer and estimate groundwater recharge. MIKE SHE and MIKE 11 models were coupled and used to estimate groundwater recharge within calibration and validation periods of 2007/07/01 to 2009/12/31 and 2010/01/01 to 2013/05/21, respectively. Due to limited data availability for Mhinga, modelling was carried out at quaternary scale and then localised to Mhinga area. Remotely sensed data (satellite images, shapefiles and maps) was used to produce the groundwater potential map for Mhinga. The data were assigned with weights using Saaty’s Analytical Hierarchy Process and overlain on ArcGIS platform. Borehole drilling statistics of the boreholes in A91H quaternary catchment were used to validate the groundwater potential map. In streamflow modelling using MIKE 11, values of Nash- Sutcliffe efficiency (NSE), correlation coefficient (R), root mean square error (RMSE) and mean absolute error (MAE) were 0.51-0.89, 0.73-0.97, 3.61-7.96 and 1.13-2.75, respectively. In integrated groundwater modelling using MIKE SHE, values of NSE, R, RMSE and MAE were 0.72-0.84, 0.87- 0.93, 0.18-0.32 and 0.13-0.26, respectively. These values showed that MIKE SHE and MIKE 11 models had satisfactory performances. Groundwater recharge estimates were generally very low ranging from 0 to 2.75 mm/year, which constituted 0 – 0.42 % of Mean Annual Precipitation (MAP) for the A91H quaternary catchment. This was associated with high evapotranspiration (mean of approximately 4 mm/day) compared to the low precipitation levels (MAP of 656 mm/year). Moreover, in the low lying areas, with gentle slopes, low recharge between 0.2 – 0.4 mm was observed. The groundwater potential (GWP) map produced revealed that Mhinga is predominantly covered by regions of very low and low groundwater potential, which was associated with the type of geology. Area coverages of 34.47 % had very low, 51.39 % had low, 7.66 % had moderate and 6.48 % had high groundwater potential. Moderate to high groundwater potential zones were located along the geologic fault zones. In A91H, 112 unsuccessful boreholes were drilled, 69 (61.6 %) fell in the very low GWP zones, 16 (14.3 %) fell in the low GWP zones, 17 (15.2 %) fell in moderate GWP zones and 10 (8.9 %…","author":[{"dropping-particle":"","family":"Shamuyarira","given":"K k","non-dropping-particle":"","parse-names":false,"suffix":""}],"id":"ITEM-3","issued":{"date-parts":[["2017"]]},"number-of-pages":"94","publisher":"University of Venda","title":"Determination of recharge and groundwater potential zones in Mhinga area, South Africa","type":"thesis"},"uris":["http://www.mendeley.com/documents/?uuid=d4ee3d44-cace-44fb-9290-e1427c829be8","http://www.mendeley.com/documents/?uuid=4b662cb6-4beb-48d9-b0db-5319f617f313","http://www.mendeley.com/documents/?uuid=18a43945-7b90-4e92-a35f-3ce4a9a3a4a1"]}],"mendeley":{"formattedCitation":"(Baby, 2013; Saaty &amp; Kearns, 1985; Shamuyarira, 2017)","manualFormatting":"(Baby, 2013; Saaty and Kearns, 1985; Shamuyarira, 2017)","plainTextFormattedCitation":"(Baby, 2013; Saaty &amp; Kearns, 1985; Shamuyarira, 2017)","previouslyFormattedCitation":"(Baby, 2013; Saaty &amp; Kearns, 1985; Shamuyarira, 2017)"},"properties":{"noteIndex":0},"schema":"https://github.com/citation-style-language/schema/raw/master/csl-citation.json"}</w:instrText>
      </w:r>
      <w:r w:rsidRPr="00B5662E">
        <w:fldChar w:fldCharType="separate"/>
      </w:r>
      <w:r w:rsidR="00086E90" w:rsidRPr="00B5662E">
        <w:rPr>
          <w:noProof/>
        </w:rPr>
        <w:t xml:space="preserve">(Baby, 2013; Saaty </w:t>
      </w:r>
      <w:r w:rsidR="00246BCC" w:rsidRPr="00B5662E">
        <w:rPr>
          <w:noProof/>
        </w:rPr>
        <w:t>and</w:t>
      </w:r>
      <w:r w:rsidR="00086E90" w:rsidRPr="00B5662E">
        <w:rPr>
          <w:noProof/>
        </w:rPr>
        <w:t xml:space="preserve"> Kearns, 1985; Shamuyarira, 2017)</w:t>
      </w:r>
      <w:r w:rsidRPr="00B5662E">
        <w:fldChar w:fldCharType="end"/>
      </w:r>
      <w:r w:rsidRPr="00B5662E">
        <w:t>. Consistency check was done following the procedure by Saaty (1980).</w:t>
      </w:r>
    </w:p>
    <w:p w:rsidR="00702952" w:rsidRPr="00B5662E" w:rsidRDefault="00702952" w:rsidP="00C34AE4">
      <w:pPr>
        <w:rPr>
          <w:rFonts w:eastAsia="Times New Roman"/>
        </w:rPr>
      </w:pPr>
      <m:oMath>
        <m:r>
          <m:rPr>
            <m:sty m:val="p"/>
          </m:rPr>
          <w:rPr>
            <w:rFonts w:ascii="Cambria Math" w:hAnsi="Cambria Math"/>
          </w:rPr>
          <m:t xml:space="preserve">Consistency ratio </m:t>
        </m:r>
        <m:d>
          <m:dPr>
            <m:ctrlPr>
              <w:rPr>
                <w:rFonts w:ascii="Cambria Math" w:hAnsi="Cambria Math"/>
              </w:rPr>
            </m:ctrlPr>
          </m:dPr>
          <m:e>
            <m:r>
              <m:rPr>
                <m:sty m:val="p"/>
              </m:rPr>
              <w:rPr>
                <w:rFonts w:ascii="Cambria Math" w:hAnsi="Cambria Math"/>
              </w:rPr>
              <m:t>CR</m:t>
            </m:r>
          </m:e>
        </m:d>
        <m:r>
          <m:rPr>
            <m:sty m:val="p"/>
          </m:rPr>
          <w:rPr>
            <w:rFonts w:ascii="Cambria Math" w:hAnsi="Cambria Math"/>
          </w:rPr>
          <m:t>=</m:t>
        </m:r>
        <m:f>
          <m:fPr>
            <m:ctrlPr>
              <w:rPr>
                <w:rFonts w:ascii="Cambria Math" w:hAnsi="Cambria Math"/>
              </w:rPr>
            </m:ctrlPr>
          </m:fPr>
          <m:num>
            <m:r>
              <m:rPr>
                <m:sty m:val="p"/>
              </m:rPr>
              <w:rPr>
                <w:rFonts w:ascii="Cambria Math" w:hAnsi="Cambria Math"/>
              </w:rPr>
              <m:t>CI</m:t>
            </m:r>
          </m:num>
          <m:den>
            <m:r>
              <m:rPr>
                <m:sty m:val="p"/>
              </m:rPr>
              <w:rPr>
                <w:rFonts w:ascii="Cambria Math" w:hAnsi="Cambria Math"/>
              </w:rPr>
              <m:t>RI</m:t>
            </m:r>
          </m:den>
        </m:f>
      </m:oMath>
      <w:r w:rsidRPr="00B5662E">
        <w:rPr>
          <w:rFonts w:eastAsia="Times New Roman"/>
        </w:rPr>
        <w:t>………</w:t>
      </w:r>
      <w:r w:rsidR="007073F4" w:rsidRPr="00B5662E">
        <w:rPr>
          <w:rFonts w:eastAsia="Times New Roman"/>
        </w:rPr>
        <w:t>………………………………………....Equation (3.9</w:t>
      </w:r>
      <w:r w:rsidRPr="00B5662E">
        <w:rPr>
          <w:rFonts w:eastAsia="Times New Roman"/>
        </w:rPr>
        <w:t>)</w:t>
      </w:r>
    </w:p>
    <w:p w:rsidR="00702952" w:rsidRPr="00B5662E" w:rsidRDefault="00702952" w:rsidP="00C34AE4">
      <w:pPr>
        <w:rPr>
          <w:rFonts w:eastAsia="Times New Roman"/>
        </w:rPr>
      </w:pPr>
      <m:oMath>
        <m:r>
          <m:rPr>
            <m:sty m:val="p"/>
          </m:rPr>
          <w:rPr>
            <w:rFonts w:ascii="Cambria Math" w:eastAsia="Times New Roman" w:hAnsi="Cambria Math"/>
          </w:rPr>
          <m:t xml:space="preserve">Consistency index </m:t>
        </m:r>
        <m:d>
          <m:dPr>
            <m:ctrlPr>
              <w:rPr>
                <w:rFonts w:ascii="Cambria Math" w:eastAsia="Times New Roman" w:hAnsi="Cambria Math"/>
              </w:rPr>
            </m:ctrlPr>
          </m:dPr>
          <m:e>
            <m:r>
              <m:rPr>
                <m:sty m:val="p"/>
              </m:rPr>
              <w:rPr>
                <w:rFonts w:ascii="Cambria Math" w:eastAsia="Times New Roman" w:hAnsi="Cambria Math"/>
              </w:rPr>
              <m:t>CI</m:t>
            </m:r>
          </m:e>
        </m:d>
        <m:r>
          <m:rPr>
            <m:sty m:val="p"/>
          </m:rPr>
          <w:rPr>
            <w:rFonts w:ascii="Cambria Math" w:eastAsia="Times New Roman" w:hAnsi="Cambria Math"/>
          </w:rPr>
          <m:t>=</m:t>
        </m:r>
        <m:f>
          <m:fPr>
            <m:ctrlPr>
              <w:rPr>
                <w:rFonts w:ascii="Cambria Math" w:eastAsia="Times New Roman" w:hAnsi="Cambria Math"/>
              </w:rPr>
            </m:ctrlPr>
          </m:fPr>
          <m:num>
            <m:sSub>
              <m:sSubPr>
                <m:ctrlPr>
                  <w:rPr>
                    <w:rFonts w:ascii="Cambria Math" w:eastAsia="Times New Roman" w:hAnsi="Cambria Math"/>
                  </w:rPr>
                </m:ctrlPr>
              </m:sSubPr>
              <m:e>
                <m:r>
                  <m:rPr>
                    <m:sty m:val="p"/>
                  </m:rPr>
                  <w:rPr>
                    <w:rFonts w:ascii="Cambria Math" w:eastAsia="Times New Roman" w:hAnsi="Cambria Math"/>
                  </w:rPr>
                  <m:t>λ</m:t>
                </m:r>
              </m:e>
              <m:sub>
                <m:r>
                  <m:rPr>
                    <m:sty m:val="p"/>
                  </m:rPr>
                  <w:rPr>
                    <w:rFonts w:ascii="Cambria Math" w:eastAsia="Times New Roman" w:hAnsi="Cambria Math"/>
                  </w:rPr>
                  <m:t>max</m:t>
                </m:r>
              </m:sub>
            </m:sSub>
            <m:r>
              <m:rPr>
                <m:sty m:val="p"/>
              </m:rPr>
              <w:rPr>
                <w:rFonts w:ascii="Cambria Math" w:eastAsia="Times New Roman" w:hAnsi="Cambria Math"/>
              </w:rPr>
              <m:t>-n</m:t>
            </m:r>
          </m:num>
          <m:den>
            <m:r>
              <m:rPr>
                <m:sty m:val="p"/>
              </m:rPr>
              <w:rPr>
                <w:rFonts w:ascii="Cambria Math" w:eastAsia="Times New Roman" w:hAnsi="Cambria Math"/>
              </w:rPr>
              <m:t>n-1</m:t>
            </m:r>
          </m:den>
        </m:f>
      </m:oMath>
      <w:r w:rsidR="007073F4" w:rsidRPr="00B5662E">
        <w:rPr>
          <w:rFonts w:eastAsia="Times New Roman"/>
        </w:rPr>
        <w:t xml:space="preserve"> ………………………………………….Equation (3.10</w:t>
      </w:r>
      <w:r w:rsidRPr="00B5662E">
        <w:rPr>
          <w:rFonts w:eastAsia="Times New Roman"/>
        </w:rPr>
        <w:t>)</w:t>
      </w:r>
    </w:p>
    <w:p w:rsidR="00BF0889" w:rsidRPr="00B5662E" w:rsidRDefault="008A29F5" w:rsidP="00C34AE4">
      <w:pPr>
        <w:rPr>
          <w:rFonts w:eastAsia="Times New Roman"/>
        </w:rPr>
      </w:pPr>
      <m:oMath>
        <m:r>
          <w:rPr>
            <w:rFonts w:ascii="Cambria Math" w:eastAsia="Times New Roman" w:hAnsi="Cambria Math"/>
          </w:rPr>
          <m:t>/</m:t>
        </m:r>
        <m:sSub>
          <m:sSubPr>
            <m:ctrlPr>
              <w:rPr>
                <w:rFonts w:ascii="Cambria Math" w:eastAsia="Times New Roman" w:hAnsi="Cambria Math"/>
                <w:i/>
              </w:rPr>
            </m:ctrlPr>
          </m:sSubPr>
          <m:e>
            <m:r>
              <w:rPr>
                <w:rFonts w:ascii="Cambria Math" w:eastAsia="Times New Roman" w:hAnsi="Cambria Math"/>
              </w:rPr>
              <m:t>λ</m:t>
            </m:r>
          </m:e>
          <m:sub>
            <m:r>
              <w:rPr>
                <w:rFonts w:ascii="Cambria Math" w:eastAsia="Times New Roman" w:hAnsi="Cambria Math"/>
              </w:rPr>
              <m:t>max</m:t>
            </m:r>
          </m:sub>
        </m:sSub>
        <m:r>
          <w:rPr>
            <w:rFonts w:ascii="Cambria Math" w:eastAsia="Times New Roman" w:hAnsi="Cambria Math"/>
          </w:rPr>
          <m:t>I-H/ =0</m:t>
        </m:r>
      </m:oMath>
      <w:r w:rsidR="00BF0889" w:rsidRPr="00B5662E">
        <w:rPr>
          <w:rFonts w:eastAsia="Times New Roman"/>
        </w:rPr>
        <w:t>……</w:t>
      </w:r>
      <w:r w:rsidR="00D16B98" w:rsidRPr="00B5662E">
        <w:rPr>
          <w:rFonts w:eastAsia="Times New Roman"/>
        </w:rPr>
        <w:t>………</w:t>
      </w:r>
      <w:r w:rsidRPr="00B5662E">
        <w:rPr>
          <w:rFonts w:eastAsia="Times New Roman"/>
        </w:rPr>
        <w:t>……………………….</w:t>
      </w:r>
      <w:r w:rsidR="00BF0889" w:rsidRPr="00B5662E">
        <w:rPr>
          <w:rFonts w:eastAsia="Times New Roman"/>
        </w:rPr>
        <w:t>………</w:t>
      </w:r>
      <w:r w:rsidR="00115291" w:rsidRPr="00B5662E">
        <w:rPr>
          <w:rFonts w:eastAsia="Times New Roman"/>
        </w:rPr>
        <w:t>..</w:t>
      </w:r>
      <w:r w:rsidR="00BF0889" w:rsidRPr="00B5662E">
        <w:rPr>
          <w:rFonts w:eastAsia="Times New Roman"/>
        </w:rPr>
        <w:t>…</w:t>
      </w:r>
      <w:r w:rsidR="00D16B98" w:rsidRPr="00B5662E">
        <w:rPr>
          <w:rFonts w:eastAsia="Times New Roman"/>
        </w:rPr>
        <w:t>…</w:t>
      </w:r>
      <w:r w:rsidR="00BF0889" w:rsidRPr="00B5662E">
        <w:rPr>
          <w:rFonts w:eastAsia="Times New Roman"/>
        </w:rPr>
        <w:t>……….Equation (3.11)</w:t>
      </w:r>
    </w:p>
    <w:p w:rsidR="00D16B98" w:rsidRPr="00B5662E" w:rsidRDefault="00D16B98" w:rsidP="00115291">
      <m:oMath>
        <m:r>
          <w:rPr>
            <w:rFonts w:ascii="Cambria Math" w:hAnsi="Cambria Math"/>
          </w:rPr>
          <m:t>H</m:t>
        </m:r>
        <m:r>
          <m:rPr>
            <m:sty m:val="p"/>
          </m:rPr>
          <w:rPr>
            <w:rFonts w:ascii="Cambria Math" w:hAnsi="Cambria Math"/>
          </w:rPr>
          <m:t>=</m:t>
        </m:r>
        <m:nary>
          <m:naryPr>
            <m:chr m:val="∑"/>
            <m:limLoc m:val="undOvr"/>
            <m:subHide m:val="1"/>
            <m:supHide m:val="1"/>
            <m:ctrlPr>
              <w:rPr>
                <w:rFonts w:ascii="Cambria Math" w:hAnsi="Cambria Math"/>
              </w:rPr>
            </m:ctrlPr>
          </m:naryPr>
          <m:sub/>
          <m:sup/>
          <m:e>
            <m:r>
              <w:rPr>
                <w:rFonts w:ascii="Cambria Math" w:hAnsi="Cambria Math"/>
              </w:rPr>
              <m:t>Ratio</m:t>
            </m:r>
          </m:e>
        </m:nary>
        <m:r>
          <m:rPr>
            <m:sty m:val="p"/>
          </m:rPr>
          <w:rPr>
            <w:rFonts w:ascii="Cambria Math" w:hAnsi="Cambria Math"/>
          </w:rPr>
          <m:t>=</m:t>
        </m:r>
        <m:f>
          <m:fPr>
            <m:ctrlPr>
              <w:rPr>
                <w:rFonts w:ascii="Cambria Math" w:hAnsi="Cambria Math"/>
              </w:rPr>
            </m:ctrlPr>
          </m:fPr>
          <m:num>
            <m:nary>
              <m:naryPr>
                <m:chr m:val="∑"/>
                <m:limLoc m:val="undOvr"/>
                <m:subHide m:val="1"/>
                <m:supHide m:val="1"/>
                <m:ctrlPr>
                  <w:rPr>
                    <w:rFonts w:ascii="Cambria Math" w:hAnsi="Cambria Math"/>
                  </w:rPr>
                </m:ctrlPr>
              </m:naryPr>
              <m:sub/>
              <m:sup/>
              <m:e>
                <m:sSub>
                  <m:sSubPr>
                    <m:ctrlPr>
                      <w:rPr>
                        <w:rFonts w:ascii="Cambria Math" w:hAnsi="Cambria Math"/>
                      </w:rPr>
                    </m:ctrlPr>
                  </m:sSubPr>
                  <m:e>
                    <m:d>
                      <m:dPr>
                        <m:ctrlPr>
                          <w:rPr>
                            <w:rFonts w:ascii="Cambria Math" w:hAnsi="Cambria Math"/>
                          </w:rPr>
                        </m:ctrlPr>
                      </m:dPr>
                      <m:e>
                        <m:r>
                          <w:rPr>
                            <w:rFonts w:ascii="Cambria Math" w:hAnsi="Cambria Math"/>
                          </w:rPr>
                          <m:t>WSV</m:t>
                        </m:r>
                      </m:e>
                    </m:d>
                  </m:e>
                  <m:sub>
                    <m:r>
                      <w:rPr>
                        <w:rFonts w:ascii="Cambria Math" w:hAnsi="Cambria Math"/>
                      </w:rPr>
                      <m:t>i</m:t>
                    </m:r>
                  </m:sub>
                </m:sSub>
              </m:e>
            </m:nary>
          </m:num>
          <m:den>
            <m:sSub>
              <m:sSubPr>
                <m:ctrlPr>
                  <w:rPr>
                    <w:rFonts w:ascii="Cambria Math" w:hAnsi="Cambria Math"/>
                  </w:rPr>
                </m:ctrlPr>
              </m:sSubPr>
              <m:e>
                <m:r>
                  <w:rPr>
                    <w:rFonts w:ascii="Cambria Math" w:hAnsi="Cambria Math"/>
                  </w:rPr>
                  <m:t>CW</m:t>
                </m:r>
              </m:e>
              <m:sub>
                <m:r>
                  <w:rPr>
                    <w:rFonts w:ascii="Cambria Math" w:hAnsi="Cambria Math"/>
                  </w:rPr>
                  <m:t>i</m:t>
                </m:r>
              </m:sub>
            </m:sSub>
          </m:den>
        </m:f>
      </m:oMath>
      <w:r w:rsidR="00115291" w:rsidRPr="00B5662E">
        <w:rPr>
          <w:rFonts w:eastAsia="Times New Roman"/>
        </w:rPr>
        <w:t>……………………………….…………………….Equation (3.12)</w:t>
      </w:r>
    </w:p>
    <w:p w:rsidR="00D16B98" w:rsidRPr="00B5662E" w:rsidRDefault="00115291" w:rsidP="00115291">
      <m:oMath>
        <m:r>
          <m:rPr>
            <m:sty m:val="p"/>
          </m:rPr>
          <w:rPr>
            <w:rFonts w:ascii="Cambria Math" w:hAnsi="Cambria Math"/>
          </w:rPr>
          <m:t>WSV=</m:t>
        </m:r>
        <m:nary>
          <m:naryPr>
            <m:chr m:val="∑"/>
            <m:limLoc m:val="undOvr"/>
            <m:subHide m:val="1"/>
            <m:supHide m:val="1"/>
            <m:ctrlPr>
              <w:rPr>
                <w:rFonts w:ascii="Cambria Math" w:hAnsi="Cambria Math"/>
              </w:rPr>
            </m:ctrlPr>
          </m:naryPr>
          <m:sub/>
          <m:sup/>
          <m:e>
            <m:sSub>
              <m:sSubPr>
                <m:ctrlPr>
                  <w:rPr>
                    <w:rFonts w:ascii="Cambria Math" w:hAnsi="Cambria Math"/>
                  </w:rPr>
                </m:ctrlPr>
              </m:sSubPr>
              <m:e>
                <m:sSub>
                  <m:sSubPr>
                    <m:ctrlPr>
                      <w:rPr>
                        <w:rFonts w:ascii="Cambria Math" w:hAnsi="Cambria Math"/>
                      </w:rPr>
                    </m:ctrlPr>
                  </m:sSubPr>
                  <m:e>
                    <m:r>
                      <w:rPr>
                        <w:rFonts w:ascii="Cambria Math" w:hAnsi="Cambria Math"/>
                      </w:rPr>
                      <m:t>(</m:t>
                    </m:r>
                    <m:acc>
                      <m:accPr>
                        <m:chr m:val="̅"/>
                        <m:ctrlPr>
                          <w:rPr>
                            <w:rFonts w:ascii="Cambria Math" w:hAnsi="Cambria Math"/>
                          </w:rPr>
                        </m:ctrlPr>
                      </m:accPr>
                      <m:e>
                        <m:r>
                          <w:rPr>
                            <w:rFonts w:ascii="Cambria Math" w:hAnsi="Cambria Math"/>
                          </w:rPr>
                          <m:t>a</m:t>
                        </m:r>
                      </m:e>
                    </m:acc>
                  </m:e>
                  <m:sub>
                    <m:r>
                      <w:rPr>
                        <w:rFonts w:ascii="Cambria Math" w:hAnsi="Cambria Math"/>
                      </w:rPr>
                      <m:t>jk</m:t>
                    </m:r>
                  </m:sub>
                </m:sSub>
                <m:r>
                  <m:rPr>
                    <m:sty m:val="p"/>
                  </m:rPr>
                  <w:rPr>
                    <w:rFonts w:ascii="Cambria Math" w:hAnsi="Cambria Math"/>
                  </w:rPr>
                  <m:t>)</m:t>
                </m:r>
              </m:e>
              <m:sub>
                <m:r>
                  <w:rPr>
                    <w:rFonts w:ascii="Cambria Math" w:hAnsi="Cambria Math"/>
                  </w:rPr>
                  <m:t>i</m:t>
                </m:r>
              </m:sub>
            </m:sSub>
          </m:e>
        </m:nary>
      </m:oMath>
      <w:r w:rsidRPr="00B5662E">
        <w:rPr>
          <w:rFonts w:eastAsia="Times New Roman"/>
        </w:rPr>
        <w:t>…………………………………….………….…………….Equation (3.13)</w:t>
      </w:r>
    </w:p>
    <w:p w:rsidR="00C80020" w:rsidRDefault="00702952" w:rsidP="00C34AE4">
      <w:r w:rsidRPr="00B5662E">
        <w:t>Where R</w:t>
      </w:r>
      <w:r w:rsidR="001477EC" w:rsidRPr="00B5662E">
        <w:t>I is the random index (Table 3.1</w:t>
      </w:r>
      <w:r w:rsidRPr="00B5662E">
        <w:t>), λ</w:t>
      </w:r>
      <w:r w:rsidRPr="00B5662E">
        <w:rPr>
          <w:vertAlign w:val="subscript"/>
        </w:rPr>
        <w:t>max</w:t>
      </w:r>
      <w:r w:rsidRPr="00B5662E">
        <w:t xml:space="preserve"> is maximum eigenvalue of the matrix, n-is the number of compared elemen</w:t>
      </w:r>
      <w:r w:rsidRPr="00C02489">
        <w:t>ts</w:t>
      </w:r>
      <w:r w:rsidR="00B5662E">
        <w:t>, WSV is weight sum value, CW criteria weight</w:t>
      </w:r>
      <w:r w:rsidRPr="00C02489">
        <w:t xml:space="preserve">. </w:t>
      </w:r>
    </w:p>
    <w:p w:rsidR="00D050B7" w:rsidRPr="00246BCC" w:rsidRDefault="00D050B7" w:rsidP="00C34AE4">
      <w:pPr>
        <w:rPr>
          <w:rFonts w:eastAsia="Times New Roman"/>
          <w:iCs/>
        </w:rPr>
      </w:pPr>
      <w:bookmarkStart w:id="156" w:name="_Toc68761594"/>
      <w:r w:rsidRPr="00246BCC">
        <w:rPr>
          <w:iCs/>
        </w:rPr>
        <w:t xml:space="preserve">Table </w:t>
      </w:r>
      <w:r w:rsidRPr="00246BCC">
        <w:rPr>
          <w:iCs/>
        </w:rPr>
        <w:fldChar w:fldCharType="begin"/>
      </w:r>
      <w:r w:rsidRPr="00246BCC">
        <w:rPr>
          <w:iCs/>
        </w:rPr>
        <w:instrText xml:space="preserve"> STYLEREF 1 \s </w:instrText>
      </w:r>
      <w:r w:rsidRPr="00246BCC">
        <w:rPr>
          <w:iCs/>
        </w:rPr>
        <w:fldChar w:fldCharType="separate"/>
      </w:r>
      <w:r w:rsidR="00BD510E">
        <w:rPr>
          <w:iCs/>
          <w:noProof/>
        </w:rPr>
        <w:t>3</w:t>
      </w:r>
      <w:r w:rsidRPr="00246BCC">
        <w:rPr>
          <w:iCs/>
        </w:rPr>
        <w:fldChar w:fldCharType="end"/>
      </w:r>
      <w:r w:rsidRPr="00246BCC">
        <w:rPr>
          <w:iCs/>
        </w:rPr>
        <w:t>.</w:t>
      </w:r>
      <w:r w:rsidRPr="00246BCC">
        <w:rPr>
          <w:iCs/>
        </w:rPr>
        <w:fldChar w:fldCharType="begin"/>
      </w:r>
      <w:r w:rsidRPr="00246BCC">
        <w:rPr>
          <w:iCs/>
        </w:rPr>
        <w:instrText xml:space="preserve"> SEQ Table \* ARABIC \s 1 </w:instrText>
      </w:r>
      <w:r w:rsidRPr="00246BCC">
        <w:rPr>
          <w:iCs/>
        </w:rPr>
        <w:fldChar w:fldCharType="separate"/>
      </w:r>
      <w:r w:rsidR="00BD510E">
        <w:rPr>
          <w:iCs/>
          <w:noProof/>
        </w:rPr>
        <w:t>1</w:t>
      </w:r>
      <w:r w:rsidRPr="00246BCC">
        <w:rPr>
          <w:iCs/>
        </w:rPr>
        <w:fldChar w:fldCharType="end"/>
      </w:r>
      <w:r w:rsidRPr="00246BCC">
        <w:rPr>
          <w:iCs/>
        </w:rPr>
        <w:t xml:space="preserve">: </w:t>
      </w:r>
      <w:r w:rsidRPr="00246BCC">
        <w:rPr>
          <w:rFonts w:eastAsia="Times New Roman"/>
          <w:iCs/>
        </w:rPr>
        <w:t>Random consistency index (RI)</w:t>
      </w:r>
      <w:r w:rsidRPr="00246BCC">
        <w:t xml:space="preserve"> </w:t>
      </w:r>
      <w:r w:rsidRPr="00246BCC">
        <w:rPr>
          <w:rFonts w:eastAsia="Times New Roman"/>
          <w:iCs/>
        </w:rPr>
        <w:t>for n ≤ 10 n</w:t>
      </w:r>
      <w:bookmarkEnd w:id="156"/>
    </w:p>
    <w:tbl>
      <w:tblPr>
        <w:tblW w:w="5000" w:type="pct"/>
        <w:tblBorders>
          <w:top w:val="single" w:sz="4" w:space="0" w:color="auto"/>
          <w:left w:val="single" w:sz="4" w:space="0" w:color="auto"/>
          <w:bottom w:val="single" w:sz="4" w:space="0" w:color="auto"/>
          <w:right w:val="single" w:sz="4" w:space="0" w:color="auto"/>
          <w:insideH w:val="single" w:sz="4" w:space="0" w:color="auto"/>
        </w:tblBorders>
        <w:tblLook w:val="04A0" w:firstRow="1" w:lastRow="0" w:firstColumn="1" w:lastColumn="0" w:noHBand="0" w:noVBand="1"/>
      </w:tblPr>
      <w:tblGrid>
        <w:gridCol w:w="1381"/>
        <w:gridCol w:w="799"/>
        <w:gridCol w:w="524"/>
        <w:gridCol w:w="700"/>
        <w:gridCol w:w="700"/>
        <w:gridCol w:w="787"/>
        <w:gridCol w:w="787"/>
        <w:gridCol w:w="787"/>
        <w:gridCol w:w="787"/>
        <w:gridCol w:w="875"/>
        <w:gridCol w:w="873"/>
      </w:tblGrid>
      <w:tr w:rsidR="00D050B7" w:rsidRPr="00C02489" w:rsidTr="008511A8">
        <w:tc>
          <w:tcPr>
            <w:tcW w:w="768" w:type="pct"/>
            <w:tcBorders>
              <w:right w:val="single" w:sz="4" w:space="0" w:color="auto"/>
            </w:tcBorders>
            <w:shd w:val="clear" w:color="auto" w:fill="auto"/>
          </w:tcPr>
          <w:p w:rsidR="00D050B7" w:rsidRPr="00C02489" w:rsidRDefault="00D050B7" w:rsidP="009B7CAE">
            <w:pPr>
              <w:spacing w:before="0" w:after="0"/>
              <w:rPr>
                <w:rFonts w:eastAsia="Times New Roman"/>
                <w:lang w:val="en-GB" w:eastAsia="en-GB"/>
              </w:rPr>
            </w:pPr>
            <w:r w:rsidRPr="00C02489">
              <w:rPr>
                <w:rFonts w:eastAsia="Times New Roman"/>
                <w:lang w:val="en-GB" w:eastAsia="en-GB"/>
              </w:rPr>
              <w:t>Matrix size</w:t>
            </w:r>
          </w:p>
        </w:tc>
        <w:tc>
          <w:tcPr>
            <w:tcW w:w="444" w:type="pct"/>
            <w:tcBorders>
              <w:left w:val="single" w:sz="4" w:space="0" w:color="auto"/>
            </w:tcBorders>
            <w:shd w:val="clear" w:color="auto" w:fill="auto"/>
          </w:tcPr>
          <w:p w:rsidR="00D050B7" w:rsidRPr="00C02489" w:rsidRDefault="00D050B7" w:rsidP="009B7CAE">
            <w:pPr>
              <w:spacing w:before="0" w:after="0"/>
              <w:rPr>
                <w:rFonts w:eastAsia="Times New Roman"/>
                <w:lang w:val="en-GB" w:eastAsia="en-GB"/>
              </w:rPr>
            </w:pPr>
            <w:r w:rsidRPr="00C02489">
              <w:rPr>
                <w:rFonts w:eastAsia="Times New Roman"/>
                <w:lang w:val="en-GB" w:eastAsia="en-GB"/>
              </w:rPr>
              <w:t>1</w:t>
            </w:r>
          </w:p>
        </w:tc>
        <w:tc>
          <w:tcPr>
            <w:tcW w:w="291" w:type="pct"/>
            <w:shd w:val="clear" w:color="auto" w:fill="auto"/>
          </w:tcPr>
          <w:p w:rsidR="00D050B7" w:rsidRPr="00C02489" w:rsidRDefault="00D050B7" w:rsidP="009B7CAE">
            <w:pPr>
              <w:spacing w:before="0" w:after="0"/>
              <w:rPr>
                <w:rFonts w:eastAsia="Times New Roman"/>
                <w:lang w:val="en-GB" w:eastAsia="en-GB"/>
              </w:rPr>
            </w:pPr>
            <w:r w:rsidRPr="00C02489">
              <w:rPr>
                <w:rFonts w:eastAsia="Times New Roman"/>
                <w:lang w:val="en-GB" w:eastAsia="en-GB"/>
              </w:rPr>
              <w:t>2</w:t>
            </w:r>
          </w:p>
        </w:tc>
        <w:tc>
          <w:tcPr>
            <w:tcW w:w="389" w:type="pct"/>
            <w:shd w:val="clear" w:color="auto" w:fill="auto"/>
          </w:tcPr>
          <w:p w:rsidR="00D050B7" w:rsidRPr="00C02489" w:rsidRDefault="00D050B7" w:rsidP="009B7CAE">
            <w:pPr>
              <w:spacing w:before="0" w:after="0"/>
              <w:rPr>
                <w:rFonts w:eastAsia="Times New Roman"/>
                <w:lang w:val="en-GB" w:eastAsia="en-GB"/>
              </w:rPr>
            </w:pPr>
            <w:r w:rsidRPr="00C02489">
              <w:rPr>
                <w:rFonts w:eastAsia="Times New Roman"/>
                <w:lang w:val="en-GB" w:eastAsia="en-GB"/>
              </w:rPr>
              <w:t>3</w:t>
            </w:r>
          </w:p>
        </w:tc>
        <w:tc>
          <w:tcPr>
            <w:tcW w:w="389" w:type="pct"/>
            <w:shd w:val="clear" w:color="auto" w:fill="auto"/>
          </w:tcPr>
          <w:p w:rsidR="00D050B7" w:rsidRPr="00C02489" w:rsidRDefault="00D050B7" w:rsidP="009B7CAE">
            <w:pPr>
              <w:spacing w:before="0" w:after="0"/>
              <w:rPr>
                <w:rFonts w:eastAsia="Times New Roman"/>
                <w:lang w:val="en-GB" w:eastAsia="en-GB"/>
              </w:rPr>
            </w:pPr>
            <w:r w:rsidRPr="00C02489">
              <w:rPr>
                <w:rFonts w:eastAsia="Times New Roman"/>
                <w:lang w:val="en-GB" w:eastAsia="en-GB"/>
              </w:rPr>
              <w:t>4</w:t>
            </w:r>
          </w:p>
        </w:tc>
        <w:tc>
          <w:tcPr>
            <w:tcW w:w="437" w:type="pct"/>
            <w:shd w:val="clear" w:color="auto" w:fill="auto"/>
          </w:tcPr>
          <w:p w:rsidR="00D050B7" w:rsidRPr="00C02489" w:rsidRDefault="00D050B7" w:rsidP="009B7CAE">
            <w:pPr>
              <w:spacing w:before="0" w:after="0"/>
              <w:rPr>
                <w:rFonts w:eastAsia="Times New Roman"/>
                <w:lang w:val="en-GB" w:eastAsia="en-GB"/>
              </w:rPr>
            </w:pPr>
            <w:r w:rsidRPr="00C02489">
              <w:rPr>
                <w:rFonts w:eastAsia="Times New Roman"/>
                <w:lang w:val="en-GB" w:eastAsia="en-GB"/>
              </w:rPr>
              <w:t>5</w:t>
            </w:r>
          </w:p>
        </w:tc>
        <w:tc>
          <w:tcPr>
            <w:tcW w:w="437" w:type="pct"/>
            <w:shd w:val="clear" w:color="auto" w:fill="auto"/>
          </w:tcPr>
          <w:p w:rsidR="00D050B7" w:rsidRPr="00C02489" w:rsidRDefault="00D050B7" w:rsidP="009B7CAE">
            <w:pPr>
              <w:spacing w:before="0" w:after="0"/>
              <w:rPr>
                <w:rFonts w:eastAsia="Times New Roman"/>
                <w:lang w:val="en-GB" w:eastAsia="en-GB"/>
              </w:rPr>
            </w:pPr>
            <w:r w:rsidRPr="00C02489">
              <w:rPr>
                <w:rFonts w:eastAsia="Times New Roman"/>
                <w:lang w:val="en-GB" w:eastAsia="en-GB"/>
              </w:rPr>
              <w:t>6</w:t>
            </w:r>
          </w:p>
        </w:tc>
        <w:tc>
          <w:tcPr>
            <w:tcW w:w="437" w:type="pct"/>
            <w:shd w:val="clear" w:color="auto" w:fill="auto"/>
          </w:tcPr>
          <w:p w:rsidR="00D050B7" w:rsidRPr="00C02489" w:rsidRDefault="00D050B7" w:rsidP="009B7CAE">
            <w:pPr>
              <w:spacing w:before="0" w:after="0"/>
              <w:rPr>
                <w:rFonts w:eastAsia="Times New Roman"/>
                <w:lang w:val="en-GB" w:eastAsia="en-GB"/>
              </w:rPr>
            </w:pPr>
            <w:r w:rsidRPr="00C02489">
              <w:rPr>
                <w:rFonts w:eastAsia="Times New Roman"/>
                <w:lang w:val="en-GB" w:eastAsia="en-GB"/>
              </w:rPr>
              <w:t>7</w:t>
            </w:r>
          </w:p>
        </w:tc>
        <w:tc>
          <w:tcPr>
            <w:tcW w:w="437" w:type="pct"/>
            <w:shd w:val="clear" w:color="auto" w:fill="auto"/>
          </w:tcPr>
          <w:p w:rsidR="00D050B7" w:rsidRPr="00C02489" w:rsidRDefault="00D050B7" w:rsidP="009B7CAE">
            <w:pPr>
              <w:spacing w:before="0" w:after="0"/>
              <w:rPr>
                <w:rFonts w:eastAsia="Times New Roman"/>
                <w:lang w:val="en-GB" w:eastAsia="en-GB"/>
              </w:rPr>
            </w:pPr>
            <w:r w:rsidRPr="00C02489">
              <w:rPr>
                <w:rFonts w:eastAsia="Times New Roman"/>
                <w:lang w:val="en-GB" w:eastAsia="en-GB"/>
              </w:rPr>
              <w:t>8</w:t>
            </w:r>
          </w:p>
        </w:tc>
        <w:tc>
          <w:tcPr>
            <w:tcW w:w="486" w:type="pct"/>
            <w:shd w:val="clear" w:color="auto" w:fill="auto"/>
          </w:tcPr>
          <w:p w:rsidR="00D050B7" w:rsidRPr="00C02489" w:rsidRDefault="00D050B7" w:rsidP="009B7CAE">
            <w:pPr>
              <w:spacing w:before="0" w:after="0"/>
              <w:rPr>
                <w:rFonts w:eastAsia="Times New Roman"/>
                <w:lang w:val="en-GB" w:eastAsia="en-GB"/>
              </w:rPr>
            </w:pPr>
            <w:r w:rsidRPr="00C02489">
              <w:rPr>
                <w:rFonts w:eastAsia="Times New Roman"/>
                <w:lang w:val="en-GB" w:eastAsia="en-GB"/>
              </w:rPr>
              <w:t>9</w:t>
            </w:r>
          </w:p>
        </w:tc>
        <w:tc>
          <w:tcPr>
            <w:tcW w:w="486" w:type="pct"/>
            <w:shd w:val="clear" w:color="auto" w:fill="auto"/>
          </w:tcPr>
          <w:p w:rsidR="00D050B7" w:rsidRPr="00C02489" w:rsidRDefault="00D050B7" w:rsidP="009B7CAE">
            <w:pPr>
              <w:spacing w:before="0" w:after="0"/>
              <w:rPr>
                <w:rFonts w:eastAsia="Times New Roman"/>
                <w:lang w:val="en-GB" w:eastAsia="en-GB"/>
              </w:rPr>
            </w:pPr>
            <w:r w:rsidRPr="00C02489">
              <w:rPr>
                <w:rFonts w:eastAsia="Times New Roman"/>
                <w:lang w:val="en-GB" w:eastAsia="en-GB"/>
              </w:rPr>
              <w:t>10</w:t>
            </w:r>
          </w:p>
        </w:tc>
      </w:tr>
      <w:tr w:rsidR="00D050B7" w:rsidRPr="00C02489" w:rsidTr="008511A8">
        <w:tc>
          <w:tcPr>
            <w:tcW w:w="768" w:type="pct"/>
            <w:tcBorders>
              <w:right w:val="single" w:sz="4" w:space="0" w:color="auto"/>
            </w:tcBorders>
            <w:shd w:val="clear" w:color="auto" w:fill="auto"/>
          </w:tcPr>
          <w:p w:rsidR="00D050B7" w:rsidRPr="00C02489" w:rsidRDefault="00D050B7" w:rsidP="009B7CAE">
            <w:pPr>
              <w:spacing w:before="0" w:after="0"/>
              <w:rPr>
                <w:rFonts w:eastAsia="Times New Roman"/>
                <w:lang w:val="en-GB" w:eastAsia="en-GB"/>
              </w:rPr>
            </w:pPr>
            <w:r w:rsidRPr="00C02489">
              <w:rPr>
                <w:rFonts w:eastAsia="Times New Roman"/>
                <w:lang w:val="en-GB" w:eastAsia="en-GB"/>
              </w:rPr>
              <w:t>RI</w:t>
            </w:r>
          </w:p>
        </w:tc>
        <w:tc>
          <w:tcPr>
            <w:tcW w:w="444" w:type="pct"/>
            <w:tcBorders>
              <w:left w:val="single" w:sz="4" w:space="0" w:color="auto"/>
            </w:tcBorders>
            <w:shd w:val="clear" w:color="auto" w:fill="auto"/>
          </w:tcPr>
          <w:p w:rsidR="00D050B7" w:rsidRPr="00C02489" w:rsidRDefault="00D050B7" w:rsidP="009B7CAE">
            <w:pPr>
              <w:spacing w:before="0" w:after="0"/>
              <w:rPr>
                <w:rFonts w:eastAsia="Times New Roman"/>
                <w:lang w:val="en-GB" w:eastAsia="en-GB"/>
              </w:rPr>
            </w:pPr>
            <w:r w:rsidRPr="00C02489">
              <w:rPr>
                <w:rFonts w:eastAsia="Times New Roman"/>
                <w:lang w:val="en-GB" w:eastAsia="en-GB"/>
              </w:rPr>
              <w:t>0</w:t>
            </w:r>
          </w:p>
        </w:tc>
        <w:tc>
          <w:tcPr>
            <w:tcW w:w="291" w:type="pct"/>
            <w:shd w:val="clear" w:color="auto" w:fill="auto"/>
          </w:tcPr>
          <w:p w:rsidR="00D050B7" w:rsidRPr="00C02489" w:rsidRDefault="00D050B7" w:rsidP="009B7CAE">
            <w:pPr>
              <w:spacing w:before="0" w:after="0"/>
              <w:rPr>
                <w:rFonts w:eastAsia="Times New Roman"/>
                <w:lang w:val="en-GB" w:eastAsia="en-GB"/>
              </w:rPr>
            </w:pPr>
            <w:r w:rsidRPr="00C02489">
              <w:rPr>
                <w:rFonts w:eastAsia="Times New Roman"/>
                <w:lang w:val="en-GB" w:eastAsia="en-GB"/>
              </w:rPr>
              <w:t>0</w:t>
            </w:r>
          </w:p>
        </w:tc>
        <w:tc>
          <w:tcPr>
            <w:tcW w:w="389" w:type="pct"/>
            <w:shd w:val="clear" w:color="auto" w:fill="auto"/>
          </w:tcPr>
          <w:p w:rsidR="00D050B7" w:rsidRPr="00C02489" w:rsidRDefault="00D050B7" w:rsidP="009B7CAE">
            <w:pPr>
              <w:spacing w:before="0" w:after="0"/>
              <w:rPr>
                <w:rFonts w:eastAsia="Times New Roman"/>
                <w:lang w:val="en-GB" w:eastAsia="en-GB"/>
              </w:rPr>
            </w:pPr>
            <w:r w:rsidRPr="00C02489">
              <w:rPr>
                <w:rFonts w:eastAsia="Times New Roman"/>
                <w:lang w:val="en-GB" w:eastAsia="en-GB"/>
              </w:rPr>
              <w:t>0.58</w:t>
            </w:r>
          </w:p>
        </w:tc>
        <w:tc>
          <w:tcPr>
            <w:tcW w:w="389" w:type="pct"/>
            <w:shd w:val="clear" w:color="auto" w:fill="auto"/>
          </w:tcPr>
          <w:p w:rsidR="00D050B7" w:rsidRPr="00C02489" w:rsidRDefault="00D050B7" w:rsidP="009B7CAE">
            <w:pPr>
              <w:spacing w:before="0" w:after="0"/>
              <w:rPr>
                <w:rFonts w:eastAsia="Times New Roman"/>
                <w:lang w:val="en-GB" w:eastAsia="en-GB"/>
              </w:rPr>
            </w:pPr>
            <w:r w:rsidRPr="00C02489">
              <w:rPr>
                <w:rFonts w:eastAsia="Times New Roman"/>
                <w:lang w:val="en-GB" w:eastAsia="en-GB"/>
              </w:rPr>
              <w:t>0.9</w:t>
            </w:r>
          </w:p>
        </w:tc>
        <w:tc>
          <w:tcPr>
            <w:tcW w:w="437" w:type="pct"/>
            <w:shd w:val="clear" w:color="auto" w:fill="auto"/>
          </w:tcPr>
          <w:p w:rsidR="00D050B7" w:rsidRPr="00C02489" w:rsidRDefault="00D050B7" w:rsidP="009B7CAE">
            <w:pPr>
              <w:spacing w:before="0" w:after="0"/>
              <w:rPr>
                <w:rFonts w:eastAsia="Times New Roman"/>
                <w:lang w:val="en-GB" w:eastAsia="en-GB"/>
              </w:rPr>
            </w:pPr>
            <w:r w:rsidRPr="00C02489">
              <w:rPr>
                <w:rFonts w:eastAsia="Times New Roman"/>
                <w:lang w:val="en-GB" w:eastAsia="en-GB"/>
              </w:rPr>
              <w:t>1.12</w:t>
            </w:r>
          </w:p>
        </w:tc>
        <w:tc>
          <w:tcPr>
            <w:tcW w:w="437" w:type="pct"/>
            <w:shd w:val="clear" w:color="auto" w:fill="auto"/>
          </w:tcPr>
          <w:p w:rsidR="00D050B7" w:rsidRPr="00C02489" w:rsidRDefault="00D050B7" w:rsidP="009B7CAE">
            <w:pPr>
              <w:spacing w:before="0" w:after="0"/>
              <w:rPr>
                <w:rFonts w:eastAsia="Times New Roman"/>
                <w:lang w:val="en-GB" w:eastAsia="en-GB"/>
              </w:rPr>
            </w:pPr>
            <w:r w:rsidRPr="00C02489">
              <w:rPr>
                <w:rFonts w:eastAsia="Times New Roman"/>
                <w:lang w:val="en-GB" w:eastAsia="en-GB"/>
              </w:rPr>
              <w:t>1.24</w:t>
            </w:r>
          </w:p>
        </w:tc>
        <w:tc>
          <w:tcPr>
            <w:tcW w:w="437" w:type="pct"/>
            <w:shd w:val="clear" w:color="auto" w:fill="auto"/>
          </w:tcPr>
          <w:p w:rsidR="00D050B7" w:rsidRPr="00C02489" w:rsidRDefault="00D050B7" w:rsidP="009B7CAE">
            <w:pPr>
              <w:spacing w:before="0" w:after="0"/>
              <w:rPr>
                <w:rFonts w:eastAsia="Times New Roman"/>
                <w:lang w:val="en-GB" w:eastAsia="en-GB"/>
              </w:rPr>
            </w:pPr>
            <w:r w:rsidRPr="00C02489">
              <w:rPr>
                <w:rFonts w:eastAsia="Times New Roman"/>
                <w:lang w:val="en-GB" w:eastAsia="en-GB"/>
              </w:rPr>
              <w:t>1.32</w:t>
            </w:r>
          </w:p>
        </w:tc>
        <w:tc>
          <w:tcPr>
            <w:tcW w:w="437" w:type="pct"/>
            <w:shd w:val="clear" w:color="auto" w:fill="auto"/>
          </w:tcPr>
          <w:p w:rsidR="00D050B7" w:rsidRPr="00C02489" w:rsidRDefault="00D050B7" w:rsidP="009B7CAE">
            <w:pPr>
              <w:spacing w:before="0" w:after="0"/>
              <w:rPr>
                <w:rFonts w:eastAsia="Times New Roman"/>
                <w:lang w:val="en-GB" w:eastAsia="en-GB"/>
              </w:rPr>
            </w:pPr>
            <w:r w:rsidRPr="00C02489">
              <w:rPr>
                <w:rFonts w:eastAsia="Times New Roman"/>
                <w:lang w:val="en-GB" w:eastAsia="en-GB"/>
              </w:rPr>
              <w:t>1.41</w:t>
            </w:r>
          </w:p>
        </w:tc>
        <w:tc>
          <w:tcPr>
            <w:tcW w:w="486" w:type="pct"/>
            <w:shd w:val="clear" w:color="auto" w:fill="auto"/>
          </w:tcPr>
          <w:p w:rsidR="00D050B7" w:rsidRPr="00C02489" w:rsidRDefault="00D050B7" w:rsidP="009B7CAE">
            <w:pPr>
              <w:spacing w:before="0" w:after="0"/>
              <w:rPr>
                <w:rFonts w:eastAsia="Times New Roman"/>
                <w:lang w:val="en-GB" w:eastAsia="en-GB"/>
              </w:rPr>
            </w:pPr>
            <w:r w:rsidRPr="00C02489">
              <w:rPr>
                <w:rFonts w:eastAsia="Times New Roman"/>
                <w:lang w:val="en-GB" w:eastAsia="en-GB"/>
              </w:rPr>
              <w:t>1.45</w:t>
            </w:r>
          </w:p>
        </w:tc>
        <w:tc>
          <w:tcPr>
            <w:tcW w:w="486" w:type="pct"/>
            <w:shd w:val="clear" w:color="auto" w:fill="auto"/>
          </w:tcPr>
          <w:p w:rsidR="00D050B7" w:rsidRPr="00C02489" w:rsidRDefault="00D050B7" w:rsidP="009B7CAE">
            <w:pPr>
              <w:spacing w:before="0" w:after="0"/>
              <w:rPr>
                <w:rFonts w:eastAsia="Times New Roman"/>
                <w:lang w:val="en-GB" w:eastAsia="en-GB"/>
              </w:rPr>
            </w:pPr>
            <w:r w:rsidRPr="00C02489">
              <w:rPr>
                <w:rFonts w:eastAsia="Times New Roman"/>
                <w:lang w:val="en-GB" w:eastAsia="en-GB"/>
              </w:rPr>
              <w:t>1.49</w:t>
            </w:r>
          </w:p>
        </w:tc>
      </w:tr>
    </w:tbl>
    <w:p w:rsidR="00D050B7" w:rsidRPr="00C02489" w:rsidRDefault="00D050B7" w:rsidP="00601FD1">
      <w:r w:rsidRPr="00C02489">
        <w:t xml:space="preserve">Source: </w:t>
      </w:r>
      <w:r w:rsidRPr="00C02489">
        <w:fldChar w:fldCharType="begin" w:fldLock="1"/>
      </w:r>
      <w:r w:rsidR="00A309A8">
        <w:instrText>ADDIN CSL_CITATION {"citationItems":[{"id":"ITEM-1","itemData":{"author":[{"dropping-particle":"","family":"Saaty","given":"T.L.","non-dropping-particle":"","parse-names":false,"suffix":""}],"container-title":"Journal of mathematical psychology","id":"ITEM-1","issue":"3","issued":{"date-parts":[["1977"]]},"page":"231-281","title":"A scaling method for priorities in hierarchical structures","type":"article-journal","volume":"15"},"uris":["http://www.mendeley.com/documents/?uuid=70de4160-5239-4bf7-99e9-e4c60435f694","http://www.mendeley.com/documents/?uuid=efa23be0-fe7a-450f-91e6-910b2c2829c4"]}],"mendeley":{"formattedCitation":"(Saaty, 1977)","plainTextFormattedCitation":"(Saaty, 1977)","previouslyFormattedCitation":"(Saaty, 1977)"},"properties":{"noteIndex":0},"schema":"https://github.com/citation-style-language/schema/raw/master/csl-citation.json"}</w:instrText>
      </w:r>
      <w:r w:rsidRPr="00C02489">
        <w:fldChar w:fldCharType="separate"/>
      </w:r>
      <w:r w:rsidRPr="00C02489">
        <w:rPr>
          <w:noProof/>
        </w:rPr>
        <w:t>(Saaty, 1977)</w:t>
      </w:r>
      <w:r w:rsidRPr="00C02489">
        <w:fldChar w:fldCharType="end"/>
      </w:r>
    </w:p>
    <w:p w:rsidR="00702952" w:rsidRDefault="00702952" w:rsidP="00601FD1">
      <w:r w:rsidRPr="00C02489">
        <w:t>IDRISI Selva software</w:t>
      </w:r>
      <w:r w:rsidR="00EE1D97">
        <w:t xml:space="preserve"> </w:t>
      </w:r>
      <w:r w:rsidR="00682837">
        <w:t>performs</w:t>
      </w:r>
      <w:r w:rsidR="00EE1D97">
        <w:t xml:space="preserve"> the </w:t>
      </w:r>
      <w:r w:rsidR="00EE1D97" w:rsidRPr="00C02489">
        <w:t>process of prioritizing factors according to their importance and weight assignment</w:t>
      </w:r>
      <w:r w:rsidR="00EE1D97">
        <w:t xml:space="preserve"> </w:t>
      </w:r>
      <w:r w:rsidR="00F1474B">
        <w:t>(</w:t>
      </w:r>
      <w:r w:rsidR="00325007">
        <w:t>Appendix figure 3</w:t>
      </w:r>
      <w:r w:rsidR="00F1474B">
        <w:t>)</w:t>
      </w:r>
      <w:r w:rsidRPr="00C02489">
        <w:t xml:space="preserve">. Using the reclassified raster layers, the module WEIGHT utilizes </w:t>
      </w:r>
      <w:r w:rsidR="00682837" w:rsidRPr="00C02489">
        <w:t>a pairwise comparison that allows</w:t>
      </w:r>
      <w:r w:rsidRPr="00C02489">
        <w:t xml:space="preserve"> to develop a set of factor weights that will sum to 1.0. Judgment about the relative importance of pairwise combinations </w:t>
      </w:r>
      <w:r w:rsidR="003639B5">
        <w:t>of the factors involves nine</w:t>
      </w:r>
      <w:r w:rsidRPr="00C02489">
        <w:t xml:space="preserve"> point rating scale (Appendix table 1). Factors are compared twice at a time in terms of their importance relative to the stated objective.</w:t>
      </w:r>
      <w:r w:rsidRPr="00C02489">
        <w:rPr>
          <w:rFonts w:eastAsia="Times New Roman"/>
        </w:rPr>
        <w:t xml:space="preserve"> </w:t>
      </w:r>
      <w:r w:rsidRPr="00C02489">
        <w:t>After all possible combinations of comparisons, the module c</w:t>
      </w:r>
      <w:r w:rsidR="002C6D00">
        <w:t xml:space="preserve">alculates a set of weights and </w:t>
      </w:r>
      <w:r w:rsidRPr="00C02489">
        <w:t>a consistency ratio</w:t>
      </w:r>
      <w:r w:rsidR="002C6D00">
        <w:t xml:space="preserve"> (CR)</w:t>
      </w:r>
      <w:r w:rsidRPr="00C02489">
        <w:t xml:space="preserve">. The module allows repeated adjustments of pairwise comparisons and reports new weights and </w:t>
      </w:r>
      <w:r w:rsidR="00C30D46">
        <w:t>CR</w:t>
      </w:r>
      <w:r w:rsidRPr="00C02489">
        <w:t xml:space="preserve"> for each </w:t>
      </w:r>
      <w:r w:rsidR="00BE1770" w:rsidRPr="00C02489">
        <w:t>iteration</w:t>
      </w:r>
      <w:r w:rsidRPr="00C02489">
        <w:t>.</w:t>
      </w:r>
    </w:p>
    <w:p w:rsidR="008A3088" w:rsidRPr="00F82C86" w:rsidRDefault="008A3088" w:rsidP="00601FD1">
      <w:pPr>
        <w:pStyle w:val="Heading4"/>
        <w:numPr>
          <w:ilvl w:val="3"/>
          <w:numId w:val="1"/>
        </w:numPr>
        <w:spacing w:before="120" w:after="120"/>
      </w:pPr>
      <w:r w:rsidRPr="00C02489">
        <w:t>GIS Integration and Groundwater Potential Map</w:t>
      </w:r>
    </w:p>
    <w:p w:rsidR="00D66A1A" w:rsidRDefault="008A3088" w:rsidP="00601FD1">
      <w:r w:rsidRPr="00F82C86">
        <w:t>The GWPZ’s of Weyib Sub-basin was delineated by the integration of all reclassified thematic layers using weighted overlay analysis tools of ArcGIS</w:t>
      </w:r>
      <w:r>
        <w:t xml:space="preserve"> 10.5</w:t>
      </w:r>
      <w:r w:rsidRPr="00F82C86">
        <w:t xml:space="preserve">. </w:t>
      </w:r>
    </w:p>
    <w:p w:rsidR="00DD654D" w:rsidRDefault="008A3088" w:rsidP="00601FD1">
      <w:r w:rsidRPr="00F82C86">
        <w:lastRenderedPageBreak/>
        <w:t xml:space="preserve">The raster of common measurement scale </w:t>
      </w:r>
      <w:r>
        <w:t xml:space="preserve">value </w:t>
      </w:r>
      <w:r w:rsidRPr="00F82C86">
        <w:t>and va</w:t>
      </w:r>
      <w:r w:rsidR="00D64F93">
        <w:t xml:space="preserve">rying weights overlaid by using </w:t>
      </w:r>
      <w:r w:rsidR="007073F4">
        <w:t>Equation 3.1</w:t>
      </w:r>
      <w:r w:rsidR="00F8061E">
        <w:t>4</w:t>
      </w:r>
      <w:r w:rsidR="001A63D3">
        <w:t xml:space="preserve"> </w:t>
      </w:r>
      <w:r w:rsidRPr="00F82C86">
        <w:fldChar w:fldCharType="begin" w:fldLock="1"/>
      </w:r>
      <w:r w:rsidR="00A309A8">
        <w:instrText>ADDIN CSL_CITATION {"citationItems":[{"id":"ITEM-1","itemData":{"ISSN":"22145818","abstract":"Study region: Guna Tana Landscape, Upper Blue Nile Basin, Ethiopia. Study focus: This paper aimed to delineate the groundwater potential zones using GIS and remote sensing. Multi-Criteria Decision Analysis (MCDA) technique is used to develop the groundwater potential prospect zones by integrating different groundwater contributing thematic layers. The thematic layers of land cover, drainage density, lineament density, soil, geology, slope, and geomorphology were prepared and used for groundwater potential map development by assigning weights to each thematic layer and features. The weights of each thematic layer were assigned and normalized based on their characteristic and relationship with groundwater recharge. Finally, the thematic maps were integrated by a weighted sum overlay analysis tool to develop groundwater prospect zones. New hydrological insights for the region: It was found that the downstream parts of the Landscape showed excellent groundwater potential covering about 833.49 km2 area with a flat and lacustrine sediment characteristic. About 469.12 km2 of the landscape showed very good groundwater potential zone. Northern, northeastern and southeastern parts of the area presented very poor groundwater prospect covering about 553.68 km2 area. The groundwater potential map was validated using the existing pumping wells and it indicated a good prediction accuracy of 70.5%. Thus, the potential zones identified in the study area by the MCDA technique are reliable.","author":[{"dropping-particle":"","family":"Andualem","given":"Tesfa Gebrie","non-dropping-particle":"","parse-names":false,"suffix":""},{"dropping-particle":"","family":"Demeke","given":"Girum Getachew","non-dropping-particle":"","parse-names":false,"suffix":""}],"container-title":"Journal of Hydrology: Regional Studies","id":"ITEM-1","issue":"5","issued":{"date-parts":[["2019"]]},"page":"100610","publisher":"Elsevier","title":"Groundwater potential assessment using GIS and remote sensing: A case study of Guna tana landscape, upper blue Nile Basin, Ethiopia","type":"article-journal","volume":"24"},"uris":["http://www.mendeley.com/documents/?uuid=b572f48d-0752-4d04-b82e-d8016090b501","http://www.mendeley.com/documents/?uuid=c3391aab-dc3c-44d1-bb8e-df52d4cbb589"]}],"mendeley":{"formattedCitation":"(Andualem &amp; Demeke, 2019)","manualFormatting":"(Andualem and Demeke, 2019)","plainTextFormattedCitation":"(Andualem &amp; Demeke, 2019)","previouslyFormattedCitation":"(Andualem &amp; Demeke, 2019)"},"properties":{"noteIndex":0},"schema":"https://github.com/citation-style-language/schema/raw/master/csl-citation.json"}</w:instrText>
      </w:r>
      <w:r w:rsidRPr="00F82C86">
        <w:fldChar w:fldCharType="separate"/>
      </w:r>
      <w:r w:rsidR="00B23079">
        <w:rPr>
          <w:noProof/>
        </w:rPr>
        <w:t>(Andualem and</w:t>
      </w:r>
      <w:r w:rsidRPr="00F82C86">
        <w:rPr>
          <w:noProof/>
        </w:rPr>
        <w:t xml:space="preserve"> Demeke, 2019)</w:t>
      </w:r>
      <w:r w:rsidRPr="00F82C86">
        <w:fldChar w:fldCharType="end"/>
      </w:r>
      <w:r w:rsidRPr="00F82C86">
        <w:t>. Since the summation of criteria weight of all thematic layers is adjusted to 100%</w:t>
      </w:r>
      <w:r>
        <w:t>,</w:t>
      </w:r>
      <w:r w:rsidRPr="00F82C86">
        <w:t xml:space="preserve"> the maximum possible value of groundwater index is five and the minimum value is one. The maximum value of five indicates very high groundwater po</w:t>
      </w:r>
      <w:r w:rsidR="005179E1">
        <w:t>tential, while four, three, two</w:t>
      </w:r>
      <w:r w:rsidRPr="00F82C86">
        <w:t xml:space="preserve"> and one indicates high, moderate, low and very low GWPZ respectively.</w:t>
      </w:r>
      <w:r>
        <w:t xml:space="preserve"> </w:t>
      </w:r>
      <w:r w:rsidRPr="00F82C86">
        <w:t xml:space="preserve">The normalized weights of the themes multiplied by the normalized weights of the class are applied to evaluate the groundwater potential index. </w:t>
      </w:r>
    </w:p>
    <w:p w:rsidR="008A3088" w:rsidRPr="00F82C86" w:rsidRDefault="008A3088" w:rsidP="00601FD1">
      <w:r w:rsidRPr="00F82C86">
        <w:t>The groundwater potential index is given by;</w:t>
      </w:r>
    </w:p>
    <w:p w:rsidR="008A3088" w:rsidRPr="00C02489" w:rsidRDefault="008A3088" w:rsidP="00C34AE4">
      <m:oMath>
        <m:r>
          <m:rPr>
            <m:sty m:val="p"/>
          </m:rPr>
          <w:rPr>
            <w:rFonts w:ascii="Cambria Math" w:hAnsi="Cambria Math"/>
          </w:rPr>
          <m:t>GWPI=</m:t>
        </m:r>
        <m:nary>
          <m:naryPr>
            <m:chr m:val="∑"/>
            <m:limLoc m:val="undOvr"/>
            <m:ctrlPr>
              <w:rPr>
                <w:rFonts w:ascii="Cambria Math" w:hAnsi="Cambria Math"/>
              </w:rPr>
            </m:ctrlPr>
          </m:naryPr>
          <m:sub>
            <m:r>
              <m:rPr>
                <m:sty m:val="p"/>
              </m:rPr>
              <w:rPr>
                <w:rFonts w:ascii="Cambria Math" w:hAnsi="Cambria Math"/>
              </w:rPr>
              <m:t>w=1</m:t>
            </m:r>
          </m:sub>
          <m:sup>
            <m:r>
              <m:rPr>
                <m:sty m:val="p"/>
              </m:rPr>
              <w:rPr>
                <w:rFonts w:ascii="Cambria Math" w:hAnsi="Cambria Math"/>
              </w:rPr>
              <m:t>m</m:t>
            </m:r>
          </m:sup>
          <m:e>
            <m:nary>
              <m:naryPr>
                <m:chr m:val="∑"/>
                <m:limLoc m:val="undOvr"/>
                <m:ctrlPr>
                  <w:rPr>
                    <w:rFonts w:ascii="Cambria Math" w:hAnsi="Cambria Math"/>
                  </w:rPr>
                </m:ctrlPr>
              </m:naryPr>
              <m:sub>
                <m:r>
                  <m:rPr>
                    <m:sty m:val="p"/>
                  </m:rPr>
                  <w:rPr>
                    <w:rFonts w:ascii="Cambria Math" w:hAnsi="Cambria Math"/>
                  </w:rPr>
                  <m:t>j=1</m:t>
                </m:r>
              </m:sub>
              <m:sup>
                <m:r>
                  <m:rPr>
                    <m:sty m:val="p"/>
                  </m:rPr>
                  <w:rPr>
                    <w:rFonts w:ascii="Cambria Math" w:hAnsi="Cambria Math"/>
                  </w:rPr>
                  <m:t>n</m:t>
                </m:r>
              </m:sup>
              <m:e>
                <m:d>
                  <m:dPr>
                    <m:ctrlPr>
                      <w:rPr>
                        <w:rFonts w:ascii="Cambria Math" w:hAnsi="Cambria Math"/>
                      </w:rPr>
                    </m:ctrlPr>
                  </m:dPr>
                  <m:e>
                    <m:sSub>
                      <m:sSubPr>
                        <m:ctrlPr>
                          <w:rPr>
                            <w:rFonts w:ascii="Cambria Math" w:hAnsi="Cambria Math"/>
                          </w:rPr>
                        </m:ctrlPr>
                      </m:sSubPr>
                      <m:e>
                        <m:r>
                          <m:rPr>
                            <m:sty m:val="p"/>
                          </m:rPr>
                          <w:rPr>
                            <w:rFonts w:ascii="Cambria Math" w:hAnsi="Cambria Math"/>
                          </w:rPr>
                          <m:t>W</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X</m:t>
                        </m:r>
                      </m:e>
                      <m:sub>
                        <m:r>
                          <m:rPr>
                            <m:sty m:val="p"/>
                          </m:rPr>
                          <w:rPr>
                            <w:rFonts w:ascii="Cambria Math" w:hAnsi="Cambria Math"/>
                          </w:rPr>
                          <m:t>i</m:t>
                        </m:r>
                      </m:sub>
                    </m:sSub>
                  </m:e>
                </m:d>
              </m:e>
            </m:nary>
          </m:e>
        </m:nary>
      </m:oMath>
      <w:r w:rsidR="007073F4">
        <w:t>…………</w:t>
      </w:r>
      <w:r w:rsidRPr="00C02489">
        <w:t>…….…….…………………..…Equation (3.</w:t>
      </w:r>
      <w:r w:rsidR="007073F4">
        <w:t>1</w:t>
      </w:r>
      <w:r w:rsidR="00F8061E">
        <w:t>4</w:t>
      </w:r>
      <w:r w:rsidRPr="00C02489">
        <w:t>)</w:t>
      </w:r>
    </w:p>
    <w:p w:rsidR="008A3088" w:rsidRPr="00C02489" w:rsidRDefault="008A3088" w:rsidP="00C34AE4">
      <w:r w:rsidRPr="00C02489">
        <w:t xml:space="preserve">Where, GWPI is the groundwater potential index, </w:t>
      </w:r>
      <m:oMath>
        <m:sSub>
          <m:sSubPr>
            <m:ctrlPr>
              <w:rPr>
                <w:rFonts w:ascii="Cambria Math" w:hAnsi="Cambria Math"/>
              </w:rPr>
            </m:ctrlPr>
          </m:sSubPr>
          <m:e>
            <m:r>
              <m:rPr>
                <m:sty m:val="p"/>
              </m:rPr>
              <w:rPr>
                <w:rFonts w:ascii="Cambria Math" w:hAnsi="Cambria Math"/>
              </w:rPr>
              <m:t>W</m:t>
            </m:r>
          </m:e>
          <m:sub>
            <m:r>
              <m:rPr>
                <m:sty m:val="p"/>
              </m:rPr>
              <w:rPr>
                <w:rFonts w:ascii="Cambria Math" w:hAnsi="Cambria Math"/>
              </w:rPr>
              <m:t>j</m:t>
            </m:r>
          </m:sub>
        </m:sSub>
      </m:oMath>
      <w:r w:rsidRPr="00C02489">
        <w:rPr>
          <w:rFonts w:eastAsia="Times New Roman"/>
        </w:rPr>
        <w:t xml:space="preserve"> </w:t>
      </w:r>
      <w:r w:rsidRPr="00C02489">
        <w:t xml:space="preserve">is the normalized weight of the </w:t>
      </w:r>
      <m:oMath>
        <m:sSup>
          <m:sSupPr>
            <m:ctrlPr>
              <w:rPr>
                <w:rFonts w:ascii="Cambria Math" w:hAnsi="Cambria Math"/>
              </w:rPr>
            </m:ctrlPr>
          </m:sSupPr>
          <m:e>
            <m:r>
              <m:rPr>
                <m:sty m:val="p"/>
              </m:rPr>
              <w:rPr>
                <w:rFonts w:ascii="Cambria Math" w:hAnsi="Cambria Math"/>
              </w:rPr>
              <m:t>j</m:t>
            </m:r>
          </m:e>
          <m:sup>
            <m:r>
              <m:rPr>
                <m:sty m:val="p"/>
              </m:rPr>
              <w:rPr>
                <w:rFonts w:ascii="Cambria Math" w:hAnsi="Cambria Math"/>
              </w:rPr>
              <m:t>th</m:t>
            </m:r>
          </m:sup>
        </m:sSup>
      </m:oMath>
      <w:r w:rsidRPr="00C02489">
        <w:rPr>
          <w:rFonts w:eastAsia="Times New Roman"/>
        </w:rPr>
        <w:t xml:space="preserve"> </w:t>
      </w:r>
      <w:r w:rsidRPr="00C02489">
        <w:t xml:space="preserve">thematic layer, </w:t>
      </w:r>
      <m:oMath>
        <m:sSub>
          <m:sSubPr>
            <m:ctrlPr>
              <w:rPr>
                <w:rFonts w:ascii="Cambria Math" w:hAnsi="Cambria Math"/>
              </w:rPr>
            </m:ctrlPr>
          </m:sSubPr>
          <m:e>
            <m:r>
              <m:rPr>
                <m:sty m:val="p"/>
              </m:rPr>
              <w:rPr>
                <w:rFonts w:ascii="Cambria Math" w:hAnsi="Cambria Math"/>
              </w:rPr>
              <m:t>X</m:t>
            </m:r>
          </m:e>
          <m:sub>
            <m:r>
              <m:rPr>
                <m:sty m:val="p"/>
              </m:rPr>
              <w:rPr>
                <w:rFonts w:ascii="Cambria Math" w:hAnsi="Cambria Math"/>
              </w:rPr>
              <m:t>i</m:t>
            </m:r>
          </m:sub>
        </m:sSub>
      </m:oMath>
      <w:r w:rsidRPr="00C02489">
        <w:t xml:space="preserve"> is the normalized weight of the </w:t>
      </w:r>
      <m:oMath>
        <m:sSup>
          <m:sSupPr>
            <m:ctrlPr>
              <w:rPr>
                <w:rFonts w:ascii="Cambria Math" w:hAnsi="Cambria Math"/>
              </w:rPr>
            </m:ctrlPr>
          </m:sSupPr>
          <m:e>
            <m:r>
              <m:rPr>
                <m:sty m:val="p"/>
              </m:rPr>
              <w:rPr>
                <w:rFonts w:ascii="Cambria Math" w:hAnsi="Cambria Math"/>
              </w:rPr>
              <m:t xml:space="preserve">i </m:t>
            </m:r>
          </m:e>
          <m:sup>
            <m:r>
              <m:rPr>
                <m:sty m:val="p"/>
              </m:rPr>
              <w:rPr>
                <w:rFonts w:ascii="Cambria Math" w:hAnsi="Cambria Math"/>
              </w:rPr>
              <m:t>th</m:t>
            </m:r>
          </m:sup>
        </m:sSup>
        <m:r>
          <m:rPr>
            <m:sty m:val="p"/>
          </m:rPr>
          <w:rPr>
            <w:rFonts w:ascii="Cambria Math" w:hAnsi="Cambria Math"/>
          </w:rPr>
          <m:t xml:space="preserve"> </m:t>
        </m:r>
      </m:oMath>
      <w:r w:rsidRPr="00C02489">
        <w:t xml:space="preserve">feature of the thematic layer, m is the total number of thematic layers, and n is the total number of features of a given theme. The GWPI values was used to classify whether an area is very good, good, moderate, poor or very poor with respect to groundwater potential </w:t>
      </w:r>
      <w:r w:rsidRPr="00C02489">
        <w:fldChar w:fldCharType="begin" w:fldLock="1"/>
      </w:r>
      <w:r w:rsidR="00A309A8">
        <w:instrText>ADDIN CSL_CITATION {"citationItems":[{"id":"ITEM-1","itemData":{"ISSN":"22145818","abstract":"Study region: Guna Tana Landscape, Upper Blue Nile Basin, Ethiopia. Study focus: This paper aimed to delineate the groundwater potential zones using GIS and remote sensing. Multi-Criteria Decision Analysis (MCDA) technique is used to develop the groundwater potential prospect zones by integrating different groundwater contributing thematic layers. The thematic layers of land cover, drainage density, lineament density, soil, geology, slope, and geomorphology were prepared and used for groundwater potential map development by assigning weights to each thematic layer and features. The weights of each thematic layer were assigned and normalized based on their characteristic and relationship with groundwater recharge. Finally, the thematic maps were integrated by a weighted sum overlay analysis tool to develop groundwater prospect zones. New hydrological insights for the region: It was found that the downstream parts of the Landscape showed excellent groundwater potential covering about 833.49 km2 area with a flat and lacustrine sediment characteristic. About 469.12 km2 of the landscape showed very good groundwater potential zone. Northern, northeastern and southeastern parts of the area presented very poor groundwater prospect covering about 553.68 km2 area. The groundwater potential map was validated using the existing pumping wells and it indicated a good prediction accuracy of 70.5%. Thus, the potential zones identified in the study area by the MCDA technique are reliable.","author":[{"dropping-particle":"","family":"Andualem","given":"Tesfa Gebrie","non-dropping-particle":"","parse-names":false,"suffix":""},{"dropping-particle":"","family":"Demeke","given":"Girum Getachew","non-dropping-particle":"","parse-names":false,"suffix":""}],"container-title":"Journal of Hydrology: Regional Studies","id":"ITEM-1","issue":"5","issued":{"date-parts":[["2019"]]},"page":"100610","publisher":"Elsevier","title":"Groundwater potential assessment using GIS and remote sensing: A case study of Guna tana landscape, upper blue Nile Basin, Ethiopia","type":"article-journal","volume":"24"},"uris":["http://www.mendeley.com/documents/?uuid=b572f48d-0752-4d04-b82e-d8016090b501","http://www.mendeley.com/documents/?uuid=c3391aab-dc3c-44d1-bb8e-df52d4cbb589"]},{"id":"ITEM-2","itemData":{"author":[{"dropping-particle":"","family":"Gebru","given":"Hindeya","non-dropping-particle":"","parse-names":false,"suffix":""},{"dropping-particle":"","family":"Gebreyohannes","given":"Tesfamichael","non-dropping-particle":"","parse-names":false,"suffix":""},{"dropping-particle":"","family":"Hagos","given":"Ermias","non-dropping-particle":"","parse-names":false,"suffix":""}],"container-title":"International journal of advanced Remote Sensing and GIS","id":"ITEM-2","issue":"1","issued":{"date-parts":[["2020"]]},"page":"3289-3311","title":"Identification of groundwater potential zones using Analytical Hierarchy Process (AHP) and GIS-Remote Sensing integration, the case of Golina River Basin, Northern Ethiopia","type":"article-journal","volume":"9"},"uris":["http://www.mendeley.com/documents/?uuid=3e225bc8-36b1-425b-83b4-94cfacfd37f8","http://www.mendeley.com/documents/?uuid=63c7fd8b-fe9b-4d39-8769-bb3519cffdbe","http://www.mendeley.com/documents/?uuid=1b1dc116-6c5d-4694-8091-3eaa8f8a4ce0"]},{"id":"ITEM-3","itemData":{"ISBN":"9781617823978","abstract":"Nowadays ground water is decreasing and therefore there is an increase in demand of water. Ground water is one of the major source that contributes to the total annual supply. The objective of this paper is to review techniques and methodologies applied for identifying groundwater potential zones using GIS and remote sensing. Several methods are used for mapping of ground water zones. The parameters that are used for controlling groundwater zones are soil, drainage density, land use\\land cover, geology, geomorphology, rainfall, slope, and contour. Groundwater mapping techniques are described and derived from satellite remote sensing and additional data sources. These techniques includes both conventional methods and advanced methods. The thematic layers are used for mapping and identification of groundwater potential analysis. The importance of each thematic layer and its weight is discussed for the location groundwater potential zones using groundwater conditions. This groundwater potential information will be useful for effective identification of appropriate locations for extraction of water.","author":[{"dropping-particle":"","family":"Lakshmi","given":"Vidhya Savikumar","non-dropping-particle":"","parse-names":false,"suffix":""},{"dropping-particle":"","family":"Reddy","given":"Vinay Kumar","non-dropping-particle":"","parse-names":false,"suffix":""}],"container-title":"International journal of pure and applied mathematics","id":"ITEM-3","issued":{"date-parts":[["2019"]]},"page":"3195-3209","title":"Identification of groundwater potential zones using RS and GIS","type":"article-journal","volume":"119"},"uris":["http://www.mendeley.com/documents/?uuid=610aeca7-11af-4498-bc6e-44297d2e30ad","http://www.mendeley.com/documents/?uuid=3f784691-989b-4abe-898f-561e7ed8ff47","http://www.mendeley.com/documents/?uuid=f2632d1b-a32a-42c3-acb8-f74ee98c585b"]}],"mendeley":{"formattedCitation":"(Andualem &amp; Demeke, 2019; Gebru et al., 2020; Lakshmi &amp; Reddy, 2019)","manualFormatting":"(Andualem and Demeke, 2019; Gebru et al., 2020; Lakshmi and Reddy, 2019)","plainTextFormattedCitation":"(Andualem &amp; Demeke, 2019; Gebru et al., 2020; Lakshmi &amp; Reddy, 2019)","previouslyFormattedCitation":"(Andualem &amp; Demeke, 2019; Gebru et al., 2020; Lakshmi &amp; Reddy, 2019)"},"properties":{"noteIndex":0},"schema":"https://github.com/citation-style-language/schema/raw/master/csl-citation.json"}</w:instrText>
      </w:r>
      <w:r w:rsidRPr="00C02489">
        <w:fldChar w:fldCharType="separate"/>
      </w:r>
      <w:r w:rsidRPr="00C02489">
        <w:rPr>
          <w:noProof/>
        </w:rPr>
        <w:t xml:space="preserve">(Andualem </w:t>
      </w:r>
      <w:r w:rsidR="00B23079">
        <w:rPr>
          <w:noProof/>
        </w:rPr>
        <w:t>and</w:t>
      </w:r>
      <w:r w:rsidRPr="00C02489">
        <w:rPr>
          <w:noProof/>
        </w:rPr>
        <w:t xml:space="preserve"> Demeke, 2019; Gebru </w:t>
      </w:r>
      <w:r w:rsidR="00B23079">
        <w:rPr>
          <w:noProof/>
        </w:rPr>
        <w:t>et al., 2020; Lakshmi and</w:t>
      </w:r>
      <w:r w:rsidRPr="00C02489">
        <w:rPr>
          <w:noProof/>
        </w:rPr>
        <w:t xml:space="preserve"> Reddy, 2019)</w:t>
      </w:r>
      <w:r w:rsidRPr="00C02489">
        <w:fldChar w:fldCharType="end"/>
      </w:r>
      <w:r w:rsidRPr="00C02489">
        <w:t>.</w:t>
      </w:r>
    </w:p>
    <w:p w:rsidR="00317698" w:rsidRPr="00C02489" w:rsidRDefault="00317698" w:rsidP="00C34AE4">
      <w:pPr>
        <w:pStyle w:val="Heading4"/>
        <w:numPr>
          <w:ilvl w:val="3"/>
          <w:numId w:val="1"/>
        </w:numPr>
        <w:spacing w:before="120" w:after="120"/>
      </w:pPr>
      <w:r w:rsidRPr="00C02489">
        <w:t>Verification of the Result</w:t>
      </w:r>
      <w:r>
        <w:t>s</w:t>
      </w:r>
      <w:r w:rsidRPr="00C02489">
        <w:t xml:space="preserve"> Using Water Point Information</w:t>
      </w:r>
    </w:p>
    <w:p w:rsidR="00317698" w:rsidRDefault="00317698" w:rsidP="00C34AE4">
      <w:pPr>
        <w:rPr>
          <w:rFonts w:eastAsia="Times New Roman"/>
        </w:rPr>
      </w:pPr>
      <w:r w:rsidRPr="00C02489">
        <w:rPr>
          <w:rFonts w:eastAsia="Times New Roman"/>
        </w:rPr>
        <w:t xml:space="preserve">The groundwater potential map is the prediction with the assumption that the weight for different groundwater indicating factors were assigned through judgment related to field condition. Therefore, to provide accurate prediction, the accuracy of identified GWPZ should be estimated based on the percentage of agreement and disagreement between expected potential and actual yield data </w:t>
      </w:r>
      <w:r w:rsidRPr="00C02489">
        <w:rPr>
          <w:rFonts w:eastAsia="Times New Roman"/>
        </w:rPr>
        <w:fldChar w:fldCharType="begin" w:fldLock="1"/>
      </w:r>
      <w:r w:rsidR="00A309A8">
        <w:rPr>
          <w:rFonts w:eastAsia="Times New Roman"/>
        </w:rPr>
        <w:instrText>ADDIN CSL_CITATION {"citationItems":[{"id":"ITEM-1","itemData":{"author":[{"dropping-particle":"","family":"Adiat","given":"K.A.N.","non-dropping-particle":"","parse-names":false,"suffix":""},{"dropping-particle":"","family":"Nawawi","given":"M.N.M.","non-dropping-particle":"","parse-names":false,"suffix":""},{"dropping-particle":"","family":"Abdullah","given":"K.","non-dropping-particle":"","parse-names":false,"suffix":""}],"container-title":"Journal of Hydrology","id":"ITEM-1","issued":{"date-parts":[["2012"]]},"page":"75-89","title":"Assessing the accuracy of GIS based elementary multicriteria decision analysis as a spatial prediction tool: a case of predicting potential zones of sustainable groundwater resources","type":"article-journal","volume":"440"},"uris":["http://www.mendeley.com/documents/?uuid=42897247-6f38-4d85-b03e-045e8681268a","http://www.mendeley.com/documents/?uuid=584e17da-7ac0-4ecc-8ee4-db08695db582"]}],"mendeley":{"formattedCitation":"(Adiat et al., 2012)","plainTextFormattedCitation":"(Adiat et al., 2012)","previouslyFormattedCitation":"(Adiat et al., 2012)"},"properties":{"noteIndex":0},"schema":"https://github.com/citation-style-language/schema/raw/master/csl-citation.json"}</w:instrText>
      </w:r>
      <w:r w:rsidRPr="00C02489">
        <w:rPr>
          <w:rFonts w:eastAsia="Times New Roman"/>
        </w:rPr>
        <w:fldChar w:fldCharType="separate"/>
      </w:r>
      <w:r w:rsidRPr="00C02489">
        <w:rPr>
          <w:rFonts w:eastAsia="Times New Roman"/>
          <w:noProof/>
        </w:rPr>
        <w:t>(Adiat et al., 2012</w:t>
      </w:r>
      <w:r w:rsidR="00DB1936">
        <w:rPr>
          <w:rFonts w:eastAsia="Times New Roman"/>
          <w:noProof/>
        </w:rPr>
        <w:t xml:space="preserve">; </w:t>
      </w:r>
      <w:r w:rsidR="00DB1936" w:rsidRPr="00DB1936">
        <w:rPr>
          <w:rFonts w:eastAsia="Times New Roman"/>
          <w:noProof/>
        </w:rPr>
        <w:t>Banti, 2017; Berhanu and Hatiye, 2020; Gebru et al., 2020; Tegegn, 2015</w:t>
      </w:r>
      <w:r w:rsidRPr="00C02489">
        <w:rPr>
          <w:rFonts w:eastAsia="Times New Roman"/>
          <w:noProof/>
        </w:rPr>
        <w:t>)</w:t>
      </w:r>
      <w:r w:rsidRPr="00C02489">
        <w:rPr>
          <w:rFonts w:eastAsia="Times New Roman"/>
        </w:rPr>
        <w:fldChar w:fldCharType="end"/>
      </w:r>
      <w:r w:rsidRPr="00C02489">
        <w:rPr>
          <w:rFonts w:eastAsia="Times New Roman"/>
        </w:rPr>
        <w:t xml:space="preserve">. </w:t>
      </w:r>
      <w:r w:rsidR="001768E5">
        <w:rPr>
          <w:rFonts w:eastAsia="Times New Roman"/>
        </w:rPr>
        <w:t>Hence</w:t>
      </w:r>
      <w:r w:rsidRPr="00C02489">
        <w:rPr>
          <w:rFonts w:eastAsia="Times New Roman"/>
        </w:rPr>
        <w:t>, the identified GWPZ’s are verified b</w:t>
      </w:r>
      <w:r w:rsidR="00EA3CDA">
        <w:rPr>
          <w:rFonts w:eastAsia="Times New Roman"/>
        </w:rPr>
        <w:t xml:space="preserve">y comparing the output map with the </w:t>
      </w:r>
      <w:r w:rsidRPr="00C02489">
        <w:rPr>
          <w:rFonts w:eastAsia="Times New Roman"/>
        </w:rPr>
        <w:t xml:space="preserve">existing </w:t>
      </w:r>
      <w:r w:rsidR="006F1466">
        <w:rPr>
          <w:rFonts w:eastAsia="Times New Roman"/>
        </w:rPr>
        <w:t xml:space="preserve">water </w:t>
      </w:r>
      <w:r w:rsidR="00630DDA">
        <w:rPr>
          <w:rFonts w:eastAsia="Times New Roman"/>
        </w:rPr>
        <w:t>point’s</w:t>
      </w:r>
      <w:r w:rsidR="00EA3CDA">
        <w:rPr>
          <w:rFonts w:eastAsia="Times New Roman"/>
        </w:rPr>
        <w:t xml:space="preserve"> inventory </w:t>
      </w:r>
      <w:r w:rsidRPr="00C02489">
        <w:rPr>
          <w:rFonts w:eastAsia="Times New Roman"/>
        </w:rPr>
        <w:t>data. The wells/springs</w:t>
      </w:r>
      <w:r w:rsidR="006C1226">
        <w:rPr>
          <w:rFonts w:eastAsia="Times New Roman"/>
        </w:rPr>
        <w:t>/dug well</w:t>
      </w:r>
      <w:r w:rsidRPr="00C02489">
        <w:rPr>
          <w:rFonts w:eastAsia="Times New Roman"/>
        </w:rPr>
        <w:t xml:space="preserve"> point shape file was superimposed </w:t>
      </w:r>
      <w:r w:rsidR="00630DDA">
        <w:rPr>
          <w:rFonts w:eastAsia="Times New Roman"/>
        </w:rPr>
        <w:t>over</w:t>
      </w:r>
      <w:r w:rsidR="006C1226">
        <w:rPr>
          <w:rFonts w:eastAsia="Times New Roman"/>
        </w:rPr>
        <w:t xml:space="preserve"> the final GWPZ </w:t>
      </w:r>
      <w:r w:rsidR="00656296" w:rsidRPr="00C02489">
        <w:rPr>
          <w:rFonts w:eastAsia="Times New Roman"/>
        </w:rPr>
        <w:t>map</w:t>
      </w:r>
      <w:r w:rsidR="00656296">
        <w:rPr>
          <w:rFonts w:eastAsia="Times New Roman"/>
        </w:rPr>
        <w:t xml:space="preserve"> (Figure 4.27</w:t>
      </w:r>
      <w:r w:rsidR="00656296" w:rsidRPr="00C02489">
        <w:rPr>
          <w:rFonts w:eastAsia="Times New Roman"/>
        </w:rPr>
        <w:t>)</w:t>
      </w:r>
      <w:r w:rsidR="00656296">
        <w:rPr>
          <w:rFonts w:eastAsia="Times New Roman"/>
        </w:rPr>
        <w:t>.</w:t>
      </w:r>
      <w:r w:rsidR="0071209F">
        <w:rPr>
          <w:rFonts w:eastAsia="Times New Roman"/>
        </w:rPr>
        <w:t xml:space="preserve"> A</w:t>
      </w:r>
      <w:r w:rsidRPr="00C02489">
        <w:rPr>
          <w:rFonts w:eastAsia="Times New Roman"/>
        </w:rPr>
        <w:t xml:space="preserve"> multi-value extraction </w:t>
      </w:r>
      <w:r w:rsidR="00DB1936" w:rsidRPr="00C02489">
        <w:rPr>
          <w:rFonts w:eastAsia="Times New Roman"/>
        </w:rPr>
        <w:t>tool</w:t>
      </w:r>
      <w:r w:rsidRPr="00C02489">
        <w:rPr>
          <w:rFonts w:eastAsia="Times New Roman"/>
        </w:rPr>
        <w:t xml:space="preserve"> of ArcGIS spatial analyst tools was used to </w:t>
      </w:r>
      <w:r w:rsidR="006D26A8">
        <w:rPr>
          <w:rFonts w:eastAsia="Times New Roman"/>
        </w:rPr>
        <w:t>extract and record t</w:t>
      </w:r>
      <w:r w:rsidRPr="00C02489">
        <w:rPr>
          <w:rFonts w:eastAsia="Times New Roman"/>
        </w:rPr>
        <w:t xml:space="preserve">he </w:t>
      </w:r>
      <w:r w:rsidR="006D26A8">
        <w:rPr>
          <w:rFonts w:eastAsia="Times New Roman"/>
        </w:rPr>
        <w:t xml:space="preserve">GWPZ </w:t>
      </w:r>
      <w:r w:rsidRPr="00C02489">
        <w:rPr>
          <w:rFonts w:eastAsia="Times New Roman"/>
        </w:rPr>
        <w:t xml:space="preserve">raster cell values </w:t>
      </w:r>
      <w:r w:rsidR="006D26A8" w:rsidRPr="00C02489">
        <w:rPr>
          <w:rFonts w:eastAsia="Times New Roman"/>
        </w:rPr>
        <w:t xml:space="preserve">on the attribute table of the </w:t>
      </w:r>
      <w:r w:rsidR="006D26A8">
        <w:rPr>
          <w:rFonts w:eastAsia="Times New Roman"/>
        </w:rPr>
        <w:t xml:space="preserve">water points </w:t>
      </w:r>
      <w:r w:rsidR="006D26A8" w:rsidRPr="00C02489">
        <w:rPr>
          <w:rFonts w:eastAsia="Times New Roman"/>
        </w:rPr>
        <w:t>feature class</w:t>
      </w:r>
      <w:r w:rsidR="006E426D">
        <w:rPr>
          <w:rFonts w:eastAsia="Times New Roman"/>
        </w:rPr>
        <w:t xml:space="preserve">es. </w:t>
      </w:r>
      <w:r w:rsidRPr="00C02489">
        <w:rPr>
          <w:rFonts w:eastAsia="Times New Roman"/>
        </w:rPr>
        <w:t>The process of weight assignment and layers overlay was repeatedly accomplished until the resulting GWPZ was reasonably agree with the actual</w:t>
      </w:r>
      <w:r w:rsidR="001C389E">
        <w:rPr>
          <w:rFonts w:eastAsia="Times New Roman"/>
        </w:rPr>
        <w:t xml:space="preserve"> yield of the field conditions.</w:t>
      </w:r>
    </w:p>
    <w:p w:rsidR="009B0407" w:rsidRDefault="00D11CA2" w:rsidP="00C34AE4">
      <w:pPr>
        <w:pStyle w:val="Heading3"/>
        <w:numPr>
          <w:ilvl w:val="2"/>
          <w:numId w:val="1"/>
        </w:numPr>
      </w:pPr>
      <w:bookmarkStart w:id="157" w:name="_Toc68025090"/>
      <w:bookmarkStart w:id="158" w:name="_Toc68761572"/>
      <w:r>
        <w:lastRenderedPageBreak/>
        <w:t xml:space="preserve">Identification of </w:t>
      </w:r>
      <w:r w:rsidR="00DB4DC6">
        <w:t xml:space="preserve">the </w:t>
      </w:r>
      <w:r w:rsidR="00305D44">
        <w:t>Groundwater Flow Direction</w:t>
      </w:r>
      <w:bookmarkEnd w:id="157"/>
      <w:bookmarkEnd w:id="158"/>
      <w:r w:rsidR="00305D44">
        <w:t xml:space="preserve"> </w:t>
      </w:r>
    </w:p>
    <w:p w:rsidR="00893CB1" w:rsidRPr="00C02489" w:rsidRDefault="00D6008A" w:rsidP="00C34AE4">
      <w:pPr>
        <w:pStyle w:val="Heading4"/>
        <w:numPr>
          <w:ilvl w:val="3"/>
          <w:numId w:val="1"/>
        </w:numPr>
        <w:spacing w:before="120" w:after="120"/>
      </w:pPr>
      <w:r>
        <w:t xml:space="preserve">Water </w:t>
      </w:r>
      <w:r w:rsidR="00305D44">
        <w:t>Points Inventory Data</w:t>
      </w:r>
    </w:p>
    <w:p w:rsidR="00BE0F31" w:rsidRPr="00BC52CB" w:rsidRDefault="006A19D5" w:rsidP="00C34AE4">
      <w:r w:rsidRPr="00C02489">
        <w:t>Data of the existing boreholes, ha</w:t>
      </w:r>
      <w:r w:rsidR="00BF6BA4" w:rsidRPr="00C02489">
        <w:t>nd-</w:t>
      </w:r>
      <w:r w:rsidRPr="00C02489">
        <w:t>dug wells and springs with their respective location, yield</w:t>
      </w:r>
      <w:r w:rsidR="00191285">
        <w:t>, static water level</w:t>
      </w:r>
      <w:r w:rsidRPr="00C02489">
        <w:t xml:space="preserve"> </w:t>
      </w:r>
      <w:r w:rsidR="000F232D" w:rsidRPr="00C02489">
        <w:t xml:space="preserve">and </w:t>
      </w:r>
      <w:r w:rsidRPr="00C02489">
        <w:t xml:space="preserve">drawdown </w:t>
      </w:r>
      <w:r w:rsidR="00F0630D" w:rsidRPr="00C02489">
        <w:t xml:space="preserve">were collected </w:t>
      </w:r>
      <w:r w:rsidR="00252341" w:rsidRPr="00C02489">
        <w:t xml:space="preserve">from </w:t>
      </w:r>
      <w:r w:rsidRPr="00C02489">
        <w:t xml:space="preserve">MoWIE and </w:t>
      </w:r>
      <w:r w:rsidR="00422A37" w:rsidRPr="00422A37">
        <w:t>Bale zone water resources development and energy</w:t>
      </w:r>
      <w:r w:rsidR="00070F9F" w:rsidRPr="00C02489">
        <w:t xml:space="preserve">. </w:t>
      </w:r>
      <w:r w:rsidR="007F18A8" w:rsidRPr="00C02489">
        <w:t xml:space="preserve">Unfortunately the </w:t>
      </w:r>
      <w:r w:rsidR="00BA072D" w:rsidRPr="00C02489">
        <w:t>collected data of water points are</w:t>
      </w:r>
      <w:r w:rsidR="007F18A8" w:rsidRPr="00C02489">
        <w:t xml:space="preserve"> not </w:t>
      </w:r>
      <w:r w:rsidR="00BA072D" w:rsidRPr="00C02489">
        <w:t>well organized. So that the wa</w:t>
      </w:r>
      <w:r w:rsidR="00394CB0" w:rsidRPr="00C02489">
        <w:t>ter points which have not yield</w:t>
      </w:r>
      <w:r w:rsidR="00BA072D" w:rsidRPr="00C02489">
        <w:t>/discharge was discarded from the verification.</w:t>
      </w:r>
      <w:r w:rsidR="006654C8" w:rsidRPr="00C02489">
        <w:t xml:space="preserve"> Even though, they were discarded from </w:t>
      </w:r>
      <w:r w:rsidR="00086523" w:rsidRPr="00C02489">
        <w:t xml:space="preserve">the process of </w:t>
      </w:r>
      <w:r w:rsidR="006654C8" w:rsidRPr="00C02489">
        <w:t>verification</w:t>
      </w:r>
      <w:r w:rsidR="00BC52CB">
        <w:t>,</w:t>
      </w:r>
      <w:r w:rsidR="006654C8" w:rsidRPr="00C02489">
        <w:t xml:space="preserve"> the water points having the data </w:t>
      </w:r>
      <w:r w:rsidR="00086523" w:rsidRPr="00C02489">
        <w:t>of static water level, elevation</w:t>
      </w:r>
      <w:r w:rsidR="00394CB0" w:rsidRPr="00C02489">
        <w:t>,</w:t>
      </w:r>
      <w:r w:rsidR="00086523" w:rsidRPr="00C02489">
        <w:t xml:space="preserve"> and hydraulic head were</w:t>
      </w:r>
      <w:r w:rsidR="006654C8" w:rsidRPr="00C02489">
        <w:t xml:space="preserve"> used for</w:t>
      </w:r>
      <w:r w:rsidR="00394CB0" w:rsidRPr="00C02489">
        <w:t xml:space="preserve"> identification</w:t>
      </w:r>
      <w:r w:rsidR="006654C8" w:rsidRPr="00C02489">
        <w:t xml:space="preserve"> groundwater flow direction.</w:t>
      </w:r>
      <w:r w:rsidR="00086523" w:rsidRPr="00C02489">
        <w:t xml:space="preserve"> </w:t>
      </w:r>
    </w:p>
    <w:p w:rsidR="00317698" w:rsidRPr="00C02489" w:rsidRDefault="00317698" w:rsidP="00C34AE4">
      <w:pPr>
        <w:pStyle w:val="Heading4"/>
        <w:numPr>
          <w:ilvl w:val="3"/>
          <w:numId w:val="1"/>
        </w:numPr>
        <w:spacing w:before="120" w:after="120"/>
      </w:pPr>
      <w:r w:rsidRPr="00C02489">
        <w:t>Identification of Groundwater Flow Direction</w:t>
      </w:r>
    </w:p>
    <w:p w:rsidR="00596988" w:rsidRDefault="00317698" w:rsidP="00C34AE4">
      <w:pPr>
        <w:rPr>
          <w:rFonts w:eastAsia="Times New Roman"/>
        </w:rPr>
      </w:pPr>
      <w:r w:rsidRPr="00C02489">
        <w:rPr>
          <w:rFonts w:eastAsia="Times New Roman"/>
        </w:rPr>
        <w:t>The hydra</w:t>
      </w:r>
      <w:r>
        <w:rPr>
          <w:rFonts w:eastAsia="Times New Roman"/>
        </w:rPr>
        <w:t>ulic heads, static water levels</w:t>
      </w:r>
      <w:r w:rsidRPr="00C02489">
        <w:rPr>
          <w:rFonts w:eastAsia="Times New Roman"/>
        </w:rPr>
        <w:t xml:space="preserve"> and surface elevation of </w:t>
      </w:r>
      <w:r>
        <w:rPr>
          <w:rFonts w:eastAsia="Times New Roman"/>
        </w:rPr>
        <w:t xml:space="preserve">existing inventory data </w:t>
      </w:r>
      <w:r w:rsidRPr="00C02489">
        <w:rPr>
          <w:rFonts w:eastAsia="Times New Roman"/>
        </w:rPr>
        <w:t>was used to identify the groundwater flow direction</w:t>
      </w:r>
      <w:r>
        <w:rPr>
          <w:rFonts w:eastAsia="Times New Roman"/>
        </w:rPr>
        <w:t xml:space="preserve">. </w:t>
      </w:r>
      <w:r w:rsidRPr="00C02489">
        <w:rPr>
          <w:rFonts w:eastAsia="Times New Roman"/>
        </w:rPr>
        <w:t>The groundwater level contour map and flow direction vector was generated from the groundwater level data using GIS and Surfer 17.1 software</w:t>
      </w:r>
      <w:r w:rsidR="00355D42">
        <w:rPr>
          <w:rFonts w:eastAsia="Times New Roman"/>
        </w:rPr>
        <w:t xml:space="preserve"> </w:t>
      </w:r>
      <w:r w:rsidR="00355D42">
        <w:rPr>
          <w:rFonts w:eastAsia="Times New Roman"/>
        </w:rPr>
        <w:fldChar w:fldCharType="begin" w:fldLock="1"/>
      </w:r>
      <w:r w:rsidR="00A309A8">
        <w:rPr>
          <w:rFonts w:eastAsia="Times New Roman"/>
        </w:rPr>
        <w:instrText>ADDIN CSL_CITATION {"citationItems":[{"id":"ITEM-1","itemData":{"author":[{"dropping-particle":"","family":"Messene","given":"Genet Mathewos","non-dropping-particle":"","parse-names":false,"suffix":""}],"container-title":"Journal of Environment and Earth Science","id":"ITEM-1","issue":"2","issued":{"date-parts":[["2017"]]},"page":"32-39","title":"Groundwater Flow Direction , Recharge and Discharge Zones Identification in Lower Gidabo Catchment , Rift Valley Basin ,","type":"article-journal","volume":"7"},"uris":["http://www.mendeley.com/documents/?uuid=d6808e5e-f74a-4fad-8bbe-19ca51a36a67"]},{"id":"ITEM-2","itemData":{"author":[{"dropping-particle":"","family":"Doyo","given":"Diriba Worku","non-dropping-particle":"","parse-names":false,"suffix":""}],"id":"ITEM-2","issued":{"date-parts":[["2020"]]},"number-of-pages":"1-84","publisher":"Hawassa University","title":"Groundwater potential mapping using remote sensing and GIS techniques: the case of Meki watershed, Central Rift valley, Ethiopia","type":"thesis"},"uris":["http://www.mendeley.com/documents/?uuid=2751595d-7581-4867-a4a6-8a89444e1e59","http://www.mendeley.com/documents/?uuid=de24f4fb-afa8-4ca2-b379-e72af14d232b","http://www.mendeley.com/documents/?uuid=986f1cbb-edf6-4e14-a182-612d0f2386f0"]}],"mendeley":{"formattedCitation":"(Doyo, 2020; Messene, 2017)","plainTextFormattedCitation":"(Doyo, 2020; Messene, 2017)","previouslyFormattedCitation":"(Doyo, 2020; Messene, 2017)"},"properties":{"noteIndex":0},"schema":"https://github.com/citation-style-language/schema/raw/master/csl-citation.json"}</w:instrText>
      </w:r>
      <w:r w:rsidR="00355D42">
        <w:rPr>
          <w:rFonts w:eastAsia="Times New Roman"/>
        </w:rPr>
        <w:fldChar w:fldCharType="separate"/>
      </w:r>
      <w:r w:rsidR="00355D42" w:rsidRPr="00355D42">
        <w:rPr>
          <w:rFonts w:eastAsia="Times New Roman"/>
          <w:noProof/>
        </w:rPr>
        <w:t>(Doyo, 2020; Messene, 2017)</w:t>
      </w:r>
      <w:r w:rsidR="00355D42">
        <w:rPr>
          <w:rFonts w:eastAsia="Times New Roman"/>
        </w:rPr>
        <w:fldChar w:fldCharType="end"/>
      </w:r>
      <w:r w:rsidRPr="00C02489">
        <w:rPr>
          <w:rFonts w:eastAsia="Times New Roman"/>
        </w:rPr>
        <w:t xml:space="preserve">. The hydraulic head of the boreholes was computed as the difference between the surface elevation above mean sea level (m.a.s.l) and the static water level or depth to water level </w:t>
      </w:r>
      <w:r w:rsidRPr="00C02489">
        <w:rPr>
          <w:rFonts w:eastAsia="Times New Roman"/>
        </w:rPr>
        <w:fldChar w:fldCharType="begin" w:fldLock="1"/>
      </w:r>
      <w:r w:rsidR="00A309A8">
        <w:rPr>
          <w:rFonts w:eastAsia="Times New Roman"/>
        </w:rPr>
        <w:instrText>ADDIN CSL_CITATION {"citationItems":[{"id":"ITEM-1","itemData":{"author":[{"dropping-particle":"","family":"Amah","given":"E A","non-dropping-particle":"","parse-names":false,"suffix":""},{"dropping-particle":"","family":"Agbebia","given":"M A","non-dropping-particle":"","parse-names":false,"suffix":""}],"id":"ITEM-1","issue":"December","issued":{"date-parts":[["2015"]]},"page":"1-5","title":"Determination Of Groundwater Flow Direction In Ekintae Limestone Quarry Near Mfamosing ,","type":"article-journal"},"uris":["http://www.mendeley.com/documents/?uuid=c538973e-4cf1-4f37-9bf9-20682450279b"]}],"mendeley":{"formattedCitation":"(Amah &amp; Agbebia, 2015)","manualFormatting":"(Amah and Agbebia, 2015)","plainTextFormattedCitation":"(Amah &amp; Agbebia, 2015)","previouslyFormattedCitation":"(Amah &amp; Agbebia, 2015)"},"properties":{"noteIndex":0},"schema":"https://github.com/citation-style-language/schema/raw/master/csl-citation.json"}</w:instrText>
      </w:r>
      <w:r w:rsidRPr="00C02489">
        <w:rPr>
          <w:rFonts w:eastAsia="Times New Roman"/>
        </w:rPr>
        <w:fldChar w:fldCharType="separate"/>
      </w:r>
      <w:r w:rsidRPr="00C02489">
        <w:rPr>
          <w:rFonts w:eastAsia="Times New Roman"/>
          <w:noProof/>
        </w:rPr>
        <w:t xml:space="preserve">(Amah </w:t>
      </w:r>
      <w:r w:rsidR="00B23079">
        <w:rPr>
          <w:rFonts w:eastAsia="Times New Roman"/>
          <w:noProof/>
        </w:rPr>
        <w:t>and</w:t>
      </w:r>
      <w:r w:rsidRPr="00C02489">
        <w:rPr>
          <w:rFonts w:eastAsia="Times New Roman"/>
          <w:noProof/>
        </w:rPr>
        <w:t xml:space="preserve"> Agbebia, 2015)</w:t>
      </w:r>
      <w:r w:rsidRPr="00C02489">
        <w:rPr>
          <w:rFonts w:eastAsia="Times New Roman"/>
        </w:rPr>
        <w:fldChar w:fldCharType="end"/>
      </w:r>
      <w:r w:rsidRPr="00C02489">
        <w:rPr>
          <w:rFonts w:eastAsia="Times New Roman"/>
        </w:rPr>
        <w:t>. The groundwater table layer was interpolated for entire study area f</w:t>
      </w:r>
      <w:r w:rsidR="00E10C52">
        <w:rPr>
          <w:rFonts w:eastAsia="Times New Roman"/>
        </w:rPr>
        <w:t xml:space="preserve">rom the point’s hydraulic head. </w:t>
      </w:r>
      <w:r w:rsidRPr="00CE6817">
        <w:t>To</w:t>
      </w:r>
      <w:r w:rsidRPr="00C02489">
        <w:rPr>
          <w:rFonts w:eastAsia="Times New Roman"/>
        </w:rPr>
        <w:t xml:space="preserve"> determine the influence of topographic </w:t>
      </w:r>
      <w:r>
        <w:rPr>
          <w:rFonts w:eastAsia="Times New Roman"/>
        </w:rPr>
        <w:t>tilting</w:t>
      </w:r>
      <w:r w:rsidRPr="00C02489">
        <w:rPr>
          <w:rFonts w:eastAsia="Times New Roman"/>
        </w:rPr>
        <w:t xml:space="preserve"> on</w:t>
      </w:r>
      <w:r>
        <w:rPr>
          <w:rFonts w:eastAsia="Times New Roman"/>
        </w:rPr>
        <w:t xml:space="preserve"> the g</w:t>
      </w:r>
      <w:r w:rsidRPr="00C02489">
        <w:rPr>
          <w:rFonts w:eastAsia="Times New Roman"/>
        </w:rPr>
        <w:t>roundwater flow direction</w:t>
      </w:r>
      <w:r>
        <w:rPr>
          <w:rFonts w:eastAsia="Times New Roman"/>
        </w:rPr>
        <w:t xml:space="preserve"> and </w:t>
      </w:r>
      <w:r w:rsidRPr="00C02489">
        <w:rPr>
          <w:rFonts w:eastAsia="Times New Roman"/>
        </w:rPr>
        <w:t>analyze groundwater flow with sur</w:t>
      </w:r>
      <w:r>
        <w:rPr>
          <w:rFonts w:eastAsia="Times New Roman"/>
        </w:rPr>
        <w:t xml:space="preserve">face water flow, </w:t>
      </w:r>
      <w:r w:rsidRPr="00C02489">
        <w:rPr>
          <w:rFonts w:eastAsia="Times New Roman"/>
        </w:rPr>
        <w:t xml:space="preserve">the contour maps of surface </w:t>
      </w:r>
      <w:r w:rsidR="00A23C66">
        <w:rPr>
          <w:rFonts w:eastAsia="Times New Roman"/>
        </w:rPr>
        <w:t xml:space="preserve">elevation and hydraulic head </w:t>
      </w:r>
      <w:r w:rsidRPr="00C02489">
        <w:rPr>
          <w:rFonts w:eastAsia="Times New Roman"/>
        </w:rPr>
        <w:t>was produced by joining lines of equal elevation and hydra</w:t>
      </w:r>
      <w:r w:rsidR="00596988">
        <w:rPr>
          <w:rFonts w:eastAsia="Times New Roman"/>
        </w:rPr>
        <w:t>ulic head values</w:t>
      </w:r>
      <w:r w:rsidR="00A23C66">
        <w:rPr>
          <w:rFonts w:eastAsia="Times New Roman"/>
        </w:rPr>
        <w:t xml:space="preserve"> (Figure 4.28 and </w:t>
      </w:r>
      <w:r w:rsidR="00E369F2">
        <w:rPr>
          <w:rFonts w:eastAsia="Times New Roman"/>
        </w:rPr>
        <w:t>Figure 4</w:t>
      </w:r>
      <w:r w:rsidR="00A23C66">
        <w:rPr>
          <w:rFonts w:eastAsia="Times New Roman"/>
        </w:rPr>
        <w:t>. 30)</w:t>
      </w:r>
      <w:r w:rsidR="00596988">
        <w:rPr>
          <w:rFonts w:eastAsia="Times New Roman"/>
        </w:rPr>
        <w:t>.</w:t>
      </w:r>
    </w:p>
    <w:p w:rsidR="00317698" w:rsidRPr="00F54A25" w:rsidRDefault="00317698" w:rsidP="00317698">
      <w:r w:rsidRPr="00F54A25">
        <w:rPr>
          <w:noProof/>
          <w:sz w:val="22"/>
        </w:rPr>
        <w:lastRenderedPageBreak/>
        <mc:AlternateContent>
          <mc:Choice Requires="wpg">
            <w:drawing>
              <wp:inline distT="0" distB="0" distL="0" distR="0" wp14:anchorId="34CA12E0" wp14:editId="4742E2DB">
                <wp:extent cx="5594521" cy="8030818"/>
                <wp:effectExtent l="0" t="0" r="25400" b="27940"/>
                <wp:docPr id="451" name="Group 451"/>
                <wp:cNvGraphicFramePr/>
                <a:graphic xmlns:a="http://schemas.openxmlformats.org/drawingml/2006/main">
                  <a:graphicData uri="http://schemas.microsoft.com/office/word/2010/wordprocessingGroup">
                    <wpg:wgp>
                      <wpg:cNvGrpSpPr/>
                      <wpg:grpSpPr>
                        <a:xfrm>
                          <a:off x="0" y="0"/>
                          <a:ext cx="5594521" cy="8030818"/>
                          <a:chOff x="3032" y="0"/>
                          <a:chExt cx="6637411" cy="8306961"/>
                        </a:xfrm>
                      </wpg:grpSpPr>
                      <wps:wsp>
                        <wps:cNvPr id="452" name="Straight Connector 452"/>
                        <wps:cNvCnPr/>
                        <wps:spPr>
                          <a:xfrm flipV="1">
                            <a:off x="6451600" y="1405466"/>
                            <a:ext cx="188843" cy="414"/>
                          </a:xfrm>
                          <a:prstGeom prst="line">
                            <a:avLst/>
                          </a:prstGeom>
                          <a:noFill/>
                          <a:ln w="12700" cap="flat" cmpd="sng" algn="ctr">
                            <a:solidFill>
                              <a:schemeClr val="tx1"/>
                            </a:solidFill>
                            <a:prstDash val="solid"/>
                            <a:miter lim="800000"/>
                          </a:ln>
                          <a:effectLst/>
                        </wps:spPr>
                        <wps:bodyPr/>
                      </wps:wsp>
                      <wpg:grpSp>
                        <wpg:cNvPr id="453" name="Group 453"/>
                        <wpg:cNvGrpSpPr/>
                        <wpg:grpSpPr>
                          <a:xfrm>
                            <a:off x="3032" y="0"/>
                            <a:ext cx="6637065" cy="8306961"/>
                            <a:chOff x="3032" y="0"/>
                            <a:chExt cx="6637065" cy="8306961"/>
                          </a:xfrm>
                        </wpg:grpSpPr>
                        <wps:wsp>
                          <wps:cNvPr id="454" name="Text Box 454"/>
                          <wps:cNvSpPr txBox="1"/>
                          <wps:spPr>
                            <a:xfrm rot="16200000">
                              <a:off x="5925788" y="6089875"/>
                              <a:ext cx="1017637" cy="317500"/>
                            </a:xfrm>
                            <a:prstGeom prst="rect">
                              <a:avLst/>
                            </a:prstGeom>
                            <a:solidFill>
                              <a:sysClr val="window" lastClr="FFFFFF"/>
                            </a:solidFill>
                            <a:ln w="12700">
                              <a:solidFill>
                                <a:schemeClr val="tx1"/>
                              </a:solidFill>
                            </a:ln>
                            <a:effectLst/>
                          </wps:spPr>
                          <wps:txbx>
                            <w:txbxContent>
                              <w:p w:rsidR="00B24F7C" w:rsidRPr="003E1F5E" w:rsidRDefault="00B24F7C" w:rsidP="00317698">
                                <w:pPr>
                                  <w:spacing w:before="0" w:after="0" w:line="240" w:lineRule="auto"/>
                                </w:pPr>
                                <w:r w:rsidRPr="003E1F5E">
                                  <w:t>Validation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455" name="Group 455"/>
                          <wpg:cNvGrpSpPr/>
                          <wpg:grpSpPr>
                            <a:xfrm>
                              <a:off x="3032" y="0"/>
                              <a:ext cx="6637065" cy="8306961"/>
                              <a:chOff x="3032" y="0"/>
                              <a:chExt cx="6637065" cy="8306961"/>
                            </a:xfrm>
                          </wpg:grpSpPr>
                          <wpg:grpSp>
                            <wpg:cNvPr id="456" name="Group 456"/>
                            <wpg:cNvGrpSpPr/>
                            <wpg:grpSpPr>
                              <a:xfrm>
                                <a:off x="3032" y="0"/>
                                <a:ext cx="6637065" cy="8306961"/>
                                <a:chOff x="3032" y="0"/>
                                <a:chExt cx="6637065" cy="8306961"/>
                              </a:xfrm>
                            </wpg:grpSpPr>
                            <wps:wsp>
                              <wps:cNvPr id="457" name="Straight Connector 457"/>
                              <wps:cNvCnPr>
                                <a:stCxn id="514" idx="0"/>
                              </wps:cNvCnPr>
                              <wps:spPr>
                                <a:xfrm>
                                  <a:off x="3032" y="5801960"/>
                                  <a:ext cx="22020" cy="2288217"/>
                                </a:xfrm>
                                <a:prstGeom prst="line">
                                  <a:avLst/>
                                </a:prstGeom>
                                <a:noFill/>
                                <a:ln w="12700" cap="flat" cmpd="sng" algn="ctr">
                                  <a:solidFill>
                                    <a:schemeClr val="tx1"/>
                                  </a:solidFill>
                                  <a:prstDash val="sysDot"/>
                                  <a:miter lim="800000"/>
                                </a:ln>
                                <a:effectLst/>
                              </wps:spPr>
                              <wps:bodyPr/>
                            </wps:wsp>
                            <wpg:grpSp>
                              <wpg:cNvPr id="458" name="Group 458"/>
                              <wpg:cNvGrpSpPr/>
                              <wpg:grpSpPr>
                                <a:xfrm>
                                  <a:off x="3032" y="0"/>
                                  <a:ext cx="6637065" cy="8306961"/>
                                  <a:chOff x="3032" y="0"/>
                                  <a:chExt cx="6637065" cy="8306961"/>
                                </a:xfrm>
                              </wpg:grpSpPr>
                              <wpg:grpSp>
                                <wpg:cNvPr id="459" name="Group 459"/>
                                <wpg:cNvGrpSpPr/>
                                <wpg:grpSpPr>
                                  <a:xfrm>
                                    <a:off x="218661" y="1133061"/>
                                    <a:ext cx="5560346" cy="7120607"/>
                                    <a:chOff x="0" y="0"/>
                                    <a:chExt cx="5560346" cy="7120607"/>
                                  </a:xfrm>
                                </wpg:grpSpPr>
                                <wps:wsp>
                                  <wps:cNvPr id="460" name="Text Box 460"/>
                                  <wps:cNvSpPr txBox="1"/>
                                  <wps:spPr>
                                    <a:xfrm rot="16200000">
                                      <a:off x="-2080419" y="2080419"/>
                                      <a:ext cx="4470083" cy="309245"/>
                                    </a:xfrm>
                                    <a:prstGeom prst="rect">
                                      <a:avLst/>
                                    </a:prstGeom>
                                    <a:solidFill>
                                      <a:sysClr val="window" lastClr="FFFFFF"/>
                                    </a:solidFill>
                                    <a:ln w="12700" cap="flat" cmpd="sng" algn="ctr">
                                      <a:solidFill>
                                        <a:schemeClr val="tx1"/>
                                      </a:solidFill>
                                      <a:prstDash val="solid"/>
                                      <a:miter lim="800000"/>
                                    </a:ln>
                                    <a:effectLst/>
                                  </wps:spPr>
                                  <wps:txbx>
                                    <w:txbxContent>
                                      <w:p w:rsidR="00B24F7C" w:rsidRPr="00B52C8B" w:rsidRDefault="00B24F7C" w:rsidP="00317698">
                                        <w:pPr>
                                          <w:spacing w:before="0" w:after="0" w:line="240" w:lineRule="auto"/>
                                          <w:jc w:val="center"/>
                                          <w:rPr>
                                            <w:b/>
                                          </w:rPr>
                                        </w:pPr>
                                        <w:r w:rsidRPr="00B52C8B">
                                          <w:rPr>
                                            <w:b/>
                                          </w:rPr>
                                          <w:t xml:space="preserve">Data </w:t>
                                        </w:r>
                                        <w:r>
                                          <w:rPr>
                                            <w:b/>
                                          </w:rPr>
                                          <w:t>Processing for thematic map prep</w:t>
                                        </w:r>
                                        <w:r w:rsidRPr="00B52C8B">
                                          <w:rPr>
                                            <w:b/>
                                          </w:rPr>
                                          <w:t>aration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61" name="Flowchart: Alternate Process 461"/>
                                  <wps:cNvSpPr/>
                                  <wps:spPr>
                                    <a:xfrm>
                                      <a:off x="1684185" y="4502607"/>
                                      <a:ext cx="3876161" cy="348851"/>
                                    </a:xfrm>
                                    <a:prstGeom prst="flowChartAlternateProcess">
                                      <a:avLst/>
                                    </a:prstGeom>
                                    <a:solidFill>
                                      <a:sysClr val="window" lastClr="FFFFFF"/>
                                    </a:solidFill>
                                    <a:ln w="12700" cap="flat" cmpd="sng" algn="ctr">
                                      <a:solidFill>
                                        <a:schemeClr val="tx1"/>
                                      </a:solidFill>
                                      <a:prstDash val="solid"/>
                                      <a:miter lim="800000"/>
                                    </a:ln>
                                    <a:effectLst/>
                                  </wps:spPr>
                                  <wps:txbx>
                                    <w:txbxContent>
                                      <w:p w:rsidR="00B24F7C" w:rsidRPr="00BD1285" w:rsidRDefault="00B24F7C" w:rsidP="00317698">
                                        <w:pPr>
                                          <w:spacing w:before="0" w:after="0" w:line="240" w:lineRule="auto"/>
                                          <w:rPr>
                                            <w:color w:val="000000"/>
                                            <w:sz w:val="18"/>
                                            <w14:reflection w14:blurRad="0" w14:stA="50000" w14:stPos="0" w14:endA="0" w14:endPos="0" w14:dist="0" w14:dir="0" w14:fadeDir="0" w14:sx="0" w14:sy="0" w14:kx="0" w14:ky="0" w14:algn="b"/>
                                          </w:rPr>
                                        </w:pPr>
                                        <w:r w:rsidRPr="00BD1285">
                                          <w:rPr>
                                            <w:color w:val="000000"/>
                                            <w:sz w:val="18"/>
                                            <w14:reflection w14:blurRad="0" w14:stA="50000" w14:stPos="0" w14:endA="0" w14:endPos="0" w14:dist="0" w14:dir="0" w14:fadeDir="0" w14:sx="0" w14:sy="0" w14:kx="0" w14:ky="0" w14:algn="b"/>
                                          </w:rPr>
                                          <w:t>Pairwise comparison and determination of factors weight (AHP)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2" name="Flowchart: Alternate Process 462"/>
                                  <wps:cNvSpPr/>
                                  <wps:spPr>
                                    <a:xfrm>
                                      <a:off x="2115555" y="5042776"/>
                                      <a:ext cx="2221683" cy="266700"/>
                                    </a:xfrm>
                                    <a:prstGeom prst="flowChartAlternateProcess">
                                      <a:avLst/>
                                    </a:prstGeom>
                                    <a:solidFill>
                                      <a:sysClr val="window" lastClr="FFFFFF"/>
                                    </a:solidFill>
                                    <a:ln w="12700" cap="flat" cmpd="sng" algn="ctr">
                                      <a:solidFill>
                                        <a:schemeClr val="tx1"/>
                                      </a:solidFill>
                                      <a:prstDash val="solid"/>
                                      <a:miter lim="800000"/>
                                    </a:ln>
                                    <a:effectLst/>
                                  </wps:spPr>
                                  <wps:txbx>
                                    <w:txbxContent>
                                      <w:p w:rsidR="00B24F7C" w:rsidRPr="00BD1285" w:rsidRDefault="00B24F7C" w:rsidP="00317698">
                                        <w:pPr>
                                          <w:spacing w:before="0" w:after="0" w:line="240" w:lineRule="auto"/>
                                          <w:rPr>
                                            <w:color w:val="000000"/>
                                            <w:sz w:val="18"/>
                                            <w14:reflection w14:blurRad="0" w14:stA="50000" w14:stPos="0" w14:endA="0" w14:endPos="0" w14:dist="0" w14:dir="0" w14:fadeDir="0" w14:sx="0" w14:sy="0" w14:kx="0" w14:ky="0" w14:algn="b"/>
                                          </w:rPr>
                                        </w:pPr>
                                        <w:r w:rsidRPr="00BD1285">
                                          <w:rPr>
                                            <w:color w:val="000000"/>
                                            <w:sz w:val="18"/>
                                            <w14:reflection w14:blurRad="0" w14:stA="50000" w14:stPos="0" w14:endA="0" w14:endPos="0" w14:dist="0" w14:dir="0" w14:fadeDir="0" w14:sx="0" w14:sy="0" w14:kx="0" w14:ky="0" w14:algn="b"/>
                                          </w:rPr>
                                          <w:t>Calculate Consistency Ratio (CR)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3" name="Flowchart: Alternate Process 463"/>
                                  <wps:cNvSpPr/>
                                  <wps:spPr>
                                    <a:xfrm>
                                      <a:off x="1810626" y="6855490"/>
                                      <a:ext cx="2791474" cy="265117"/>
                                    </a:xfrm>
                                    <a:prstGeom prst="flowChartAlternateProcess">
                                      <a:avLst/>
                                    </a:prstGeom>
                                    <a:solidFill>
                                      <a:sysClr val="window" lastClr="FFFFFF"/>
                                    </a:solidFill>
                                    <a:ln w="12700" cap="flat" cmpd="sng" algn="ctr">
                                      <a:solidFill>
                                        <a:schemeClr val="tx1"/>
                                      </a:solidFill>
                                      <a:prstDash val="solid"/>
                                      <a:miter lim="800000"/>
                                    </a:ln>
                                    <a:effectLst/>
                                  </wps:spPr>
                                  <wps:txbx>
                                    <w:txbxContent>
                                      <w:p w:rsidR="00B24F7C" w:rsidRPr="00BD1285" w:rsidRDefault="00B24F7C" w:rsidP="00317698">
                                        <w:pPr>
                                          <w:spacing w:before="0" w:after="0" w:line="240" w:lineRule="auto"/>
                                          <w:rPr>
                                            <w:color w:val="000000"/>
                                            <w:sz w:val="18"/>
                                            <w14:reflection w14:blurRad="0" w14:stA="50000" w14:stPos="0" w14:endA="0" w14:endPos="0" w14:dist="0" w14:dir="0" w14:fadeDir="0" w14:sx="0" w14:sy="0" w14:kx="0" w14:ky="0" w14:algn="b"/>
                                          </w:rPr>
                                        </w:pPr>
                                        <w:r w:rsidRPr="00BD1285">
                                          <w:rPr>
                                            <w:color w:val="000000"/>
                                            <w:sz w:val="18"/>
                                            <w14:reflection w14:blurRad="0" w14:stA="50000" w14:stPos="0" w14:endA="0" w14:endPos="0" w14:dist="0" w14:dir="0" w14:fadeDir="0" w14:sx="0" w14:sy="0" w14:kx="0" w14:ky="0" w14:algn="b"/>
                                          </w:rPr>
                                          <w:t>GROUNDWATER POTENTIAL ZONE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464" name="Group 464"/>
                                <wpg:cNvGrpSpPr/>
                                <wpg:grpSpPr>
                                  <a:xfrm>
                                    <a:off x="3032" y="0"/>
                                    <a:ext cx="6637065" cy="8306961"/>
                                    <a:chOff x="3032" y="0"/>
                                    <a:chExt cx="6637065" cy="8306961"/>
                                  </a:xfrm>
                                </wpg:grpSpPr>
                                <wps:wsp>
                                  <wps:cNvPr id="465" name="Straight Connector 465"/>
                                  <wps:cNvCnPr/>
                                  <wps:spPr>
                                    <a:xfrm flipV="1">
                                      <a:off x="4403035" y="1689652"/>
                                      <a:ext cx="1414145" cy="9525"/>
                                    </a:xfrm>
                                    <a:prstGeom prst="line">
                                      <a:avLst/>
                                    </a:prstGeom>
                                    <a:noFill/>
                                    <a:ln w="12700" cap="flat" cmpd="sng" algn="ctr">
                                      <a:solidFill>
                                        <a:schemeClr val="tx1"/>
                                      </a:solidFill>
                                      <a:prstDash val="solid"/>
                                      <a:miter lim="800000"/>
                                    </a:ln>
                                    <a:effectLst/>
                                  </wps:spPr>
                                  <wps:bodyPr/>
                                </wps:wsp>
                                <wps:wsp>
                                  <wps:cNvPr id="466" name="Straight Connector 466"/>
                                  <wps:cNvCnPr/>
                                  <wps:spPr>
                                    <a:xfrm flipV="1">
                                      <a:off x="4731026" y="1073426"/>
                                      <a:ext cx="1331844" cy="0"/>
                                    </a:xfrm>
                                    <a:prstGeom prst="line">
                                      <a:avLst/>
                                    </a:prstGeom>
                                    <a:noFill/>
                                    <a:ln w="12700" cap="flat" cmpd="sng" algn="ctr">
                                      <a:solidFill>
                                        <a:schemeClr val="tx1"/>
                                      </a:solidFill>
                                      <a:prstDash val="solid"/>
                                      <a:miter lim="800000"/>
                                    </a:ln>
                                    <a:effectLst/>
                                  </wps:spPr>
                                  <wps:bodyPr/>
                                </wps:wsp>
                                <wps:wsp>
                                  <wps:cNvPr id="467" name="Straight Connector 467"/>
                                  <wps:cNvCnPr/>
                                  <wps:spPr>
                                    <a:xfrm flipV="1">
                                      <a:off x="1033670" y="3985591"/>
                                      <a:ext cx="5009321" cy="0"/>
                                    </a:xfrm>
                                    <a:prstGeom prst="line">
                                      <a:avLst/>
                                    </a:prstGeom>
                                    <a:noFill/>
                                    <a:ln w="12700" cap="flat" cmpd="sng" algn="ctr">
                                      <a:solidFill>
                                        <a:schemeClr val="tx1"/>
                                      </a:solidFill>
                                      <a:prstDash val="solid"/>
                                      <a:miter lim="800000"/>
                                    </a:ln>
                                    <a:effectLst/>
                                  </wps:spPr>
                                  <wps:bodyPr/>
                                </wps:wsp>
                                <wpg:grpSp>
                                  <wpg:cNvPr id="468" name="Group 468"/>
                                  <wpg:cNvGrpSpPr/>
                                  <wpg:grpSpPr>
                                    <a:xfrm>
                                      <a:off x="3032" y="0"/>
                                      <a:ext cx="6637065" cy="8306961"/>
                                      <a:chOff x="3032" y="0"/>
                                      <a:chExt cx="6637065" cy="8306961"/>
                                    </a:xfrm>
                                  </wpg:grpSpPr>
                                  <wps:wsp>
                                    <wps:cNvPr id="469" name="Text Box 469"/>
                                    <wps:cNvSpPr txBox="1"/>
                                    <wps:spPr>
                                      <a:xfrm>
                                        <a:off x="1089498" y="1105574"/>
                                        <a:ext cx="1349001" cy="708596"/>
                                      </a:xfrm>
                                      <a:prstGeom prst="rect">
                                        <a:avLst/>
                                      </a:prstGeom>
                                      <a:noFill/>
                                      <a:ln w="12700" cap="flat" cmpd="sng" algn="ctr">
                                        <a:solidFill>
                                          <a:schemeClr val="tx1"/>
                                        </a:solidFill>
                                        <a:prstDash val="solid"/>
                                        <a:miter lim="800000"/>
                                      </a:ln>
                                      <a:effectLst/>
                                    </wps:spPr>
                                    <wps:txbx>
                                      <w:txbxContent>
                                        <w:p w:rsidR="00B24F7C" w:rsidRPr="00646C72" w:rsidRDefault="00B24F7C" w:rsidP="00317698">
                                          <w:pPr>
                                            <w:spacing w:before="0" w:after="0" w:line="240" w:lineRule="auto"/>
                                            <w:rPr>
                                              <w:sz w:val="16"/>
                                            </w:rPr>
                                          </w:pPr>
                                          <w:r w:rsidRPr="00646C72">
                                            <w:rPr>
                                              <w:sz w:val="16"/>
                                            </w:rPr>
                                            <w:t>Preprocessing</w:t>
                                          </w:r>
                                        </w:p>
                                        <w:p w:rsidR="00B24F7C" w:rsidRPr="00646C72" w:rsidRDefault="00B24F7C" w:rsidP="00317698">
                                          <w:pPr>
                                            <w:spacing w:before="0" w:after="0" w:line="240" w:lineRule="auto"/>
                                            <w:rPr>
                                              <w:sz w:val="16"/>
                                            </w:rPr>
                                          </w:pPr>
                                          <w:r w:rsidRPr="00646C72">
                                            <w:rPr>
                                              <w:sz w:val="16"/>
                                            </w:rPr>
                                            <w:t>Layer Stacking</w:t>
                                          </w:r>
                                        </w:p>
                                        <w:p w:rsidR="00B24F7C" w:rsidRPr="00646C72" w:rsidRDefault="00B24F7C" w:rsidP="00317698">
                                          <w:pPr>
                                            <w:spacing w:before="0" w:after="0" w:line="240" w:lineRule="auto"/>
                                            <w:rPr>
                                              <w:sz w:val="16"/>
                                            </w:rPr>
                                          </w:pPr>
                                          <w:r w:rsidRPr="00646C72">
                                            <w:rPr>
                                              <w:sz w:val="16"/>
                                            </w:rPr>
                                            <w:t>Correction</w:t>
                                          </w:r>
                                        </w:p>
                                        <w:p w:rsidR="00B24F7C" w:rsidRPr="00646C72" w:rsidRDefault="00B24F7C" w:rsidP="00317698">
                                          <w:pPr>
                                            <w:spacing w:before="0" w:after="0" w:line="240" w:lineRule="auto"/>
                                            <w:rPr>
                                              <w:sz w:val="16"/>
                                            </w:rPr>
                                          </w:pPr>
                                          <w:r w:rsidRPr="00646C72">
                                            <w:rPr>
                                              <w:sz w:val="16"/>
                                            </w:rPr>
                                            <w:t>Image Enhancement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70" name="Text Box 470"/>
                                    <wps:cNvSpPr txBox="1"/>
                                    <wps:spPr>
                                      <a:xfrm>
                                        <a:off x="3132307" y="1025461"/>
                                        <a:ext cx="861763" cy="343352"/>
                                      </a:xfrm>
                                      <a:prstGeom prst="rect">
                                        <a:avLst/>
                                      </a:prstGeom>
                                      <a:noFill/>
                                      <a:ln w="12700" cap="flat" cmpd="sng" algn="ctr">
                                        <a:solidFill>
                                          <a:schemeClr val="tx1"/>
                                        </a:solidFill>
                                        <a:prstDash val="solid"/>
                                        <a:miter lim="800000"/>
                                      </a:ln>
                                      <a:effectLst/>
                                    </wps:spPr>
                                    <wps:txbx>
                                      <w:txbxContent>
                                        <w:p w:rsidR="00B24F7C" w:rsidRPr="00946D56" w:rsidRDefault="00B24F7C" w:rsidP="00317698">
                                          <w:pPr>
                                            <w:spacing w:before="0" w:after="0" w:line="240" w:lineRule="auto"/>
                                            <w:jc w:val="center"/>
                                            <w:rPr>
                                              <w:sz w:val="14"/>
                                            </w:rPr>
                                          </w:pPr>
                                          <w:r w:rsidRPr="00946D56">
                                            <w:rPr>
                                              <w:sz w:val="14"/>
                                            </w:rPr>
                                            <w:t>Geomorphology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71" name="Text Box 471"/>
                                    <wps:cNvSpPr txBox="1"/>
                                    <wps:spPr>
                                      <a:xfrm>
                                        <a:off x="3132307" y="1848256"/>
                                        <a:ext cx="786765" cy="262255"/>
                                      </a:xfrm>
                                      <a:prstGeom prst="rect">
                                        <a:avLst/>
                                      </a:prstGeom>
                                      <a:noFill/>
                                      <a:ln w="12700" cap="flat" cmpd="sng" algn="ctr">
                                        <a:solidFill>
                                          <a:schemeClr val="tx1"/>
                                        </a:solidFill>
                                        <a:prstDash val="solid"/>
                                        <a:miter lim="800000"/>
                                      </a:ln>
                                      <a:effectLst/>
                                    </wps:spPr>
                                    <wps:txbx>
                                      <w:txbxContent>
                                        <w:p w:rsidR="00B24F7C" w:rsidRPr="00FA69F0" w:rsidRDefault="00B24F7C" w:rsidP="00317698">
                                          <w:pPr>
                                            <w:spacing w:before="0" w:after="0" w:line="240" w:lineRule="auto"/>
                                            <w:jc w:val="center"/>
                                            <w:rPr>
                                              <w:sz w:val="16"/>
                                            </w:rPr>
                                          </w:pPr>
                                          <w:r w:rsidRPr="00FA69F0">
                                            <w:rPr>
                                              <w:sz w:val="16"/>
                                            </w:rPr>
                                            <w:t>Slope Map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72" name="Text Box 472"/>
                                    <wps:cNvSpPr txBox="1"/>
                                    <wps:spPr>
                                      <a:xfrm>
                                        <a:off x="3132307" y="2188724"/>
                                        <a:ext cx="786765" cy="361950"/>
                                      </a:xfrm>
                                      <a:prstGeom prst="rect">
                                        <a:avLst/>
                                      </a:prstGeom>
                                      <a:noFill/>
                                      <a:ln w="12700" cap="flat" cmpd="sng" algn="ctr">
                                        <a:solidFill>
                                          <a:schemeClr val="tx1"/>
                                        </a:solidFill>
                                        <a:prstDash val="solid"/>
                                        <a:miter lim="800000"/>
                                      </a:ln>
                                      <a:effectLst/>
                                    </wps:spPr>
                                    <wps:txbx>
                                      <w:txbxContent>
                                        <w:p w:rsidR="00B24F7C" w:rsidRPr="00FA69F0" w:rsidRDefault="00B24F7C" w:rsidP="00317698">
                                          <w:pPr>
                                            <w:spacing w:before="0" w:after="0" w:line="240" w:lineRule="auto"/>
                                            <w:jc w:val="center"/>
                                            <w:rPr>
                                              <w:sz w:val="14"/>
                                            </w:rPr>
                                          </w:pPr>
                                          <w:r w:rsidRPr="00FA69F0">
                                            <w:rPr>
                                              <w:sz w:val="14"/>
                                            </w:rPr>
                                            <w:t>Drainage Map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73" name="Text Box 473"/>
                                    <wps:cNvSpPr txBox="1"/>
                                    <wps:spPr>
                                      <a:xfrm>
                                        <a:off x="3132307" y="2636196"/>
                                        <a:ext cx="786765" cy="342900"/>
                                      </a:xfrm>
                                      <a:prstGeom prst="rect">
                                        <a:avLst/>
                                      </a:prstGeom>
                                      <a:noFill/>
                                      <a:ln w="12700" cap="flat" cmpd="sng" algn="ctr">
                                        <a:solidFill>
                                          <a:schemeClr val="tx1"/>
                                        </a:solidFill>
                                        <a:prstDash val="solid"/>
                                        <a:miter lim="800000"/>
                                      </a:ln>
                                      <a:effectLst/>
                                    </wps:spPr>
                                    <wps:txbx>
                                      <w:txbxContent>
                                        <w:p w:rsidR="00B24F7C" w:rsidRPr="007D571C" w:rsidRDefault="00B24F7C" w:rsidP="00317698">
                                          <w:pPr>
                                            <w:spacing w:before="0" w:after="0" w:line="240" w:lineRule="auto"/>
                                            <w:jc w:val="center"/>
                                            <w:rPr>
                                              <w:sz w:val="14"/>
                                            </w:rPr>
                                          </w:pPr>
                                          <w:r w:rsidRPr="007D571C">
                                            <w:rPr>
                                              <w:sz w:val="14"/>
                                            </w:rPr>
                                            <w:t>Drainage Density Map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74" name="Text Box 474"/>
                                    <wps:cNvSpPr txBox="1"/>
                                    <wps:spPr>
                                      <a:xfrm>
                                        <a:off x="568179" y="2096628"/>
                                        <a:ext cx="786765" cy="448890"/>
                                      </a:xfrm>
                                      <a:prstGeom prst="rect">
                                        <a:avLst/>
                                      </a:prstGeom>
                                      <a:noFill/>
                                      <a:ln w="12700" cap="flat" cmpd="sng" algn="ctr">
                                        <a:solidFill>
                                          <a:schemeClr val="tx1"/>
                                        </a:solidFill>
                                        <a:prstDash val="solid"/>
                                        <a:miter lim="800000"/>
                                      </a:ln>
                                      <a:effectLst/>
                                    </wps:spPr>
                                    <wps:txbx>
                                      <w:txbxContent>
                                        <w:p w:rsidR="00B24F7C" w:rsidRPr="007D571C" w:rsidRDefault="00B24F7C" w:rsidP="00317698">
                                          <w:pPr>
                                            <w:spacing w:before="0" w:after="0" w:line="240" w:lineRule="auto"/>
                                            <w:rPr>
                                              <w:sz w:val="18"/>
                                            </w:rPr>
                                          </w:pPr>
                                          <w:r w:rsidRPr="007D571C">
                                            <w:rPr>
                                              <w:sz w:val="18"/>
                                            </w:rPr>
                                            <w:t xml:space="preserve">LU/LC </w:t>
                                          </w:r>
                                          <w:r>
                                            <w:rPr>
                                              <w:sz w:val="18"/>
                                            </w:rPr>
                                            <w:t>map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75" name="Text Box 475"/>
                                    <wps:cNvSpPr txBox="1"/>
                                    <wps:spPr>
                                      <a:xfrm>
                                        <a:off x="1638424" y="2071835"/>
                                        <a:ext cx="1164766" cy="257175"/>
                                      </a:xfrm>
                                      <a:prstGeom prst="rect">
                                        <a:avLst/>
                                      </a:prstGeom>
                                      <a:noFill/>
                                      <a:ln w="12700" cap="flat" cmpd="sng" algn="ctr">
                                        <a:solidFill>
                                          <a:schemeClr val="tx1"/>
                                        </a:solidFill>
                                        <a:prstDash val="solid"/>
                                        <a:miter lim="800000"/>
                                      </a:ln>
                                      <a:effectLst/>
                                    </wps:spPr>
                                    <wps:txbx>
                                      <w:txbxContent>
                                        <w:p w:rsidR="00B24F7C" w:rsidRPr="007D571C" w:rsidRDefault="00B24F7C" w:rsidP="00317698">
                                          <w:pPr>
                                            <w:spacing w:before="0" w:after="0" w:line="240" w:lineRule="auto"/>
                                            <w:rPr>
                                              <w:sz w:val="18"/>
                                            </w:rPr>
                                          </w:pPr>
                                          <w:r>
                                            <w:rPr>
                                              <w:sz w:val="18"/>
                                            </w:rPr>
                                            <w:t>Lineament Map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76" name="Text Box 476"/>
                                    <wps:cNvSpPr txBox="1"/>
                                    <wps:spPr>
                                      <a:xfrm>
                                        <a:off x="1455120" y="2587362"/>
                                        <a:ext cx="1420505" cy="394188"/>
                                      </a:xfrm>
                                      <a:prstGeom prst="rect">
                                        <a:avLst/>
                                      </a:prstGeom>
                                      <a:noFill/>
                                      <a:ln w="12700" cap="flat" cmpd="sng" algn="ctr">
                                        <a:solidFill>
                                          <a:schemeClr val="tx1"/>
                                        </a:solidFill>
                                        <a:prstDash val="solid"/>
                                        <a:miter lim="800000"/>
                                      </a:ln>
                                      <a:effectLst/>
                                    </wps:spPr>
                                    <wps:txbx>
                                      <w:txbxContent>
                                        <w:p w:rsidR="00B24F7C" w:rsidRDefault="00B24F7C" w:rsidP="00317698">
                                          <w:pPr>
                                            <w:spacing w:before="0" w:after="0" w:line="240" w:lineRule="auto"/>
                                            <w:rPr>
                                              <w:sz w:val="18"/>
                                            </w:rPr>
                                          </w:pPr>
                                          <w:r>
                                            <w:rPr>
                                              <w:sz w:val="18"/>
                                            </w:rPr>
                                            <w:t>Lineament Density</w:t>
                                          </w:r>
                                        </w:p>
                                        <w:p w:rsidR="00B24F7C" w:rsidRPr="007D571C" w:rsidRDefault="00B24F7C" w:rsidP="00317698">
                                          <w:pPr>
                                            <w:spacing w:before="0" w:after="0" w:line="240" w:lineRule="auto"/>
                                            <w:jc w:val="center"/>
                                            <w:rPr>
                                              <w:sz w:val="18"/>
                                            </w:rPr>
                                          </w:pPr>
                                          <w:r>
                                            <w:rPr>
                                              <w:sz w:val="18"/>
                                            </w:rPr>
                                            <w:t>Map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77" name="Text Box 477"/>
                                    <wps:cNvSpPr txBox="1"/>
                                    <wps:spPr>
                                      <a:xfrm>
                                        <a:off x="4107693" y="1235413"/>
                                        <a:ext cx="1344475" cy="414935"/>
                                      </a:xfrm>
                                      <a:prstGeom prst="rect">
                                        <a:avLst/>
                                      </a:prstGeom>
                                      <a:noFill/>
                                      <a:ln w="12700" cap="flat" cmpd="sng" algn="ctr">
                                        <a:solidFill>
                                          <a:schemeClr val="tx1"/>
                                        </a:solidFill>
                                        <a:prstDash val="solid"/>
                                        <a:miter lim="800000"/>
                                      </a:ln>
                                      <a:effectLst/>
                                    </wps:spPr>
                                    <wps:txbx>
                                      <w:txbxContent>
                                        <w:p w:rsidR="00B24F7C" w:rsidRPr="00EE7DDE" w:rsidRDefault="00B24F7C" w:rsidP="00317698">
                                          <w:pPr>
                                            <w:spacing w:before="0" w:after="0" w:line="240" w:lineRule="auto"/>
                                            <w:jc w:val="center"/>
                                            <w:rPr>
                                              <w:sz w:val="16"/>
                                            </w:rPr>
                                          </w:pPr>
                                          <w:r w:rsidRPr="00EE7DDE">
                                            <w:rPr>
                                              <w:sz w:val="16"/>
                                            </w:rPr>
                                            <w:t>Digitization, Extract, Editing, Filling data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78" name="Text Box 478"/>
                                    <wps:cNvSpPr txBox="1"/>
                                    <wps:spPr>
                                      <a:xfrm>
                                        <a:off x="5486400" y="1896894"/>
                                        <a:ext cx="675640" cy="397510"/>
                                      </a:xfrm>
                                      <a:prstGeom prst="rect">
                                        <a:avLst/>
                                      </a:prstGeom>
                                      <a:noFill/>
                                      <a:ln w="12700" cap="flat" cmpd="sng" algn="ctr">
                                        <a:solidFill>
                                          <a:schemeClr val="tx1"/>
                                        </a:solidFill>
                                        <a:prstDash val="solid"/>
                                        <a:miter lim="800000"/>
                                      </a:ln>
                                      <a:effectLst/>
                                    </wps:spPr>
                                    <wps:txbx>
                                      <w:txbxContent>
                                        <w:p w:rsidR="00B24F7C" w:rsidRPr="00FA69F0" w:rsidRDefault="00B24F7C" w:rsidP="00317698">
                                          <w:pPr>
                                            <w:spacing w:before="0" w:after="0" w:line="240" w:lineRule="auto"/>
                                            <w:jc w:val="center"/>
                                            <w:rPr>
                                              <w:sz w:val="16"/>
                                            </w:rPr>
                                          </w:pPr>
                                          <w:r w:rsidRPr="00FA69F0">
                                            <w:rPr>
                                              <w:sz w:val="16"/>
                                            </w:rPr>
                                            <w:t>Geology</w:t>
                                          </w:r>
                                        </w:p>
                                        <w:p w:rsidR="00B24F7C" w:rsidRPr="00FA69F0" w:rsidRDefault="00B24F7C" w:rsidP="00317698">
                                          <w:pPr>
                                            <w:spacing w:before="0" w:after="0" w:line="240" w:lineRule="auto"/>
                                            <w:jc w:val="center"/>
                                            <w:rPr>
                                              <w:sz w:val="16"/>
                                            </w:rPr>
                                          </w:pPr>
                                          <w:r w:rsidRPr="00FA69F0">
                                            <w:rPr>
                                              <w:sz w:val="16"/>
                                            </w:rPr>
                                            <w:t>Map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79" name="Text Box 479"/>
                                    <wps:cNvSpPr txBox="1"/>
                                    <wps:spPr>
                                      <a:xfrm>
                                        <a:off x="4280171" y="1906622"/>
                                        <a:ext cx="475335" cy="376555"/>
                                      </a:xfrm>
                                      <a:prstGeom prst="rect">
                                        <a:avLst/>
                                      </a:prstGeom>
                                      <a:noFill/>
                                      <a:ln w="12700" cap="flat" cmpd="sng" algn="ctr">
                                        <a:solidFill>
                                          <a:schemeClr val="tx1"/>
                                        </a:solidFill>
                                        <a:prstDash val="solid"/>
                                        <a:miter lim="800000"/>
                                      </a:ln>
                                      <a:effectLst/>
                                    </wps:spPr>
                                    <wps:txbx>
                                      <w:txbxContent>
                                        <w:p w:rsidR="00B24F7C" w:rsidRPr="00946D56" w:rsidRDefault="00B24F7C" w:rsidP="00317698">
                                          <w:pPr>
                                            <w:spacing w:before="0" w:after="0" w:line="240" w:lineRule="auto"/>
                                            <w:jc w:val="center"/>
                                            <w:rPr>
                                              <w:sz w:val="14"/>
                                            </w:rPr>
                                          </w:pPr>
                                          <w:r w:rsidRPr="00946D56">
                                            <w:rPr>
                                              <w:sz w:val="14"/>
                                            </w:rPr>
                                            <w:t>Soil</w:t>
                                          </w:r>
                                        </w:p>
                                        <w:p w:rsidR="00B24F7C" w:rsidRPr="00946D56" w:rsidRDefault="00B24F7C" w:rsidP="00317698">
                                          <w:pPr>
                                            <w:spacing w:before="0" w:after="0" w:line="240" w:lineRule="auto"/>
                                            <w:jc w:val="center"/>
                                            <w:rPr>
                                              <w:sz w:val="14"/>
                                            </w:rPr>
                                          </w:pPr>
                                          <w:r w:rsidRPr="00946D56">
                                            <w:rPr>
                                              <w:sz w:val="14"/>
                                            </w:rPr>
                                            <w:t>Map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80" name="Text Box 480"/>
                                    <wps:cNvSpPr txBox="1"/>
                                    <wps:spPr>
                                      <a:xfrm>
                                        <a:off x="4805464" y="1896894"/>
                                        <a:ext cx="609600" cy="397510"/>
                                      </a:xfrm>
                                      <a:prstGeom prst="rect">
                                        <a:avLst/>
                                      </a:prstGeom>
                                      <a:noFill/>
                                      <a:ln w="12700" cap="flat" cmpd="sng" algn="ctr">
                                        <a:solidFill>
                                          <a:schemeClr val="tx1"/>
                                        </a:solidFill>
                                        <a:prstDash val="solid"/>
                                        <a:miter lim="800000"/>
                                      </a:ln>
                                      <a:effectLst/>
                                    </wps:spPr>
                                    <wps:txbx>
                                      <w:txbxContent>
                                        <w:p w:rsidR="00B24F7C" w:rsidRPr="00FA69F0" w:rsidRDefault="00B24F7C" w:rsidP="00317698">
                                          <w:pPr>
                                            <w:spacing w:before="0" w:after="0" w:line="240" w:lineRule="auto"/>
                                            <w:jc w:val="center"/>
                                            <w:rPr>
                                              <w:sz w:val="14"/>
                                            </w:rPr>
                                          </w:pPr>
                                          <w:r w:rsidRPr="00FA69F0">
                                            <w:rPr>
                                              <w:sz w:val="14"/>
                                            </w:rPr>
                                            <w:t>Rainfall</w:t>
                                          </w:r>
                                        </w:p>
                                        <w:p w:rsidR="00B24F7C" w:rsidRPr="00FA69F0" w:rsidRDefault="00B24F7C" w:rsidP="00317698">
                                          <w:pPr>
                                            <w:spacing w:before="0" w:after="0" w:line="240" w:lineRule="auto"/>
                                            <w:jc w:val="center"/>
                                            <w:rPr>
                                              <w:sz w:val="14"/>
                                            </w:rPr>
                                          </w:pPr>
                                          <w:r w:rsidRPr="00FA69F0">
                                            <w:rPr>
                                              <w:sz w:val="14"/>
                                            </w:rPr>
                                            <w:t>Map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81" name="Text Box 481"/>
                                    <wps:cNvSpPr txBox="1"/>
                                    <wps:spPr>
                                      <a:xfrm>
                                        <a:off x="2198451" y="3511686"/>
                                        <a:ext cx="3064901" cy="327991"/>
                                      </a:xfrm>
                                      <a:prstGeom prst="rect">
                                        <a:avLst/>
                                      </a:prstGeom>
                                      <a:solidFill>
                                        <a:sysClr val="window" lastClr="FFFFFF"/>
                                      </a:solidFill>
                                      <a:ln w="12700" cap="flat" cmpd="sng" algn="ctr">
                                        <a:solidFill>
                                          <a:schemeClr val="tx1"/>
                                        </a:solidFill>
                                        <a:prstDash val="solid"/>
                                        <a:miter lim="800000"/>
                                      </a:ln>
                                      <a:effectLst/>
                                    </wps:spPr>
                                    <wps:txbx>
                                      <w:txbxContent>
                                        <w:p w:rsidR="00B24F7C" w:rsidRPr="00B52C8B" w:rsidRDefault="00B24F7C" w:rsidP="00317698">
                                          <w:pPr>
                                            <w:spacing w:before="0" w:after="0" w:line="240" w:lineRule="auto"/>
                                            <w:jc w:val="center"/>
                                            <w:rPr>
                                              <w:b/>
                                            </w:rPr>
                                          </w:pPr>
                                          <w:r>
                                            <w:rPr>
                                              <w:b/>
                                            </w:rPr>
                                            <w:t>Thematic m</w:t>
                                          </w:r>
                                          <w:r w:rsidRPr="00B52C8B">
                                            <w:rPr>
                                              <w:b/>
                                            </w:rPr>
                                            <w:t>aps of the input layers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82" name="Text Box 482"/>
                                    <wps:cNvSpPr txBox="1"/>
                                    <wps:spPr>
                                      <a:xfrm rot="10800000" flipH="1">
                                        <a:off x="720269" y="4114798"/>
                                        <a:ext cx="534599" cy="1102995"/>
                                      </a:xfrm>
                                      <a:prstGeom prst="rect">
                                        <a:avLst/>
                                      </a:prstGeom>
                                      <a:solidFill>
                                        <a:sysClr val="window" lastClr="FFFFFF"/>
                                      </a:solidFill>
                                      <a:ln w="12700" cap="flat" cmpd="sng" algn="ctr">
                                        <a:solidFill>
                                          <a:schemeClr val="tx1"/>
                                        </a:solidFill>
                                        <a:prstDash val="solid"/>
                                        <a:miter lim="800000"/>
                                      </a:ln>
                                      <a:effectLst/>
                                    </wps:spPr>
                                    <wps:txbx>
                                      <w:txbxContent>
                                        <w:p w:rsidR="00B24F7C" w:rsidRPr="008A25A4" w:rsidRDefault="00B24F7C" w:rsidP="00317698">
                                          <w:pPr>
                                            <w:spacing w:before="0" w:after="0" w:line="240" w:lineRule="auto"/>
                                            <w:jc w:val="center"/>
                                            <w:rPr>
                                              <w:sz w:val="16"/>
                                            </w:rPr>
                                          </w:pPr>
                                          <w:r>
                                            <w:rPr>
                                              <w:sz w:val="16"/>
                                            </w:rPr>
                                            <w:t xml:space="preserve">Reclassified geology </w:t>
                                          </w:r>
                                          <w:r w:rsidRPr="008A25A4">
                                            <w:rPr>
                                              <w:sz w:val="16"/>
                                            </w:rPr>
                                            <w:t>map</w:t>
                                          </w:r>
                                        </w:p>
                                      </w:txbxContent>
                                    </wps:txbx>
                                    <wps:bodyPr rot="0" spcFirstLastPara="0" vertOverflow="overflow" horzOverflow="overflow" vert="vert" wrap="square" lIns="91440" tIns="45720" rIns="91440" bIns="45720" numCol="1" spcCol="0" rtlCol="0" fromWordArt="0" anchor="ctr" anchorCtr="0" forceAA="0" compatLnSpc="1">
                                      <a:prstTxWarp prst="textNoShape">
                                        <a:avLst/>
                                      </a:prstTxWarp>
                                      <a:noAutofit/>
                                    </wps:bodyPr>
                                  </wps:wsp>
                                  <wps:wsp>
                                    <wps:cNvPr id="483" name="Text Box 483"/>
                                    <wps:cNvSpPr txBox="1"/>
                                    <wps:spPr>
                                      <a:xfrm rot="16200000">
                                        <a:off x="1128369" y="4395239"/>
                                        <a:ext cx="1100455" cy="538985"/>
                                      </a:xfrm>
                                      <a:prstGeom prst="rect">
                                        <a:avLst/>
                                      </a:prstGeom>
                                      <a:solidFill>
                                        <a:sysClr val="window" lastClr="FFFFFF"/>
                                      </a:solidFill>
                                      <a:ln w="12700" cap="flat" cmpd="sng" algn="ctr">
                                        <a:solidFill>
                                          <a:schemeClr val="tx1"/>
                                        </a:solidFill>
                                        <a:prstDash val="solid"/>
                                        <a:miter lim="800000"/>
                                      </a:ln>
                                      <a:effectLst/>
                                    </wps:spPr>
                                    <wps:txbx>
                                      <w:txbxContent>
                                        <w:p w:rsidR="00B24F7C" w:rsidRPr="00281D4D" w:rsidRDefault="00B24F7C" w:rsidP="00317698">
                                          <w:pPr>
                                            <w:spacing w:before="0" w:after="0" w:line="240" w:lineRule="auto"/>
                                            <w:jc w:val="center"/>
                                            <w:rPr>
                                              <w:sz w:val="16"/>
                                            </w:rPr>
                                          </w:pPr>
                                          <w:r w:rsidRPr="00281D4D">
                                            <w:rPr>
                                              <w:sz w:val="16"/>
                                            </w:rPr>
                                            <w:t>Reclassified geomorphologic map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84" name="Text Box 484"/>
                                    <wps:cNvSpPr txBox="1"/>
                                    <wps:spPr>
                                      <a:xfrm rot="16200000">
                                        <a:off x="1707205" y="4479587"/>
                                        <a:ext cx="1101090" cy="388620"/>
                                      </a:xfrm>
                                      <a:prstGeom prst="rect">
                                        <a:avLst/>
                                      </a:prstGeom>
                                      <a:solidFill>
                                        <a:sysClr val="window" lastClr="FFFFFF"/>
                                      </a:solidFill>
                                      <a:ln w="12700" cap="flat" cmpd="sng" algn="ctr">
                                        <a:solidFill>
                                          <a:schemeClr val="tx1"/>
                                        </a:solidFill>
                                        <a:prstDash val="solid"/>
                                        <a:miter lim="800000"/>
                                      </a:ln>
                                      <a:effectLst/>
                                    </wps:spPr>
                                    <wps:txbx>
                                      <w:txbxContent>
                                        <w:p w:rsidR="00B24F7C" w:rsidRPr="00281D4D" w:rsidRDefault="00B24F7C" w:rsidP="00317698">
                                          <w:pPr>
                                            <w:spacing w:before="0" w:after="0" w:line="240" w:lineRule="auto"/>
                                            <w:jc w:val="center"/>
                                            <w:rPr>
                                              <w:sz w:val="16"/>
                                            </w:rPr>
                                          </w:pPr>
                                          <w:r w:rsidRPr="00281D4D">
                                            <w:rPr>
                                              <w:sz w:val="16"/>
                                            </w:rPr>
                                            <w:t>Reclassified Soil texture map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85" name="Text Box 485"/>
                                    <wps:cNvSpPr txBox="1"/>
                                    <wps:spPr>
                                      <a:xfrm rot="16200000">
                                        <a:off x="2330831" y="4400710"/>
                                        <a:ext cx="1107440" cy="551535"/>
                                      </a:xfrm>
                                      <a:prstGeom prst="rect">
                                        <a:avLst/>
                                      </a:prstGeom>
                                      <a:solidFill>
                                        <a:sysClr val="window" lastClr="FFFFFF"/>
                                      </a:solidFill>
                                      <a:ln w="12700" cap="flat" cmpd="sng" algn="ctr">
                                        <a:solidFill>
                                          <a:schemeClr val="tx1"/>
                                        </a:solidFill>
                                        <a:prstDash val="solid"/>
                                        <a:miter lim="800000"/>
                                      </a:ln>
                                      <a:effectLst/>
                                    </wps:spPr>
                                    <wps:txbx>
                                      <w:txbxContent>
                                        <w:p w:rsidR="00B24F7C" w:rsidRPr="008A25A4" w:rsidRDefault="00B24F7C" w:rsidP="00317698">
                                          <w:pPr>
                                            <w:spacing w:before="0" w:after="0" w:line="240" w:lineRule="auto"/>
                                            <w:jc w:val="center"/>
                                            <w:rPr>
                                              <w:sz w:val="16"/>
                                            </w:rPr>
                                          </w:pPr>
                                          <w:r w:rsidRPr="008A25A4">
                                            <w:rPr>
                                              <w:sz w:val="16"/>
                                            </w:rPr>
                                            <w:t>Reclassified drainage density map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86" name="Text Box 486"/>
                                    <wps:cNvSpPr txBox="1"/>
                                    <wps:spPr>
                                      <a:xfrm rot="16200000">
                                        <a:off x="3010336" y="4408808"/>
                                        <a:ext cx="1086485" cy="526133"/>
                                      </a:xfrm>
                                      <a:prstGeom prst="rect">
                                        <a:avLst/>
                                      </a:prstGeom>
                                      <a:solidFill>
                                        <a:sysClr val="window" lastClr="FFFFFF"/>
                                      </a:solidFill>
                                      <a:ln w="12700" cap="flat" cmpd="sng" algn="ctr">
                                        <a:solidFill>
                                          <a:schemeClr val="tx1"/>
                                        </a:solidFill>
                                        <a:prstDash val="solid"/>
                                        <a:miter lim="800000"/>
                                      </a:ln>
                                      <a:effectLst/>
                                    </wps:spPr>
                                    <wps:txbx>
                                      <w:txbxContent>
                                        <w:p w:rsidR="00B24F7C" w:rsidRPr="00281D4D" w:rsidRDefault="00B24F7C" w:rsidP="00317698">
                                          <w:pPr>
                                            <w:spacing w:before="0" w:after="0" w:line="240" w:lineRule="auto"/>
                                            <w:jc w:val="center"/>
                                            <w:rPr>
                                              <w:sz w:val="16"/>
                                            </w:rPr>
                                          </w:pPr>
                                          <w:r w:rsidRPr="00281D4D">
                                            <w:rPr>
                                              <w:sz w:val="16"/>
                                            </w:rPr>
                                            <w:t xml:space="preserve">Reclassified lineament </w:t>
                                          </w:r>
                                          <w:r w:rsidRPr="00281D4D">
                                            <w:rPr>
                                              <w:sz w:val="16"/>
                                              <w:lang w:val="en-GB"/>
                                            </w:rPr>
                                            <w:t>density map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87" name="Text Box 487"/>
                                    <wps:cNvSpPr txBox="1"/>
                                    <wps:spPr>
                                      <a:xfrm rot="16200000">
                                        <a:off x="5551988" y="4476758"/>
                                        <a:ext cx="1082675" cy="401256"/>
                                      </a:xfrm>
                                      <a:prstGeom prst="rect">
                                        <a:avLst/>
                                      </a:prstGeom>
                                      <a:noFill/>
                                      <a:ln w="12700" cap="flat" cmpd="sng" algn="ctr">
                                        <a:solidFill>
                                          <a:schemeClr val="tx1"/>
                                        </a:solidFill>
                                        <a:prstDash val="solid"/>
                                        <a:miter lim="800000"/>
                                      </a:ln>
                                      <a:effectLst/>
                                    </wps:spPr>
                                    <wps:txbx>
                                      <w:txbxContent>
                                        <w:p w:rsidR="00B24F7C" w:rsidRPr="00281D4D" w:rsidRDefault="00B24F7C" w:rsidP="00317698">
                                          <w:pPr>
                                            <w:spacing w:before="0" w:after="0" w:line="240" w:lineRule="auto"/>
                                            <w:jc w:val="center"/>
                                            <w:rPr>
                                              <w:sz w:val="16"/>
                                            </w:rPr>
                                          </w:pPr>
                                          <w:r w:rsidRPr="00281D4D">
                                            <w:rPr>
                                              <w:sz w:val="16"/>
                                            </w:rPr>
                                            <w:t>Reclassified</w:t>
                                          </w:r>
                                        </w:p>
                                        <w:p w:rsidR="00B24F7C" w:rsidRPr="00281D4D" w:rsidRDefault="00B24F7C" w:rsidP="00317698">
                                          <w:pPr>
                                            <w:spacing w:before="0" w:after="0" w:line="240" w:lineRule="auto"/>
                                            <w:jc w:val="center"/>
                                            <w:rPr>
                                              <w:sz w:val="16"/>
                                            </w:rPr>
                                          </w:pPr>
                                          <w:r w:rsidRPr="00281D4D">
                                            <w:rPr>
                                              <w:sz w:val="16"/>
                                            </w:rPr>
                                            <w:t xml:space="preserve">LU/LC </w:t>
                                          </w:r>
                                          <w:r w:rsidRPr="00281D4D">
                                            <w:rPr>
                                              <w:sz w:val="16"/>
                                              <w:lang w:val="en-GB"/>
                                            </w:rPr>
                                            <w:t>map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88" name="Text Box 488"/>
                                    <wps:cNvSpPr txBox="1"/>
                                    <wps:spPr>
                                      <a:xfrm rot="16200000">
                                        <a:off x="4218984" y="4462175"/>
                                        <a:ext cx="1090295" cy="416432"/>
                                      </a:xfrm>
                                      <a:prstGeom prst="rect">
                                        <a:avLst/>
                                      </a:prstGeom>
                                      <a:solidFill>
                                        <a:sysClr val="window" lastClr="FFFFFF"/>
                                      </a:solidFill>
                                      <a:ln w="12700" cap="flat" cmpd="sng" algn="ctr">
                                        <a:solidFill>
                                          <a:schemeClr val="tx1"/>
                                        </a:solidFill>
                                        <a:prstDash val="solid"/>
                                        <a:miter lim="800000"/>
                                      </a:ln>
                                      <a:effectLst/>
                                    </wps:spPr>
                                    <wps:txbx>
                                      <w:txbxContent>
                                        <w:p w:rsidR="00B24F7C" w:rsidRPr="00281D4D" w:rsidRDefault="00B24F7C" w:rsidP="00317698">
                                          <w:pPr>
                                            <w:spacing w:before="0" w:after="0" w:line="240" w:lineRule="auto"/>
                                            <w:jc w:val="center"/>
                                            <w:rPr>
                                              <w:sz w:val="16"/>
                                            </w:rPr>
                                          </w:pPr>
                                          <w:r w:rsidRPr="00281D4D">
                                            <w:rPr>
                                              <w:sz w:val="16"/>
                                            </w:rPr>
                                            <w:t xml:space="preserve">Reclassified rainfall </w:t>
                                          </w:r>
                                          <w:r w:rsidRPr="00281D4D">
                                            <w:rPr>
                                              <w:sz w:val="16"/>
                                              <w:lang w:val="en-GB"/>
                                            </w:rPr>
                                            <w:t>map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89" name="Text Box 489"/>
                                    <wps:cNvSpPr txBox="1"/>
                                    <wps:spPr>
                                      <a:xfrm rot="16200000">
                                        <a:off x="3623554" y="4450404"/>
                                        <a:ext cx="1094105" cy="437515"/>
                                      </a:xfrm>
                                      <a:prstGeom prst="rect">
                                        <a:avLst/>
                                      </a:prstGeom>
                                      <a:solidFill>
                                        <a:sysClr val="window" lastClr="FFFFFF"/>
                                      </a:solidFill>
                                      <a:ln w="12700" cap="flat" cmpd="sng" algn="ctr">
                                        <a:solidFill>
                                          <a:schemeClr val="tx1"/>
                                        </a:solidFill>
                                        <a:prstDash val="solid"/>
                                        <a:miter lim="800000"/>
                                      </a:ln>
                                      <a:effectLst/>
                                    </wps:spPr>
                                    <wps:txbx>
                                      <w:txbxContent>
                                        <w:p w:rsidR="00B24F7C" w:rsidRPr="00281D4D" w:rsidRDefault="00B24F7C" w:rsidP="00317698">
                                          <w:pPr>
                                            <w:spacing w:before="0" w:after="0" w:line="240" w:lineRule="auto"/>
                                            <w:jc w:val="center"/>
                                            <w:rPr>
                                              <w:sz w:val="16"/>
                                            </w:rPr>
                                          </w:pPr>
                                          <w:r w:rsidRPr="00281D4D">
                                            <w:rPr>
                                              <w:sz w:val="16"/>
                                            </w:rPr>
                                            <w:t xml:space="preserve">Reclassified soil </w:t>
                                          </w:r>
                                        </w:p>
                                        <w:p w:rsidR="00B24F7C" w:rsidRPr="00281D4D" w:rsidRDefault="00B24F7C" w:rsidP="00317698">
                                          <w:pPr>
                                            <w:spacing w:before="0" w:after="0" w:line="240" w:lineRule="auto"/>
                                            <w:jc w:val="center"/>
                                            <w:rPr>
                                              <w:sz w:val="16"/>
                                            </w:rPr>
                                          </w:pPr>
                                          <w:r w:rsidRPr="00281D4D">
                                            <w:rPr>
                                              <w:sz w:val="16"/>
                                              <w:lang w:val="en-GB"/>
                                            </w:rPr>
                                            <w:t>Map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90" name="Text Box 490"/>
                                    <wps:cNvSpPr txBox="1"/>
                                    <wps:spPr>
                                      <a:xfrm rot="16200000">
                                        <a:off x="4917332" y="4440677"/>
                                        <a:ext cx="1101504" cy="447675"/>
                                      </a:xfrm>
                                      <a:prstGeom prst="rect">
                                        <a:avLst/>
                                      </a:prstGeom>
                                      <a:solidFill>
                                        <a:sysClr val="window" lastClr="FFFFFF"/>
                                      </a:solidFill>
                                      <a:ln w="12700" cap="flat" cmpd="sng" algn="ctr">
                                        <a:solidFill>
                                          <a:schemeClr val="tx1"/>
                                        </a:solidFill>
                                        <a:prstDash val="solid"/>
                                        <a:miter lim="800000"/>
                                      </a:ln>
                                      <a:effectLst/>
                                    </wps:spPr>
                                    <wps:txbx>
                                      <w:txbxContent>
                                        <w:p w:rsidR="00B24F7C" w:rsidRPr="00281D4D" w:rsidRDefault="00B24F7C" w:rsidP="00317698">
                                          <w:pPr>
                                            <w:spacing w:before="0" w:after="0" w:line="240" w:lineRule="auto"/>
                                            <w:jc w:val="center"/>
                                            <w:rPr>
                                              <w:sz w:val="16"/>
                                            </w:rPr>
                                          </w:pPr>
                                          <w:r w:rsidRPr="00281D4D">
                                            <w:rPr>
                                              <w:sz w:val="16"/>
                                            </w:rPr>
                                            <w:t xml:space="preserve">Reclassified elevation </w:t>
                                          </w:r>
                                          <w:r w:rsidRPr="00281D4D">
                                            <w:rPr>
                                              <w:sz w:val="16"/>
                                              <w:lang w:val="en-GB"/>
                                            </w:rPr>
                                            <w:t>map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91" name="Text Box 491"/>
                                    <wps:cNvSpPr txBox="1"/>
                                    <wps:spPr>
                                      <a:xfrm>
                                        <a:off x="3132307" y="1420239"/>
                                        <a:ext cx="833755" cy="367665"/>
                                      </a:xfrm>
                                      <a:prstGeom prst="rect">
                                        <a:avLst/>
                                      </a:prstGeom>
                                      <a:noFill/>
                                      <a:ln w="12700" cap="flat" cmpd="sng" algn="ctr">
                                        <a:solidFill>
                                          <a:schemeClr val="tx1"/>
                                        </a:solidFill>
                                        <a:prstDash val="solid"/>
                                        <a:miter lim="800000"/>
                                      </a:ln>
                                      <a:effectLst/>
                                    </wps:spPr>
                                    <wps:txbx>
                                      <w:txbxContent>
                                        <w:p w:rsidR="00B24F7C" w:rsidRPr="00FA69F0" w:rsidRDefault="00B24F7C" w:rsidP="00317698">
                                          <w:pPr>
                                            <w:spacing w:before="0" w:after="0" w:line="240" w:lineRule="auto"/>
                                            <w:jc w:val="center"/>
                                            <w:rPr>
                                              <w:sz w:val="16"/>
                                            </w:rPr>
                                          </w:pPr>
                                          <w:r w:rsidRPr="00FA69F0">
                                            <w:rPr>
                                              <w:sz w:val="16"/>
                                            </w:rPr>
                                            <w:t>Elevation Map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92" name="Text Box 492"/>
                                    <wps:cNvSpPr txBox="1"/>
                                    <wps:spPr>
                                      <a:xfrm>
                                        <a:off x="5486401" y="1245141"/>
                                        <a:ext cx="972015" cy="377686"/>
                                      </a:xfrm>
                                      <a:prstGeom prst="rect">
                                        <a:avLst/>
                                      </a:prstGeom>
                                      <a:noFill/>
                                      <a:ln w="12700" cap="flat" cmpd="sng" algn="ctr">
                                        <a:solidFill>
                                          <a:schemeClr val="tx1"/>
                                        </a:solidFill>
                                        <a:prstDash val="solid"/>
                                        <a:miter lim="800000"/>
                                      </a:ln>
                                      <a:effectLst/>
                                    </wps:spPr>
                                    <wps:txbx>
                                      <w:txbxContent>
                                        <w:p w:rsidR="00B24F7C" w:rsidRPr="00946D56" w:rsidRDefault="00B24F7C" w:rsidP="00317698">
                                          <w:pPr>
                                            <w:spacing w:before="0" w:after="0" w:line="240" w:lineRule="auto"/>
                                            <w:jc w:val="center"/>
                                            <w:rPr>
                                              <w:sz w:val="16"/>
                                            </w:rPr>
                                          </w:pPr>
                                          <w:r w:rsidRPr="00946D56">
                                            <w:rPr>
                                              <w:sz w:val="16"/>
                                            </w:rPr>
                                            <w:t>Well/Spring yield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493" name="Group 493"/>
                                    <wpg:cNvGrpSpPr/>
                                    <wpg:grpSpPr>
                                      <a:xfrm>
                                        <a:off x="3032" y="0"/>
                                        <a:ext cx="6637065" cy="8306961"/>
                                        <a:chOff x="3032" y="0"/>
                                        <a:chExt cx="6637065" cy="8306961"/>
                                      </a:xfrm>
                                    </wpg:grpSpPr>
                                    <wps:wsp>
                                      <wps:cNvPr id="494" name="Straight Connector 494"/>
                                      <wps:cNvCnPr/>
                                      <wps:spPr>
                                        <a:xfrm flipV="1">
                                          <a:off x="1082649" y="5471770"/>
                                          <a:ext cx="5008880" cy="0"/>
                                        </a:xfrm>
                                        <a:prstGeom prst="line">
                                          <a:avLst/>
                                        </a:prstGeom>
                                        <a:noFill/>
                                        <a:ln w="12700" cap="flat" cmpd="sng" algn="ctr">
                                          <a:solidFill>
                                            <a:schemeClr val="tx1"/>
                                          </a:solidFill>
                                          <a:prstDash val="solid"/>
                                          <a:miter lim="800000"/>
                                        </a:ln>
                                        <a:effectLst/>
                                      </wps:spPr>
                                      <wps:bodyPr/>
                                    </wps:wsp>
                                    <wps:wsp>
                                      <wps:cNvPr id="495" name="Down Arrow 495"/>
                                      <wps:cNvSpPr/>
                                      <wps:spPr>
                                        <a:xfrm>
                                          <a:off x="3448423" y="5992529"/>
                                          <a:ext cx="77848" cy="183308"/>
                                        </a:xfrm>
                                        <a:prstGeom prst="downArrow">
                                          <a:avLst>
                                            <a:gd name="adj1" fmla="val 10682"/>
                                            <a:gd name="adj2" fmla="val 153548"/>
                                          </a:avLst>
                                        </a:prstGeom>
                                        <a:solidFill>
                                          <a:sysClr val="windowText" lastClr="000000"/>
                                        </a:solidFill>
                                        <a:ln w="12700" cap="flat" cmpd="sng" algn="ctr">
                                          <a:solidFill>
                                            <a:schemeClr val="tx1"/>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96" name="Straight Connector 496"/>
                                      <wps:cNvCnPr/>
                                      <wps:spPr>
                                        <a:xfrm>
                                          <a:off x="6627571" y="1404519"/>
                                          <a:ext cx="12526" cy="6713951"/>
                                        </a:xfrm>
                                        <a:prstGeom prst="line">
                                          <a:avLst/>
                                        </a:prstGeom>
                                        <a:noFill/>
                                        <a:ln w="12700" cap="flat" cmpd="sng" algn="ctr">
                                          <a:solidFill>
                                            <a:schemeClr val="tx1"/>
                                          </a:solidFill>
                                          <a:prstDash val="solid"/>
                                          <a:miter lim="800000"/>
                                        </a:ln>
                                        <a:effectLst/>
                                      </wps:spPr>
                                      <wps:bodyPr/>
                                    </wps:wsp>
                                    <wps:wsp>
                                      <wps:cNvPr id="497" name="Flowchart: Alternate Process 497"/>
                                      <wps:cNvSpPr/>
                                      <wps:spPr>
                                        <a:xfrm>
                                          <a:off x="3190790" y="6600400"/>
                                          <a:ext cx="685800" cy="266700"/>
                                        </a:xfrm>
                                        <a:prstGeom prst="flowChartAlternateProcess">
                                          <a:avLst/>
                                        </a:prstGeom>
                                        <a:solidFill>
                                          <a:sysClr val="window" lastClr="FFFFFF"/>
                                        </a:solidFill>
                                        <a:ln w="12700" cap="flat" cmpd="sng" algn="ctr">
                                          <a:solidFill>
                                            <a:schemeClr val="tx1"/>
                                          </a:solidFill>
                                          <a:prstDash val="solid"/>
                                          <a:miter lim="800000"/>
                                        </a:ln>
                                        <a:effectLst/>
                                      </wps:spPr>
                                      <wps:txbx>
                                        <w:txbxContent>
                                          <w:p w:rsidR="00B24F7C" w:rsidRPr="00BD1285" w:rsidRDefault="00B24F7C" w:rsidP="00317698">
                                            <w:pPr>
                                              <w:spacing w:before="0" w:after="0" w:line="240" w:lineRule="auto"/>
                                              <w:jc w:val="center"/>
                                              <w:rPr>
                                                <w:color w:val="000000"/>
                                                <w:sz w:val="18"/>
                                                <w14:reflection w14:blurRad="0" w14:stA="50000" w14:stPos="0" w14:endA="0" w14:endPos="0" w14:dist="0" w14:dir="0" w14:fadeDir="0" w14:sx="0" w14:sy="0" w14:kx="0" w14:ky="0" w14:algn="b"/>
                                              </w:rPr>
                                            </w:pPr>
                                            <w:r w:rsidRPr="00BD1285">
                                              <w:rPr>
                                                <w:color w:val="000000"/>
                                                <w:sz w:val="18"/>
                                                <w14:reflection w14:blurRad="0" w14:stA="50000" w14:stPos="0" w14:endA="0" w14:endPos="0" w14:dist="0" w14:dir="0" w14:fadeDir="0" w14:sx="0" w14:sy="0" w14:kx="0" w14:ky="0" w14:algn="b"/>
                                              </w:rPr>
                                              <w:t>CR&lt;10%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98" name="Down Arrow 498"/>
                                      <wps:cNvSpPr/>
                                      <wps:spPr>
                                        <a:xfrm>
                                          <a:off x="3415444" y="6459322"/>
                                          <a:ext cx="158172" cy="126051"/>
                                        </a:xfrm>
                                        <a:prstGeom prst="downArrow">
                                          <a:avLst>
                                            <a:gd name="adj1" fmla="val 10682"/>
                                            <a:gd name="adj2" fmla="val 43203"/>
                                          </a:avLst>
                                        </a:prstGeom>
                                        <a:solidFill>
                                          <a:sysClr val="windowText" lastClr="000000"/>
                                        </a:solidFill>
                                        <a:ln w="12700" cap="flat" cmpd="sng" algn="ctr">
                                          <a:solidFill>
                                            <a:schemeClr val="tx1"/>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99" name="Flowchart: Alternate Process 499"/>
                                      <wps:cNvSpPr/>
                                      <wps:spPr>
                                        <a:xfrm>
                                          <a:off x="1108889" y="6543623"/>
                                          <a:ext cx="625029" cy="266701"/>
                                        </a:xfrm>
                                        <a:prstGeom prst="flowChartAlternateProcess">
                                          <a:avLst/>
                                        </a:prstGeom>
                                        <a:solidFill>
                                          <a:sysClr val="window" lastClr="FFFFFF"/>
                                        </a:solidFill>
                                        <a:ln w="12700" cap="flat" cmpd="sng" algn="ctr">
                                          <a:solidFill>
                                            <a:schemeClr val="tx1"/>
                                          </a:solidFill>
                                          <a:prstDash val="solid"/>
                                          <a:miter lim="800000"/>
                                        </a:ln>
                                        <a:effectLst/>
                                      </wps:spPr>
                                      <wps:txbx>
                                        <w:txbxContent>
                                          <w:p w:rsidR="00B24F7C" w:rsidRPr="00BD1285" w:rsidRDefault="00B24F7C" w:rsidP="00317698">
                                            <w:pPr>
                                              <w:spacing w:before="0" w:after="0" w:line="240" w:lineRule="auto"/>
                                              <w:jc w:val="center"/>
                                              <w:rPr>
                                                <w:color w:val="000000"/>
                                                <w:sz w:val="18"/>
                                                <w14:reflection w14:blurRad="0" w14:stA="50000" w14:stPos="0" w14:endA="0" w14:endPos="0" w14:dist="0" w14:dir="0" w14:fadeDir="0" w14:sx="0" w14:sy="0" w14:kx="0" w14:ky="0" w14:algn="b"/>
                                              </w:rPr>
                                            </w:pPr>
                                            <w:r w:rsidRPr="00BD1285">
                                              <w:rPr>
                                                <w:color w:val="000000"/>
                                                <w:sz w:val="18"/>
                                                <w14:reflection w14:blurRad="0" w14:stA="50000" w14:stPos="0" w14:endA="0" w14:endPos="0" w14:dist="0" w14:dir="0" w14:fadeDir="0" w14:sx="0" w14:sy="0" w14:kx="0" w14:ky="0" w14:algn="b"/>
                                              </w:rPr>
                                              <w:t>NO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00" name="Flowchart: Alternate Process 500"/>
                                      <wps:cNvSpPr/>
                                      <wps:spPr>
                                        <a:xfrm>
                                          <a:off x="3205522" y="7015404"/>
                                          <a:ext cx="627859" cy="266701"/>
                                        </a:xfrm>
                                        <a:prstGeom prst="flowChartAlternateProcess">
                                          <a:avLst/>
                                        </a:prstGeom>
                                        <a:solidFill>
                                          <a:sysClr val="window" lastClr="FFFFFF"/>
                                        </a:solidFill>
                                        <a:ln w="12700" cap="flat" cmpd="sng" algn="ctr">
                                          <a:solidFill>
                                            <a:schemeClr val="tx1"/>
                                          </a:solidFill>
                                          <a:prstDash val="solid"/>
                                          <a:miter lim="800000"/>
                                        </a:ln>
                                        <a:effectLst/>
                                      </wps:spPr>
                                      <wps:txbx>
                                        <w:txbxContent>
                                          <w:p w:rsidR="00B24F7C" w:rsidRPr="00BD1285" w:rsidRDefault="00B24F7C" w:rsidP="00317698">
                                            <w:pPr>
                                              <w:spacing w:before="0" w:after="0" w:line="240" w:lineRule="auto"/>
                                              <w:jc w:val="center"/>
                                              <w:rPr>
                                                <w:color w:val="000000"/>
                                                <w:sz w:val="18"/>
                                                <w14:reflection w14:blurRad="0" w14:stA="50000" w14:stPos="0" w14:endA="0" w14:endPos="0" w14:dist="0" w14:dir="0" w14:fadeDir="0" w14:sx="0" w14:sy="0" w14:kx="0" w14:ky="0" w14:algn="b"/>
                                              </w:rPr>
                                            </w:pPr>
                                            <w:r w:rsidRPr="00BD1285">
                                              <w:rPr>
                                                <w:color w:val="000000"/>
                                                <w:sz w:val="18"/>
                                                <w14:reflection w14:blurRad="0" w14:stA="50000" w14:stPos="0" w14:endA="0" w14:endPos="0" w14:dist="0" w14:dir="0" w14:fadeDir="0" w14:sx="0" w14:sy="0" w14:kx="0" w14:ky="0" w14:algn="b"/>
                                              </w:rPr>
                                              <w:t>YES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01" name="Down Arrow 501"/>
                                      <wps:cNvSpPr/>
                                      <wps:spPr>
                                        <a:xfrm rot="16200000">
                                          <a:off x="1590395" y="5678593"/>
                                          <a:ext cx="88834" cy="492385"/>
                                        </a:xfrm>
                                        <a:prstGeom prst="downArrow">
                                          <a:avLst>
                                            <a:gd name="adj1" fmla="val 10682"/>
                                            <a:gd name="adj2" fmla="val 123356"/>
                                          </a:avLst>
                                        </a:prstGeom>
                                        <a:solidFill>
                                          <a:sysClr val="windowText" lastClr="000000"/>
                                        </a:solidFill>
                                        <a:ln w="12700" cap="flat" cmpd="sng" algn="ctr">
                                          <a:solidFill>
                                            <a:schemeClr val="tx1"/>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02" name="Straight Connector 502"/>
                                      <wps:cNvCnPr/>
                                      <wps:spPr>
                                        <a:xfrm>
                                          <a:off x="1385591" y="5909986"/>
                                          <a:ext cx="9939" cy="646043"/>
                                        </a:xfrm>
                                        <a:prstGeom prst="line">
                                          <a:avLst/>
                                        </a:prstGeom>
                                        <a:noFill/>
                                        <a:ln w="12700" cap="flat" cmpd="sng" algn="ctr">
                                          <a:solidFill>
                                            <a:schemeClr val="tx1"/>
                                          </a:solidFill>
                                          <a:prstDash val="solid"/>
                                          <a:miter lim="800000"/>
                                        </a:ln>
                                        <a:effectLst/>
                                      </wps:spPr>
                                      <wps:bodyPr/>
                                    </wps:wsp>
                                    <wps:wsp>
                                      <wps:cNvPr id="503" name="Down Arrow 503"/>
                                      <wps:cNvSpPr/>
                                      <wps:spPr>
                                        <a:xfrm rot="5400000">
                                          <a:off x="5693650" y="7223762"/>
                                          <a:ext cx="85725" cy="1793875"/>
                                        </a:xfrm>
                                        <a:prstGeom prst="downArrow">
                                          <a:avLst>
                                            <a:gd name="adj1" fmla="val 10682"/>
                                            <a:gd name="adj2" fmla="val 123356"/>
                                          </a:avLst>
                                        </a:prstGeom>
                                        <a:solidFill>
                                          <a:sysClr val="windowText" lastClr="000000"/>
                                        </a:solidFill>
                                        <a:ln w="12700" cap="flat" cmpd="sng" algn="ctr">
                                          <a:solidFill>
                                            <a:schemeClr val="tx1"/>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04" name="Down Arrow 504"/>
                                      <wps:cNvSpPr/>
                                      <wps:spPr>
                                        <a:xfrm rot="5400000">
                                          <a:off x="2425002" y="6009450"/>
                                          <a:ext cx="63255" cy="1407373"/>
                                        </a:xfrm>
                                        <a:prstGeom prst="downArrow">
                                          <a:avLst>
                                            <a:gd name="adj1" fmla="val 10682"/>
                                            <a:gd name="adj2" fmla="val 123356"/>
                                          </a:avLst>
                                        </a:prstGeom>
                                        <a:solidFill>
                                          <a:sysClr val="windowText" lastClr="000000"/>
                                        </a:solidFill>
                                        <a:ln w="12700" cap="flat" cmpd="sng" algn="ctr">
                                          <a:solidFill>
                                            <a:schemeClr val="tx1"/>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05" name="Flowchart: Alternate Process 505"/>
                                      <wps:cNvSpPr/>
                                      <wps:spPr>
                                        <a:xfrm>
                                          <a:off x="2743375" y="7518977"/>
                                          <a:ext cx="1628488" cy="266701"/>
                                        </a:xfrm>
                                        <a:prstGeom prst="flowChartAlternateProcess">
                                          <a:avLst/>
                                        </a:prstGeom>
                                        <a:solidFill>
                                          <a:sysClr val="window" lastClr="FFFFFF"/>
                                        </a:solidFill>
                                        <a:ln w="12700" cap="flat" cmpd="sng" algn="ctr">
                                          <a:solidFill>
                                            <a:schemeClr val="tx1"/>
                                          </a:solidFill>
                                          <a:prstDash val="solid"/>
                                          <a:miter lim="800000"/>
                                        </a:ln>
                                        <a:effectLst/>
                                      </wps:spPr>
                                      <wps:txbx>
                                        <w:txbxContent>
                                          <w:p w:rsidR="00B24F7C" w:rsidRPr="00BD1285" w:rsidRDefault="00B24F7C" w:rsidP="00317698">
                                            <w:pPr>
                                              <w:spacing w:before="0" w:after="0" w:line="240" w:lineRule="auto"/>
                                              <w:jc w:val="center"/>
                                              <w:rPr>
                                                <w:color w:val="000000"/>
                                                <w:sz w:val="18"/>
                                                <w14:reflection w14:blurRad="0" w14:stA="50000" w14:stPos="0" w14:endA="0" w14:endPos="0" w14:dist="0" w14:dir="0" w14:fadeDir="0" w14:sx="0" w14:sy="0" w14:kx="0" w14:ky="0" w14:algn="b"/>
                                              </w:rPr>
                                            </w:pPr>
                                            <w:r w:rsidRPr="00BD1285">
                                              <w:rPr>
                                                <w:color w:val="000000"/>
                                                <w:sz w:val="18"/>
                                                <w14:reflection w14:blurRad="0" w14:stA="50000" w14:stPos="0" w14:endA="0" w14:endPos="0" w14:dist="0" w14:dir="0" w14:fadeDir="0" w14:sx="0" w14:sy="0" w14:kx="0" w14:ky="0" w14:algn="b"/>
                                              </w:rPr>
                                              <w:t>Weight overlay analysis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06" name="Rectangle 506"/>
                                      <wps:cNvSpPr/>
                                      <wps:spPr>
                                        <a:xfrm>
                                          <a:off x="175564" y="5588813"/>
                                          <a:ext cx="6370955" cy="2718148"/>
                                        </a:xfrm>
                                        <a:prstGeom prst="rect">
                                          <a:avLst/>
                                        </a:prstGeom>
                                        <a:noFill/>
                                        <a:ln w="12700" cap="flat" cmpd="sng" algn="ctr">
                                          <a:solidFill>
                                            <a:schemeClr val="tx1"/>
                                          </a:solidFill>
                                          <a:prstDash val="dash"/>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07" name="Text Box 507"/>
                                      <wps:cNvSpPr txBox="1"/>
                                      <wps:spPr>
                                        <a:xfrm rot="16200000">
                                          <a:off x="-504749" y="6620256"/>
                                          <a:ext cx="1814195" cy="357505"/>
                                        </a:xfrm>
                                        <a:prstGeom prst="rect">
                                          <a:avLst/>
                                        </a:prstGeom>
                                        <a:solidFill>
                                          <a:sysClr val="window" lastClr="FFFFFF"/>
                                        </a:solidFill>
                                        <a:ln w="12700" cap="flat" cmpd="sng" algn="ctr">
                                          <a:solidFill>
                                            <a:schemeClr val="tx1"/>
                                          </a:solidFill>
                                          <a:prstDash val="solid"/>
                                          <a:miter lim="800000"/>
                                        </a:ln>
                                        <a:effectLst/>
                                      </wps:spPr>
                                      <wps:txbx>
                                        <w:txbxContent>
                                          <w:p w:rsidR="00B24F7C" w:rsidRPr="00E54493" w:rsidRDefault="00B24F7C" w:rsidP="00317698">
                                            <w:pPr>
                                              <w:spacing w:before="0" w:after="0" w:line="240" w:lineRule="auto"/>
                                              <w:jc w:val="center"/>
                                              <w:rPr>
                                                <w:b/>
                                              </w:rPr>
                                            </w:pPr>
                                            <w:r>
                                              <w:rPr>
                                                <w:b/>
                                              </w:rPr>
                                              <w:t>MCDA__AHP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08" name="Down Arrow 508"/>
                                      <wps:cNvSpPr/>
                                      <wps:spPr>
                                        <a:xfrm>
                                          <a:off x="3482035" y="7282105"/>
                                          <a:ext cx="99060" cy="228600"/>
                                        </a:xfrm>
                                        <a:prstGeom prst="downArrow">
                                          <a:avLst>
                                            <a:gd name="adj1" fmla="val 10682"/>
                                            <a:gd name="adj2" fmla="val 153548"/>
                                          </a:avLst>
                                        </a:prstGeom>
                                        <a:solidFill>
                                          <a:sysClr val="windowText" lastClr="000000"/>
                                        </a:solidFill>
                                        <a:ln w="12700" cap="flat" cmpd="sng" algn="ctr">
                                          <a:solidFill>
                                            <a:schemeClr val="tx1"/>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09" name="Down Arrow 509"/>
                                      <wps:cNvSpPr/>
                                      <wps:spPr>
                                        <a:xfrm>
                                          <a:off x="3459700" y="6867099"/>
                                          <a:ext cx="126443" cy="134866"/>
                                        </a:xfrm>
                                        <a:prstGeom prst="downArrow">
                                          <a:avLst>
                                            <a:gd name="adj1" fmla="val 10682"/>
                                            <a:gd name="adj2" fmla="val 43203"/>
                                          </a:avLst>
                                        </a:prstGeom>
                                        <a:solidFill>
                                          <a:sysClr val="windowText" lastClr="000000"/>
                                        </a:solidFill>
                                        <a:ln w="12700" cap="flat" cmpd="sng" algn="ctr">
                                          <a:solidFill>
                                            <a:schemeClr val="tx1"/>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0" name="Down Arrow 510"/>
                                      <wps:cNvSpPr/>
                                      <wps:spPr>
                                        <a:xfrm>
                                          <a:off x="3488072" y="7785678"/>
                                          <a:ext cx="85149" cy="185667"/>
                                        </a:xfrm>
                                        <a:prstGeom prst="downArrow">
                                          <a:avLst>
                                            <a:gd name="adj1" fmla="val 10682"/>
                                            <a:gd name="adj2" fmla="val 153548"/>
                                          </a:avLst>
                                        </a:prstGeom>
                                        <a:solidFill>
                                          <a:sysClr val="windowText" lastClr="000000"/>
                                        </a:solidFill>
                                        <a:ln w="12700" cap="flat" cmpd="sng" algn="ctr">
                                          <a:solidFill>
                                            <a:schemeClr val="tx1"/>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1" name="Flowchart: Alternate Process 511"/>
                                      <wps:cNvSpPr/>
                                      <wps:spPr>
                                        <a:xfrm>
                                          <a:off x="526679" y="7842607"/>
                                          <a:ext cx="1310640" cy="411666"/>
                                        </a:xfrm>
                                        <a:prstGeom prst="flowChartAlternateProcess">
                                          <a:avLst/>
                                        </a:prstGeom>
                                        <a:solidFill>
                                          <a:sysClr val="window" lastClr="FFFFFF"/>
                                        </a:solidFill>
                                        <a:ln w="12700" cap="flat" cmpd="sng" algn="ctr">
                                          <a:solidFill>
                                            <a:schemeClr val="tx1"/>
                                          </a:solidFill>
                                          <a:prstDash val="solid"/>
                                          <a:miter lim="800000"/>
                                        </a:ln>
                                        <a:effectLst/>
                                      </wps:spPr>
                                      <wps:txbx>
                                        <w:txbxContent>
                                          <w:p w:rsidR="00B24F7C" w:rsidRPr="00BD1285" w:rsidRDefault="00B24F7C" w:rsidP="00317698">
                                            <w:pPr>
                                              <w:spacing w:before="0" w:after="0" w:line="240" w:lineRule="auto"/>
                                              <w:jc w:val="center"/>
                                              <w:rPr>
                                                <w:color w:val="000000"/>
                                                <w:sz w:val="18"/>
                                                <w14:reflection w14:blurRad="0" w14:stA="50000" w14:stPos="0" w14:endA="0" w14:endPos="0" w14:dist="0" w14:dir="0" w14:fadeDir="0" w14:sx="0" w14:sy="0" w14:kx="0" w14:ky="0" w14:algn="b"/>
                                              </w:rPr>
                                            </w:pPr>
                                            <w:r w:rsidRPr="00BD1285">
                                              <w:rPr>
                                                <w:color w:val="000000"/>
                                                <w:sz w:val="18"/>
                                                <w14:reflection w14:blurRad="0" w14:stA="50000" w14:stPos="0" w14:endA="0" w14:endPos="0" w14:dist="0" w14:dir="0" w14:fadeDir="0" w14:sx="0" w14:sy="0" w14:kx="0" w14:ky="0" w14:algn="b"/>
                                              </w:rPr>
                                              <w:t>If verification is failed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2" name="Down Arrow 512"/>
                                      <wps:cNvSpPr/>
                                      <wps:spPr>
                                        <a:xfrm rot="5400000">
                                          <a:off x="1887321" y="8032090"/>
                                          <a:ext cx="80645" cy="167005"/>
                                        </a:xfrm>
                                        <a:prstGeom prst="downArrow">
                                          <a:avLst>
                                            <a:gd name="adj1" fmla="val 10682"/>
                                            <a:gd name="adj2" fmla="val 123356"/>
                                          </a:avLst>
                                        </a:prstGeom>
                                        <a:solidFill>
                                          <a:sysClr val="windowText" lastClr="000000"/>
                                        </a:solidFill>
                                        <a:ln w="12700" cap="flat" cmpd="sng" algn="ctr">
                                          <a:solidFill>
                                            <a:schemeClr val="tx1"/>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3" name="Straight Connector 513"/>
                                      <wps:cNvCnPr/>
                                      <wps:spPr>
                                        <a:xfrm>
                                          <a:off x="25052" y="8075980"/>
                                          <a:ext cx="515620" cy="3810"/>
                                        </a:xfrm>
                                        <a:prstGeom prst="line">
                                          <a:avLst/>
                                        </a:prstGeom>
                                        <a:noFill/>
                                        <a:ln w="12700" cap="flat" cmpd="sng" algn="ctr">
                                          <a:solidFill>
                                            <a:schemeClr val="tx1"/>
                                          </a:solidFill>
                                          <a:prstDash val="sysDot"/>
                                          <a:miter lim="800000"/>
                                        </a:ln>
                                        <a:effectLst/>
                                      </wps:spPr>
                                      <wps:bodyPr/>
                                    </wps:wsp>
                                    <wps:wsp>
                                      <wps:cNvPr id="514" name="Down Arrow 514"/>
                                      <wps:cNvSpPr/>
                                      <wps:spPr>
                                        <a:xfrm rot="16200000">
                                          <a:off x="899771" y="4862973"/>
                                          <a:ext cx="84496" cy="1877973"/>
                                        </a:xfrm>
                                        <a:prstGeom prst="downArrow">
                                          <a:avLst>
                                            <a:gd name="adj1" fmla="val 10682"/>
                                            <a:gd name="adj2" fmla="val 123356"/>
                                          </a:avLst>
                                        </a:prstGeom>
                                        <a:solidFill>
                                          <a:sysClr val="window" lastClr="FFFFFF"/>
                                        </a:solidFill>
                                        <a:ln w="12700" cap="flat" cmpd="sng" algn="ctr">
                                          <a:solidFill>
                                            <a:schemeClr val="tx1"/>
                                          </a:solidFill>
                                          <a:prstDash val="sysDot"/>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5" name="Flowchart: Alternate Process 515"/>
                                      <wps:cNvSpPr/>
                                      <wps:spPr>
                                        <a:xfrm>
                                          <a:off x="4542908" y="6826592"/>
                                          <a:ext cx="1732929" cy="875951"/>
                                        </a:xfrm>
                                        <a:prstGeom prst="flowChartAlternateProcess">
                                          <a:avLst/>
                                        </a:prstGeom>
                                        <a:solidFill>
                                          <a:sysClr val="window" lastClr="FFFFFF"/>
                                        </a:solidFill>
                                        <a:ln w="12700" cap="flat" cmpd="sng" algn="ctr">
                                          <a:solidFill>
                                            <a:schemeClr val="tx1"/>
                                          </a:solidFill>
                                          <a:prstDash val="solid"/>
                                          <a:miter lim="800000"/>
                                        </a:ln>
                                        <a:effectLst/>
                                      </wps:spPr>
                                      <wps:txbx>
                                        <w:txbxContent>
                                          <w:p w:rsidR="00B24F7C" w:rsidRPr="00BD1285" w:rsidRDefault="00B24F7C" w:rsidP="00317698">
                                            <w:pPr>
                                              <w:spacing w:before="0" w:after="0" w:line="240" w:lineRule="auto"/>
                                              <w:jc w:val="center"/>
                                              <w:rPr>
                                                <w:color w:val="000000"/>
                                                <w14:reflection w14:blurRad="0" w14:stA="50000" w14:stPos="0" w14:endA="0" w14:endPos="0" w14:dist="0" w14:dir="0" w14:fadeDir="0" w14:sx="0" w14:sy="0" w14:kx="0" w14:ky="0" w14:algn="b"/>
                                              </w:rPr>
                                            </w:pPr>
                                            <w:r w:rsidRPr="00BD1285">
                                              <w:rPr>
                                                <w:color w:val="000000"/>
                                                <w14:reflection w14:blurRad="0" w14:stA="50000" w14:stPos="0" w14:endA="0" w14:endPos="0" w14:dist="0" w14:dir="0" w14:fadeDir="0" w14:sx="0" w14:sy="0" w14:kx="0" w14:ky="0" w14:algn="b"/>
                                              </w:rPr>
                                              <w:t>Mapping groundwater flow direction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6" name="Down Arrow 516"/>
                                      <wps:cNvSpPr/>
                                      <wps:spPr>
                                        <a:xfrm rot="5400000">
                                          <a:off x="6412764" y="7070824"/>
                                          <a:ext cx="95691" cy="345580"/>
                                        </a:xfrm>
                                        <a:prstGeom prst="downArrow">
                                          <a:avLst>
                                            <a:gd name="adj1" fmla="val 10682"/>
                                            <a:gd name="adj2" fmla="val 43203"/>
                                          </a:avLst>
                                        </a:prstGeom>
                                        <a:solidFill>
                                          <a:sysClr val="windowText" lastClr="000000"/>
                                        </a:solidFill>
                                        <a:ln w="12700" cap="flat" cmpd="sng" algn="ctr">
                                          <a:solidFill>
                                            <a:schemeClr val="tx1"/>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517" name="Group 517"/>
                                      <wpg:cNvGrpSpPr/>
                                      <wpg:grpSpPr>
                                        <a:xfrm>
                                          <a:off x="156327" y="0"/>
                                          <a:ext cx="6396488" cy="5557530"/>
                                          <a:chOff x="-11922" y="0"/>
                                          <a:chExt cx="6396488" cy="5557530"/>
                                        </a:xfrm>
                                      </wpg:grpSpPr>
                                      <wpg:grpSp>
                                        <wpg:cNvPr id="518" name="Group 518"/>
                                        <wpg:cNvGrpSpPr/>
                                        <wpg:grpSpPr>
                                          <a:xfrm>
                                            <a:off x="-11922" y="0"/>
                                            <a:ext cx="6396488" cy="892455"/>
                                            <a:chOff x="-370367" y="0"/>
                                            <a:chExt cx="6396488" cy="892455"/>
                                          </a:xfrm>
                                        </wpg:grpSpPr>
                                        <wps:wsp>
                                          <wps:cNvPr id="519" name="Text Box 519"/>
                                          <wps:cNvSpPr txBox="1"/>
                                          <wps:spPr>
                                            <a:xfrm>
                                              <a:off x="599846" y="570586"/>
                                              <a:ext cx="1301750" cy="293802"/>
                                            </a:xfrm>
                                            <a:prstGeom prst="rect">
                                              <a:avLst/>
                                            </a:prstGeom>
                                            <a:noFill/>
                                            <a:ln w="12700" cap="flat" cmpd="sng" algn="ctr">
                                              <a:solidFill>
                                                <a:schemeClr val="tx1"/>
                                              </a:solidFill>
                                              <a:prstDash val="solid"/>
                                              <a:miter lim="800000"/>
                                            </a:ln>
                                            <a:effectLst/>
                                          </wps:spPr>
                                          <wps:txbx>
                                            <w:txbxContent>
                                              <w:p w:rsidR="00B24F7C" w:rsidRPr="00EE7DDE" w:rsidRDefault="00B24F7C" w:rsidP="00317698">
                                                <w:pPr>
                                                  <w:spacing w:before="0" w:after="0" w:line="240" w:lineRule="auto"/>
                                                  <w:jc w:val="center"/>
                                                  <w:rPr>
                                                    <w:sz w:val="22"/>
                                                  </w:rPr>
                                                </w:pPr>
                                                <w:r w:rsidRPr="00EE7DDE">
                                                  <w:rPr>
                                                    <w:sz w:val="22"/>
                                                  </w:rPr>
                                                  <w:t>Landsat8 Image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20" name="Text Box 520"/>
                                          <wps:cNvSpPr txBox="1"/>
                                          <wps:spPr>
                                            <a:xfrm>
                                              <a:off x="3430829" y="395021"/>
                                              <a:ext cx="2275205" cy="436601"/>
                                            </a:xfrm>
                                            <a:prstGeom prst="rect">
                                              <a:avLst/>
                                            </a:prstGeom>
                                            <a:solidFill>
                                              <a:sysClr val="window" lastClr="FFFFFF"/>
                                            </a:solidFill>
                                            <a:ln w="12700" cap="flat" cmpd="sng" algn="ctr">
                                              <a:solidFill>
                                                <a:schemeClr val="tx1"/>
                                              </a:solidFill>
                                              <a:prstDash val="solid"/>
                                              <a:miter lim="800000"/>
                                            </a:ln>
                                            <a:effectLst/>
                                          </wps:spPr>
                                          <wps:txbx>
                                            <w:txbxContent>
                                              <w:p w:rsidR="00B24F7C" w:rsidRPr="002733F7" w:rsidRDefault="00B24F7C" w:rsidP="00317698">
                                                <w:pPr>
                                                  <w:spacing w:before="0" w:after="0" w:line="240" w:lineRule="auto"/>
                                                  <w:jc w:val="center"/>
                                                  <w:rPr>
                                                    <w:sz w:val="18"/>
                                                    <w:szCs w:val="18"/>
                                                  </w:rPr>
                                                </w:pPr>
                                                <w:r w:rsidRPr="002733F7">
                                                  <w:rPr>
                                                    <w:sz w:val="18"/>
                                                    <w:szCs w:val="18"/>
                                                  </w:rPr>
                                                  <w:t>Auxiliary data</w:t>
                                                </w:r>
                                              </w:p>
                                              <w:p w:rsidR="00B24F7C" w:rsidRPr="002733F7" w:rsidRDefault="00B24F7C" w:rsidP="00317698">
                                                <w:pPr>
                                                  <w:spacing w:before="0" w:after="0" w:line="240" w:lineRule="auto"/>
                                                  <w:jc w:val="center"/>
                                                  <w:rPr>
                                                    <w:sz w:val="18"/>
                                                    <w:szCs w:val="18"/>
                                                  </w:rPr>
                                                </w:pPr>
                                                <w:r w:rsidRPr="002733F7">
                                                  <w:rPr>
                                                    <w:sz w:val="18"/>
                                                    <w:szCs w:val="18"/>
                                                  </w:rPr>
                                                  <w:t>Geology, Rainfall, GPS data, Soil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1" name="Text Box 521"/>
                                          <wps:cNvSpPr txBox="1"/>
                                          <wps:spPr>
                                            <a:xfrm>
                                              <a:off x="1989734" y="563271"/>
                                              <a:ext cx="993140" cy="267385"/>
                                            </a:xfrm>
                                            <a:prstGeom prst="rect">
                                              <a:avLst/>
                                            </a:prstGeom>
                                            <a:noFill/>
                                            <a:ln w="12700" cap="flat" cmpd="sng" algn="ctr">
                                              <a:solidFill>
                                                <a:schemeClr val="tx1"/>
                                              </a:solidFill>
                                              <a:prstDash val="solid"/>
                                              <a:miter lim="800000"/>
                                            </a:ln>
                                            <a:effectLst/>
                                          </wps:spPr>
                                          <wps:txbx>
                                            <w:txbxContent>
                                              <w:p w:rsidR="00B24F7C" w:rsidRPr="002733F7" w:rsidRDefault="00B24F7C" w:rsidP="00317698">
                                                <w:pPr>
                                                  <w:spacing w:before="0" w:after="0" w:line="240" w:lineRule="auto"/>
                                                  <w:rPr>
                                                    <w:sz w:val="18"/>
                                                  </w:rPr>
                                                </w:pPr>
                                                <w:r w:rsidRPr="002733F7">
                                                  <w:rPr>
                                                    <w:sz w:val="18"/>
                                                  </w:rPr>
                                                  <w:t>SRTM DEM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22" name="Text Box 522"/>
                                          <wps:cNvSpPr txBox="1"/>
                                          <wps:spPr>
                                            <a:xfrm>
                                              <a:off x="1960474" y="51191"/>
                                              <a:ext cx="2055762" cy="285308"/>
                                            </a:xfrm>
                                            <a:prstGeom prst="rect">
                                              <a:avLst/>
                                            </a:prstGeom>
                                            <a:solidFill>
                                              <a:sysClr val="window" lastClr="FFFFFF"/>
                                            </a:solidFill>
                                            <a:ln w="12700" cap="flat" cmpd="sng" algn="ctr">
                                              <a:solidFill>
                                                <a:schemeClr val="tx1"/>
                                              </a:solidFill>
                                              <a:prstDash val="solid"/>
                                              <a:miter lim="800000"/>
                                            </a:ln>
                                            <a:effectLst/>
                                          </wps:spPr>
                                          <wps:txbx>
                                            <w:txbxContent>
                                              <w:p w:rsidR="00B24F7C" w:rsidRPr="008A25A4" w:rsidRDefault="00B24F7C" w:rsidP="00317698">
                                                <w:pPr>
                                                  <w:spacing w:before="0" w:after="0" w:line="240" w:lineRule="auto"/>
                                                  <w:jc w:val="center"/>
                                                  <w:rPr>
                                                    <w:b/>
                                                    <w:sz w:val="22"/>
                                                  </w:rPr>
                                                </w:pPr>
                                                <w:r>
                                                  <w:rPr>
                                                    <w:b/>
                                                    <w:sz w:val="22"/>
                                                  </w:rPr>
                                                  <w:t xml:space="preserve">Data </w:t>
                                                </w:r>
                                                <w:r w:rsidRPr="008A25A4">
                                                  <w:rPr>
                                                    <w:b/>
                                                    <w:sz w:val="22"/>
                                                  </w:rPr>
                                                  <w:t>collection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23" name="Rectangle 523"/>
                                          <wps:cNvSpPr/>
                                          <wps:spPr>
                                            <a:xfrm>
                                              <a:off x="-370367" y="0"/>
                                              <a:ext cx="6396488" cy="892455"/>
                                            </a:xfrm>
                                            <a:prstGeom prst="rect">
                                              <a:avLst/>
                                            </a:prstGeom>
                                            <a:noFill/>
                                            <a:ln w="12700" cap="flat" cmpd="sng" algn="ctr">
                                              <a:solidFill>
                                                <a:schemeClr val="tx1"/>
                                              </a:solidFill>
                                              <a:prstDash val="dash"/>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524" name="Group 524"/>
                                        <wpg:cNvGrpSpPr/>
                                        <wpg:grpSpPr>
                                          <a:xfrm>
                                            <a:off x="-6" y="804672"/>
                                            <a:ext cx="6370983" cy="4752858"/>
                                            <a:chOff x="-6" y="0"/>
                                            <a:chExt cx="6370983" cy="4752858"/>
                                          </a:xfrm>
                                        </wpg:grpSpPr>
                                        <wps:wsp>
                                          <wps:cNvPr id="525" name="Straight Connector 525"/>
                                          <wps:cNvCnPr/>
                                          <wps:spPr>
                                            <a:xfrm>
                                              <a:off x="2911450" y="43891"/>
                                              <a:ext cx="0" cy="1492181"/>
                                            </a:xfrm>
                                            <a:prstGeom prst="line">
                                              <a:avLst/>
                                            </a:prstGeom>
                                            <a:noFill/>
                                            <a:ln w="12700" cap="flat" cmpd="sng" algn="ctr">
                                              <a:solidFill>
                                                <a:schemeClr val="tx1"/>
                                              </a:solidFill>
                                              <a:prstDash val="solid"/>
                                              <a:miter lim="800000"/>
                                            </a:ln>
                                            <a:effectLst/>
                                          </wps:spPr>
                                          <wps:bodyPr/>
                                        </wps:wsp>
                                        <wps:wsp>
                                          <wps:cNvPr id="526" name="Isosceles Triangle 526"/>
                                          <wps:cNvSpPr/>
                                          <wps:spPr>
                                            <a:xfrm rot="5400000">
                                              <a:off x="2911450" y="373075"/>
                                              <a:ext cx="72390" cy="59690"/>
                                            </a:xfrm>
                                            <a:prstGeom prst="triangle">
                                              <a:avLst/>
                                            </a:prstGeom>
                                            <a:solidFill>
                                              <a:sysClr val="windowText" lastClr="000000"/>
                                            </a:solidFill>
                                            <a:ln w="12700" cap="flat" cmpd="sng" algn="ctr">
                                              <a:solidFill>
                                                <a:schemeClr val="tx1"/>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7" name="Isosceles Triangle 527"/>
                                          <wps:cNvSpPr/>
                                          <wps:spPr>
                                            <a:xfrm rot="5400000">
                                              <a:off x="2907793" y="720547"/>
                                              <a:ext cx="77302" cy="64771"/>
                                            </a:xfrm>
                                            <a:prstGeom prst="triangle">
                                              <a:avLst/>
                                            </a:prstGeom>
                                            <a:solidFill>
                                              <a:sysClr val="windowText" lastClr="000000"/>
                                            </a:solidFill>
                                            <a:ln w="12700" cap="flat" cmpd="sng" algn="ctr">
                                              <a:solidFill>
                                                <a:schemeClr val="tx1"/>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8" name="Isosceles Triangle 528"/>
                                          <wps:cNvSpPr/>
                                          <wps:spPr>
                                            <a:xfrm rot="5400000">
                                              <a:off x="2911449" y="1170433"/>
                                              <a:ext cx="64772" cy="50446"/>
                                            </a:xfrm>
                                            <a:prstGeom prst="triangle">
                                              <a:avLst/>
                                            </a:prstGeom>
                                            <a:solidFill>
                                              <a:sysClr val="windowText" lastClr="000000"/>
                                            </a:solidFill>
                                            <a:ln w="12700" cap="flat" cmpd="sng" algn="ctr">
                                              <a:solidFill>
                                                <a:schemeClr val="tx1"/>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9" name="Down Arrow 529"/>
                                          <wps:cNvSpPr/>
                                          <wps:spPr>
                                            <a:xfrm>
                                              <a:off x="1382574" y="59715"/>
                                              <a:ext cx="54595" cy="221589"/>
                                            </a:xfrm>
                                            <a:prstGeom prst="downArrow">
                                              <a:avLst>
                                                <a:gd name="adj1" fmla="val 10682"/>
                                                <a:gd name="adj2" fmla="val 77872"/>
                                              </a:avLst>
                                            </a:prstGeom>
                                            <a:solidFill>
                                              <a:sysClr val="windowText" lastClr="000000"/>
                                            </a:solidFill>
                                            <a:ln w="12700" cap="flat" cmpd="sng" algn="ctr">
                                              <a:solidFill>
                                                <a:schemeClr val="tx1"/>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0" name="Down Arrow 530"/>
                                          <wps:cNvSpPr/>
                                          <wps:spPr>
                                            <a:xfrm>
                                              <a:off x="3291840" y="1741018"/>
                                              <a:ext cx="114300" cy="76200"/>
                                            </a:xfrm>
                                            <a:prstGeom prst="downArrow">
                                              <a:avLst>
                                                <a:gd name="adj1" fmla="val 10682"/>
                                                <a:gd name="adj2" fmla="val 43203"/>
                                              </a:avLst>
                                            </a:prstGeom>
                                            <a:solidFill>
                                              <a:sysClr val="windowText" lastClr="000000"/>
                                            </a:solidFill>
                                            <a:ln w="12700" cap="flat" cmpd="sng" algn="ctr">
                                              <a:solidFill>
                                                <a:schemeClr val="tx1"/>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1" name="Isosceles Triangle 531"/>
                                          <wps:cNvSpPr/>
                                          <wps:spPr>
                                            <a:xfrm rot="5400000">
                                              <a:off x="2896820" y="1463040"/>
                                              <a:ext cx="82530" cy="57544"/>
                                            </a:xfrm>
                                            <a:prstGeom prst="triangle">
                                              <a:avLst/>
                                            </a:prstGeom>
                                            <a:solidFill>
                                              <a:sysClr val="windowText" lastClr="000000"/>
                                            </a:solidFill>
                                            <a:ln w="12700" cap="flat" cmpd="sng" algn="ctr">
                                              <a:solidFill>
                                                <a:schemeClr val="tx1"/>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2" name="Straight Connector 532"/>
                                          <wps:cNvCnPr/>
                                          <wps:spPr>
                                            <a:xfrm>
                                              <a:off x="3862426" y="365760"/>
                                              <a:ext cx="0" cy="1657350"/>
                                            </a:xfrm>
                                            <a:prstGeom prst="line">
                                              <a:avLst/>
                                            </a:prstGeom>
                                            <a:noFill/>
                                            <a:ln w="12700" cap="flat" cmpd="sng" algn="ctr">
                                              <a:solidFill>
                                                <a:schemeClr val="tx1"/>
                                              </a:solidFill>
                                              <a:prstDash val="solid"/>
                                              <a:miter lim="800000"/>
                                            </a:ln>
                                            <a:effectLst/>
                                          </wps:spPr>
                                          <wps:bodyPr/>
                                        </wps:wsp>
                                        <wps:wsp>
                                          <wps:cNvPr id="533" name="Straight Connector 533"/>
                                          <wps:cNvCnPr/>
                                          <wps:spPr>
                                            <a:xfrm>
                                              <a:off x="3803904" y="760781"/>
                                              <a:ext cx="51537" cy="0"/>
                                            </a:xfrm>
                                            <a:prstGeom prst="line">
                                              <a:avLst/>
                                            </a:prstGeom>
                                            <a:noFill/>
                                            <a:ln w="12700" cap="flat" cmpd="sng" algn="ctr">
                                              <a:solidFill>
                                                <a:schemeClr val="tx1"/>
                                              </a:solidFill>
                                              <a:prstDash val="solid"/>
                                              <a:miter lim="800000"/>
                                            </a:ln>
                                            <a:effectLst/>
                                          </wps:spPr>
                                          <wps:bodyPr/>
                                        </wps:wsp>
                                        <wps:wsp>
                                          <wps:cNvPr id="534" name="Straight Connector 534"/>
                                          <wps:cNvCnPr/>
                                          <wps:spPr>
                                            <a:xfrm>
                                              <a:off x="3767328" y="1192378"/>
                                              <a:ext cx="266700" cy="0"/>
                                            </a:xfrm>
                                            <a:prstGeom prst="line">
                                              <a:avLst/>
                                            </a:prstGeom>
                                            <a:noFill/>
                                            <a:ln w="12700" cap="flat" cmpd="sng" algn="ctr">
                                              <a:solidFill>
                                                <a:schemeClr val="tx1"/>
                                              </a:solidFill>
                                              <a:prstDash val="solid"/>
                                              <a:miter lim="800000"/>
                                            </a:ln>
                                            <a:effectLst/>
                                          </wps:spPr>
                                          <wps:bodyPr/>
                                        </wps:wsp>
                                        <wps:wsp>
                                          <wps:cNvPr id="535" name="Straight Connector 535"/>
                                          <wps:cNvCnPr/>
                                          <wps:spPr>
                                            <a:xfrm>
                                              <a:off x="3767328" y="2004365"/>
                                              <a:ext cx="95250" cy="0"/>
                                            </a:xfrm>
                                            <a:prstGeom prst="line">
                                              <a:avLst/>
                                            </a:prstGeom>
                                            <a:noFill/>
                                            <a:ln w="12700" cap="flat" cmpd="sng" algn="ctr">
                                              <a:solidFill>
                                                <a:schemeClr val="tx1"/>
                                              </a:solidFill>
                                              <a:prstDash val="solid"/>
                                              <a:miter lim="800000"/>
                                            </a:ln>
                                            <a:effectLst/>
                                          </wps:spPr>
                                          <wps:bodyPr/>
                                        </wps:wsp>
                                        <wps:wsp>
                                          <wps:cNvPr id="536" name="Straight Connector 536"/>
                                          <wps:cNvCnPr/>
                                          <wps:spPr>
                                            <a:xfrm>
                                              <a:off x="1294791" y="1009498"/>
                                              <a:ext cx="0" cy="620395"/>
                                            </a:xfrm>
                                            <a:prstGeom prst="line">
                                              <a:avLst/>
                                            </a:prstGeom>
                                            <a:noFill/>
                                            <a:ln w="12700" cap="flat" cmpd="sng" algn="ctr">
                                              <a:solidFill>
                                                <a:schemeClr val="tx1"/>
                                              </a:solidFill>
                                              <a:prstDash val="solid"/>
                                              <a:miter lim="800000"/>
                                            </a:ln>
                                            <a:effectLst/>
                                          </wps:spPr>
                                          <wps:bodyPr/>
                                        </wps:wsp>
                                        <wps:wsp>
                                          <wps:cNvPr id="537" name="Down Arrow 537"/>
                                          <wps:cNvSpPr/>
                                          <wps:spPr>
                                            <a:xfrm rot="5400000">
                                              <a:off x="1214323" y="1572769"/>
                                              <a:ext cx="45085" cy="100330"/>
                                            </a:xfrm>
                                            <a:prstGeom prst="downArrow">
                                              <a:avLst>
                                                <a:gd name="adj1" fmla="val 10682"/>
                                                <a:gd name="adj2" fmla="val 123356"/>
                                              </a:avLst>
                                            </a:prstGeom>
                                            <a:solidFill>
                                              <a:sysClr val="windowText" lastClr="000000"/>
                                            </a:solidFill>
                                            <a:ln w="12700" cap="flat" cmpd="sng" algn="ctr">
                                              <a:solidFill>
                                                <a:schemeClr val="tx1"/>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8" name="Straight Connector 538"/>
                                          <wps:cNvCnPr/>
                                          <wps:spPr>
                                            <a:xfrm>
                                              <a:off x="1294791" y="1075335"/>
                                              <a:ext cx="895350" cy="0"/>
                                            </a:xfrm>
                                            <a:prstGeom prst="line">
                                              <a:avLst/>
                                            </a:prstGeom>
                                            <a:noFill/>
                                            <a:ln w="12700" cap="flat" cmpd="sng" algn="ctr">
                                              <a:solidFill>
                                                <a:schemeClr val="tx1"/>
                                              </a:solidFill>
                                              <a:prstDash val="solid"/>
                                              <a:miter lim="800000"/>
                                            </a:ln>
                                            <a:effectLst/>
                                          </wps:spPr>
                                          <wps:bodyPr/>
                                        </wps:wsp>
                                        <wps:wsp>
                                          <wps:cNvPr id="539" name="Down Arrow 539"/>
                                          <wps:cNvSpPr/>
                                          <wps:spPr>
                                            <a:xfrm>
                                              <a:off x="2150669" y="1075335"/>
                                              <a:ext cx="66675" cy="171450"/>
                                            </a:xfrm>
                                            <a:prstGeom prst="downArrow">
                                              <a:avLst>
                                                <a:gd name="adj1" fmla="val 10682"/>
                                                <a:gd name="adj2" fmla="val 153548"/>
                                              </a:avLst>
                                            </a:prstGeom>
                                            <a:solidFill>
                                              <a:sysClr val="windowText" lastClr="000000"/>
                                            </a:solidFill>
                                            <a:ln w="12700" cap="flat" cmpd="sng" algn="ctr">
                                              <a:solidFill>
                                                <a:schemeClr val="tx1"/>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0" name="Straight Connector 540"/>
                                          <wps:cNvCnPr/>
                                          <wps:spPr>
                                            <a:xfrm>
                                              <a:off x="3145536" y="2267712"/>
                                              <a:ext cx="876300" cy="0"/>
                                            </a:xfrm>
                                            <a:prstGeom prst="line">
                                              <a:avLst/>
                                            </a:prstGeom>
                                            <a:noFill/>
                                            <a:ln w="12700" cap="flat" cmpd="sng" algn="ctr">
                                              <a:solidFill>
                                                <a:schemeClr val="tx1"/>
                                              </a:solidFill>
                                              <a:prstDash val="solid"/>
                                              <a:miter lim="800000"/>
                                            </a:ln>
                                            <a:effectLst/>
                                          </wps:spPr>
                                          <wps:bodyPr/>
                                        </wps:wsp>
                                        <wps:wsp>
                                          <wps:cNvPr id="541" name="Straight Connector 541"/>
                                          <wps:cNvCnPr/>
                                          <wps:spPr>
                                            <a:xfrm flipH="1">
                                              <a:off x="4021835" y="1208401"/>
                                              <a:ext cx="0" cy="1076325"/>
                                            </a:xfrm>
                                            <a:prstGeom prst="line">
                                              <a:avLst/>
                                            </a:prstGeom>
                                            <a:noFill/>
                                            <a:ln w="12700" cap="flat" cmpd="sng" algn="ctr">
                                              <a:solidFill>
                                                <a:schemeClr val="tx1"/>
                                              </a:solidFill>
                                              <a:prstDash val="solid"/>
                                              <a:miter lim="800000"/>
                                            </a:ln>
                                            <a:effectLst/>
                                          </wps:spPr>
                                          <wps:bodyPr/>
                                        </wps:wsp>
                                        <wps:wsp>
                                          <wps:cNvPr id="542" name="Straight Connector 542"/>
                                          <wps:cNvCnPr/>
                                          <wps:spPr>
                                            <a:xfrm flipV="1">
                                              <a:off x="892455" y="2457907"/>
                                              <a:ext cx="4777823" cy="17284"/>
                                            </a:xfrm>
                                            <a:prstGeom prst="line">
                                              <a:avLst/>
                                            </a:prstGeom>
                                            <a:noFill/>
                                            <a:ln w="12700" cap="flat" cmpd="sng" algn="ctr">
                                              <a:solidFill>
                                                <a:schemeClr val="tx1"/>
                                              </a:solidFill>
                                              <a:prstDash val="solid"/>
                                              <a:miter lim="800000"/>
                                            </a:ln>
                                            <a:effectLst/>
                                          </wps:spPr>
                                          <wps:bodyPr/>
                                        </wps:wsp>
                                        <wps:wsp>
                                          <wps:cNvPr id="543" name="Down Arrow 543"/>
                                          <wps:cNvSpPr/>
                                          <wps:spPr>
                                            <a:xfrm>
                                              <a:off x="3122262" y="2267712"/>
                                              <a:ext cx="74607" cy="440055"/>
                                            </a:xfrm>
                                            <a:prstGeom prst="downArrow">
                                              <a:avLst>
                                                <a:gd name="adj1" fmla="val 10682"/>
                                                <a:gd name="adj2" fmla="val 153548"/>
                                              </a:avLst>
                                            </a:prstGeom>
                                            <a:solidFill>
                                              <a:sysClr val="windowText" lastClr="000000"/>
                                            </a:solidFill>
                                            <a:ln w="12700" cap="flat" cmpd="sng" algn="ctr">
                                              <a:solidFill>
                                                <a:schemeClr val="tx1"/>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4" name="Down Arrow 544"/>
                                          <wps:cNvSpPr/>
                                          <wps:spPr>
                                            <a:xfrm>
                                              <a:off x="2172615" y="1521562"/>
                                              <a:ext cx="70339" cy="251348"/>
                                            </a:xfrm>
                                            <a:prstGeom prst="downArrow">
                                              <a:avLst>
                                                <a:gd name="adj1" fmla="val 10682"/>
                                                <a:gd name="adj2" fmla="val 153548"/>
                                              </a:avLst>
                                            </a:prstGeom>
                                            <a:solidFill>
                                              <a:sysClr val="windowText" lastClr="000000"/>
                                            </a:solidFill>
                                            <a:ln w="12700" cap="flat" cmpd="sng" algn="ctr">
                                              <a:solidFill>
                                                <a:schemeClr val="tx1"/>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5" name="Straight Connector 545"/>
                                          <wps:cNvCnPr/>
                                          <wps:spPr>
                                            <a:xfrm>
                                              <a:off x="899770" y="1748333"/>
                                              <a:ext cx="0" cy="723481"/>
                                            </a:xfrm>
                                            <a:prstGeom prst="line">
                                              <a:avLst/>
                                            </a:prstGeom>
                                            <a:noFill/>
                                            <a:ln w="12700" cap="flat" cmpd="sng" algn="ctr">
                                              <a:solidFill>
                                                <a:schemeClr val="tx1"/>
                                              </a:solidFill>
                                              <a:prstDash val="solid"/>
                                              <a:miter lim="800000"/>
                                            </a:ln>
                                            <a:effectLst/>
                                          </wps:spPr>
                                          <wps:bodyPr/>
                                        </wps:wsp>
                                        <wps:wsp>
                                          <wps:cNvPr id="546" name="Straight Connector 546"/>
                                          <wps:cNvCnPr/>
                                          <wps:spPr>
                                            <a:xfrm flipH="1">
                                              <a:off x="2223821" y="2179930"/>
                                              <a:ext cx="0" cy="281354"/>
                                            </a:xfrm>
                                            <a:prstGeom prst="line">
                                              <a:avLst/>
                                            </a:prstGeom>
                                            <a:noFill/>
                                            <a:ln w="12700" cap="flat" cmpd="sng" algn="ctr">
                                              <a:solidFill>
                                                <a:schemeClr val="tx1"/>
                                              </a:solidFill>
                                              <a:prstDash val="solid"/>
                                              <a:miter lim="800000"/>
                                            </a:ln>
                                            <a:effectLst/>
                                          </wps:spPr>
                                          <wps:bodyPr/>
                                        </wps:wsp>
                                        <wps:wsp>
                                          <wps:cNvPr id="547" name="Down Arrow 547"/>
                                          <wps:cNvSpPr/>
                                          <wps:spPr>
                                            <a:xfrm>
                                              <a:off x="4203616" y="907085"/>
                                              <a:ext cx="66675" cy="171450"/>
                                            </a:xfrm>
                                            <a:prstGeom prst="downArrow">
                                              <a:avLst>
                                                <a:gd name="adj1" fmla="val 10682"/>
                                                <a:gd name="adj2" fmla="val 153548"/>
                                              </a:avLst>
                                            </a:prstGeom>
                                            <a:solidFill>
                                              <a:sysClr val="windowText" lastClr="000000"/>
                                            </a:solidFill>
                                            <a:ln w="12700" cap="flat" cmpd="sng" algn="ctr">
                                              <a:solidFill>
                                                <a:schemeClr val="tx1"/>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8" name="Down Arrow 548"/>
                                          <wps:cNvSpPr/>
                                          <wps:spPr>
                                            <a:xfrm>
                                              <a:off x="4842664" y="857890"/>
                                              <a:ext cx="56999" cy="244060"/>
                                            </a:xfrm>
                                            <a:prstGeom prst="downArrow">
                                              <a:avLst>
                                                <a:gd name="adj1" fmla="val 10682"/>
                                                <a:gd name="adj2" fmla="val 153548"/>
                                              </a:avLst>
                                            </a:prstGeom>
                                            <a:solidFill>
                                              <a:sysClr val="windowText" lastClr="000000"/>
                                            </a:solidFill>
                                            <a:ln w="12700" cap="flat" cmpd="sng" algn="ctr">
                                              <a:solidFill>
                                                <a:schemeClr val="tx1"/>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9" name="Down Arrow 549"/>
                                          <wps:cNvSpPr/>
                                          <wps:spPr>
                                            <a:xfrm>
                                              <a:off x="5610759" y="885139"/>
                                              <a:ext cx="66675" cy="171450"/>
                                            </a:xfrm>
                                            <a:prstGeom prst="downArrow">
                                              <a:avLst>
                                                <a:gd name="adj1" fmla="val 10682"/>
                                                <a:gd name="adj2" fmla="val 153548"/>
                                              </a:avLst>
                                            </a:prstGeom>
                                            <a:solidFill>
                                              <a:sysClr val="windowText" lastClr="000000"/>
                                            </a:solidFill>
                                            <a:ln w="12700" cap="flat" cmpd="sng" algn="ctr">
                                              <a:solidFill>
                                                <a:schemeClr val="tx1"/>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50" name="Down Arrow 550"/>
                                          <wps:cNvSpPr/>
                                          <wps:spPr>
                                            <a:xfrm>
                                              <a:off x="4535424" y="277978"/>
                                              <a:ext cx="66675" cy="171450"/>
                                            </a:xfrm>
                                            <a:prstGeom prst="downArrow">
                                              <a:avLst>
                                                <a:gd name="adj1" fmla="val 10682"/>
                                                <a:gd name="adj2" fmla="val 153548"/>
                                              </a:avLst>
                                            </a:prstGeom>
                                            <a:solidFill>
                                              <a:sysClr val="windowText" lastClr="000000"/>
                                            </a:solidFill>
                                            <a:ln w="12700" cap="flat" cmpd="sng" algn="ctr">
                                              <a:solidFill>
                                                <a:schemeClr val="tx1"/>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51" name="Straight Connector 551"/>
                                          <wps:cNvCnPr/>
                                          <wps:spPr>
                                            <a:xfrm flipH="1">
                                              <a:off x="4959706" y="0"/>
                                              <a:ext cx="0" cy="281305"/>
                                            </a:xfrm>
                                            <a:prstGeom prst="line">
                                              <a:avLst/>
                                            </a:prstGeom>
                                            <a:noFill/>
                                            <a:ln w="12700" cap="flat" cmpd="sng" algn="ctr">
                                              <a:solidFill>
                                                <a:schemeClr val="tx1"/>
                                              </a:solidFill>
                                              <a:prstDash val="solid"/>
                                              <a:miter lim="800000"/>
                                            </a:ln>
                                            <a:effectLst/>
                                          </wps:spPr>
                                          <wps:bodyPr/>
                                        </wps:wsp>
                                        <wps:wsp>
                                          <wps:cNvPr id="552" name="Down Arrow 552"/>
                                          <wps:cNvSpPr/>
                                          <wps:spPr>
                                            <a:xfrm>
                                              <a:off x="5844845" y="270663"/>
                                              <a:ext cx="66675" cy="171450"/>
                                            </a:xfrm>
                                            <a:prstGeom prst="downArrow">
                                              <a:avLst>
                                                <a:gd name="adj1" fmla="val 10682"/>
                                                <a:gd name="adj2" fmla="val 153548"/>
                                              </a:avLst>
                                            </a:prstGeom>
                                            <a:solidFill>
                                              <a:sysClr val="windowText" lastClr="000000"/>
                                            </a:solidFill>
                                            <a:ln w="12700" cap="flat" cmpd="sng" algn="ctr">
                                              <a:solidFill>
                                                <a:schemeClr val="tx1"/>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53" name="Straight Connector 553"/>
                                          <wps:cNvCnPr/>
                                          <wps:spPr>
                                            <a:xfrm flipH="1">
                                              <a:off x="4871923" y="1484986"/>
                                              <a:ext cx="0" cy="977045"/>
                                            </a:xfrm>
                                            <a:prstGeom prst="line">
                                              <a:avLst/>
                                            </a:prstGeom>
                                            <a:noFill/>
                                            <a:ln w="12700" cap="flat" cmpd="sng" algn="ctr">
                                              <a:solidFill>
                                                <a:schemeClr val="tx1"/>
                                              </a:solidFill>
                                              <a:prstDash val="solid"/>
                                              <a:miter lim="800000"/>
                                            </a:ln>
                                            <a:effectLst/>
                                          </wps:spPr>
                                          <wps:bodyPr/>
                                        </wps:wsp>
                                        <wps:wsp>
                                          <wps:cNvPr id="554" name="Straight Connector 554"/>
                                          <wps:cNvCnPr/>
                                          <wps:spPr>
                                            <a:xfrm flipH="1">
                                              <a:off x="4330599" y="1484986"/>
                                              <a:ext cx="0" cy="976630"/>
                                            </a:xfrm>
                                            <a:prstGeom prst="line">
                                              <a:avLst/>
                                            </a:prstGeom>
                                            <a:noFill/>
                                            <a:ln w="12700" cap="flat" cmpd="sng" algn="ctr">
                                              <a:solidFill>
                                                <a:schemeClr val="tx1"/>
                                              </a:solidFill>
                                              <a:prstDash val="solid"/>
                                              <a:miter lim="800000"/>
                                            </a:ln>
                                            <a:effectLst/>
                                          </wps:spPr>
                                          <wps:bodyPr/>
                                        </wps:wsp>
                                        <wps:wsp>
                                          <wps:cNvPr id="555" name="Straight Connector 555"/>
                                          <wps:cNvCnPr/>
                                          <wps:spPr>
                                            <a:xfrm flipH="1">
                                              <a:off x="5676595" y="1477671"/>
                                              <a:ext cx="0" cy="976630"/>
                                            </a:xfrm>
                                            <a:prstGeom prst="line">
                                              <a:avLst/>
                                            </a:prstGeom>
                                            <a:noFill/>
                                            <a:ln w="12700" cap="flat" cmpd="sng" algn="ctr">
                                              <a:solidFill>
                                                <a:schemeClr val="tx1"/>
                                              </a:solidFill>
                                              <a:prstDash val="solid"/>
                                              <a:miter lim="800000"/>
                                            </a:ln>
                                            <a:effectLst/>
                                          </wps:spPr>
                                          <wps:bodyPr/>
                                        </wps:wsp>
                                        <wps:wsp>
                                          <wps:cNvPr id="556" name="Straight Connector 556"/>
                                          <wps:cNvCnPr/>
                                          <wps:spPr>
                                            <a:xfrm>
                                              <a:off x="1470355" y="4418381"/>
                                              <a:ext cx="0" cy="248285"/>
                                            </a:xfrm>
                                            <a:prstGeom prst="line">
                                              <a:avLst/>
                                            </a:prstGeom>
                                            <a:noFill/>
                                            <a:ln w="12700" cap="flat" cmpd="sng" algn="ctr">
                                              <a:solidFill>
                                                <a:schemeClr val="tx1"/>
                                              </a:solidFill>
                                              <a:prstDash val="solid"/>
                                              <a:miter lim="800000"/>
                                            </a:ln>
                                            <a:effectLst/>
                                          </wps:spPr>
                                          <wps:bodyPr/>
                                        </wps:wsp>
                                        <wps:wsp>
                                          <wps:cNvPr id="557" name="Straight Connector 557"/>
                                          <wps:cNvCnPr/>
                                          <wps:spPr>
                                            <a:xfrm>
                                              <a:off x="921715" y="4403751"/>
                                              <a:ext cx="0" cy="248285"/>
                                            </a:xfrm>
                                            <a:prstGeom prst="line">
                                              <a:avLst/>
                                            </a:prstGeom>
                                            <a:noFill/>
                                            <a:ln w="12700" cap="flat" cmpd="sng" algn="ctr">
                                              <a:solidFill>
                                                <a:schemeClr val="tx1"/>
                                              </a:solidFill>
                                              <a:prstDash val="solid"/>
                                              <a:miter lim="800000"/>
                                            </a:ln>
                                            <a:effectLst/>
                                          </wps:spPr>
                                          <wps:bodyPr/>
                                        </wps:wsp>
                                        <wps:wsp>
                                          <wps:cNvPr id="558" name="Straight Connector 558"/>
                                          <wps:cNvCnPr/>
                                          <wps:spPr>
                                            <a:xfrm>
                                              <a:off x="2062887" y="4403751"/>
                                              <a:ext cx="0" cy="248478"/>
                                            </a:xfrm>
                                            <a:prstGeom prst="line">
                                              <a:avLst/>
                                            </a:prstGeom>
                                            <a:noFill/>
                                            <a:ln w="12700" cap="flat" cmpd="sng" algn="ctr">
                                              <a:solidFill>
                                                <a:schemeClr val="tx1"/>
                                              </a:solidFill>
                                              <a:prstDash val="solid"/>
                                              <a:miter lim="800000"/>
                                            </a:ln>
                                            <a:effectLst/>
                                          </wps:spPr>
                                          <wps:bodyPr/>
                                        </wps:wsp>
                                        <wps:wsp>
                                          <wps:cNvPr id="559" name="Straight Connector 559"/>
                                          <wps:cNvCnPr/>
                                          <wps:spPr>
                                            <a:xfrm>
                                              <a:off x="2655418" y="4425696"/>
                                              <a:ext cx="0" cy="248285"/>
                                            </a:xfrm>
                                            <a:prstGeom prst="line">
                                              <a:avLst/>
                                            </a:prstGeom>
                                            <a:noFill/>
                                            <a:ln w="12700" cap="flat" cmpd="sng" algn="ctr">
                                              <a:solidFill>
                                                <a:schemeClr val="tx1"/>
                                              </a:solidFill>
                                              <a:prstDash val="solid"/>
                                              <a:miter lim="800000"/>
                                            </a:ln>
                                            <a:effectLst/>
                                          </wps:spPr>
                                          <wps:bodyPr/>
                                        </wps:wsp>
                                        <wps:wsp>
                                          <wps:cNvPr id="560" name="Straight Connector 560"/>
                                          <wps:cNvCnPr/>
                                          <wps:spPr>
                                            <a:xfrm>
                                              <a:off x="3979469" y="4403751"/>
                                              <a:ext cx="0" cy="248285"/>
                                            </a:xfrm>
                                            <a:prstGeom prst="line">
                                              <a:avLst/>
                                            </a:prstGeom>
                                            <a:noFill/>
                                            <a:ln w="12700" cap="flat" cmpd="sng" algn="ctr">
                                              <a:solidFill>
                                                <a:schemeClr val="tx1"/>
                                              </a:solidFill>
                                              <a:prstDash val="solid"/>
                                              <a:miter lim="800000"/>
                                            </a:ln>
                                            <a:effectLst/>
                                          </wps:spPr>
                                          <wps:bodyPr/>
                                        </wps:wsp>
                                        <wps:wsp>
                                          <wps:cNvPr id="561" name="Straight Connector 561"/>
                                          <wps:cNvCnPr/>
                                          <wps:spPr>
                                            <a:xfrm>
                                              <a:off x="4601261" y="4403751"/>
                                              <a:ext cx="0" cy="248285"/>
                                            </a:xfrm>
                                            <a:prstGeom prst="line">
                                              <a:avLst/>
                                            </a:prstGeom>
                                            <a:noFill/>
                                            <a:ln w="12700" cap="flat" cmpd="sng" algn="ctr">
                                              <a:solidFill>
                                                <a:schemeClr val="tx1"/>
                                              </a:solidFill>
                                              <a:prstDash val="solid"/>
                                              <a:miter lim="800000"/>
                                            </a:ln>
                                            <a:effectLst/>
                                          </wps:spPr>
                                          <wps:bodyPr/>
                                        </wps:wsp>
                                        <wps:wsp>
                                          <wps:cNvPr id="562" name="Straight Connector 562"/>
                                          <wps:cNvCnPr/>
                                          <wps:spPr>
                                            <a:xfrm>
                                              <a:off x="5310835" y="4403751"/>
                                              <a:ext cx="0" cy="248285"/>
                                            </a:xfrm>
                                            <a:prstGeom prst="line">
                                              <a:avLst/>
                                            </a:prstGeom>
                                            <a:noFill/>
                                            <a:ln w="12700" cap="flat" cmpd="sng" algn="ctr">
                                              <a:solidFill>
                                                <a:schemeClr val="tx1"/>
                                              </a:solidFill>
                                              <a:prstDash val="solid"/>
                                              <a:miter lim="800000"/>
                                            </a:ln>
                                            <a:effectLst/>
                                          </wps:spPr>
                                          <wps:bodyPr/>
                                        </wps:wsp>
                                        <wps:wsp>
                                          <wps:cNvPr id="563" name="Straight Connector 563"/>
                                          <wps:cNvCnPr/>
                                          <wps:spPr>
                                            <a:xfrm>
                                              <a:off x="5910682" y="4403751"/>
                                              <a:ext cx="0" cy="248285"/>
                                            </a:xfrm>
                                            <a:prstGeom prst="line">
                                              <a:avLst/>
                                            </a:prstGeom>
                                            <a:noFill/>
                                            <a:ln w="12700" cap="flat" cmpd="sng" algn="ctr">
                                              <a:solidFill>
                                                <a:schemeClr val="tx1"/>
                                              </a:solidFill>
                                              <a:prstDash val="solid"/>
                                              <a:miter lim="800000"/>
                                            </a:ln>
                                            <a:effectLst/>
                                          </wps:spPr>
                                          <wps:bodyPr/>
                                        </wps:wsp>
                                        <wps:wsp>
                                          <wps:cNvPr id="564" name="Down Arrow 564"/>
                                          <wps:cNvSpPr/>
                                          <wps:spPr>
                                            <a:xfrm>
                                              <a:off x="826618" y="3174797"/>
                                              <a:ext cx="99391" cy="139148"/>
                                            </a:xfrm>
                                            <a:prstGeom prst="downArrow">
                                              <a:avLst>
                                                <a:gd name="adj1" fmla="val 10682"/>
                                                <a:gd name="adj2" fmla="val 43203"/>
                                              </a:avLst>
                                            </a:prstGeom>
                                            <a:solidFill>
                                              <a:sysClr val="windowText" lastClr="000000"/>
                                            </a:solidFill>
                                            <a:ln w="12700" cap="flat" cmpd="sng" algn="ctr">
                                              <a:solidFill>
                                                <a:schemeClr val="tx1"/>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65" name="Down Arrow 565"/>
                                          <wps:cNvSpPr/>
                                          <wps:spPr>
                                            <a:xfrm>
                                              <a:off x="1389888" y="3182112"/>
                                              <a:ext cx="99391" cy="139148"/>
                                            </a:xfrm>
                                            <a:prstGeom prst="downArrow">
                                              <a:avLst>
                                                <a:gd name="adj1" fmla="val 10682"/>
                                                <a:gd name="adj2" fmla="val 43203"/>
                                              </a:avLst>
                                            </a:prstGeom>
                                            <a:solidFill>
                                              <a:sysClr val="windowText" lastClr="000000"/>
                                            </a:solidFill>
                                            <a:ln w="12700" cap="flat" cmpd="sng" algn="ctr">
                                              <a:solidFill>
                                                <a:schemeClr val="tx1"/>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66" name="Down Arrow 566"/>
                                          <wps:cNvSpPr/>
                                          <wps:spPr>
                                            <a:xfrm>
                                              <a:off x="2048256" y="3189427"/>
                                              <a:ext cx="99391" cy="139148"/>
                                            </a:xfrm>
                                            <a:prstGeom prst="downArrow">
                                              <a:avLst>
                                                <a:gd name="adj1" fmla="val 10682"/>
                                                <a:gd name="adj2" fmla="val 43203"/>
                                              </a:avLst>
                                            </a:prstGeom>
                                            <a:solidFill>
                                              <a:sysClr val="windowText" lastClr="000000"/>
                                            </a:solidFill>
                                            <a:ln w="12700" cap="flat" cmpd="sng" algn="ctr">
                                              <a:solidFill>
                                                <a:schemeClr val="tx1"/>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67" name="Down Arrow 567"/>
                                          <wps:cNvSpPr/>
                                          <wps:spPr>
                                            <a:xfrm>
                                              <a:off x="2648103" y="3174797"/>
                                              <a:ext cx="99391" cy="139148"/>
                                            </a:xfrm>
                                            <a:prstGeom prst="downArrow">
                                              <a:avLst>
                                                <a:gd name="adj1" fmla="val 10682"/>
                                                <a:gd name="adj2" fmla="val 43203"/>
                                              </a:avLst>
                                            </a:prstGeom>
                                            <a:solidFill>
                                              <a:sysClr val="windowText" lastClr="000000"/>
                                            </a:solidFill>
                                            <a:ln w="12700" cap="flat" cmpd="sng" algn="ctr">
                                              <a:solidFill>
                                                <a:schemeClr val="tx1"/>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68" name="Down Arrow 568"/>
                                          <wps:cNvSpPr/>
                                          <wps:spPr>
                                            <a:xfrm>
                                              <a:off x="3320966" y="3044494"/>
                                              <a:ext cx="118673" cy="290896"/>
                                            </a:xfrm>
                                            <a:prstGeom prst="downArrow">
                                              <a:avLst>
                                                <a:gd name="adj1" fmla="val 10682"/>
                                                <a:gd name="adj2" fmla="val 43203"/>
                                              </a:avLst>
                                            </a:prstGeom>
                                            <a:solidFill>
                                              <a:sysClr val="windowText" lastClr="000000"/>
                                            </a:solidFill>
                                            <a:ln w="12700" cap="flat" cmpd="sng" algn="ctr">
                                              <a:solidFill>
                                                <a:schemeClr val="tx1"/>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69" name="Down Arrow 569"/>
                                          <wps:cNvSpPr/>
                                          <wps:spPr>
                                            <a:xfrm>
                                              <a:off x="3957523" y="3182112"/>
                                              <a:ext cx="99391" cy="139148"/>
                                            </a:xfrm>
                                            <a:prstGeom prst="downArrow">
                                              <a:avLst>
                                                <a:gd name="adj1" fmla="val 10682"/>
                                                <a:gd name="adj2" fmla="val 43203"/>
                                              </a:avLst>
                                            </a:prstGeom>
                                            <a:solidFill>
                                              <a:sysClr val="windowText" lastClr="000000"/>
                                            </a:solidFill>
                                            <a:ln w="12700" cap="flat" cmpd="sng" algn="ctr">
                                              <a:solidFill>
                                                <a:schemeClr val="tx1"/>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70" name="Down Arrow 570"/>
                                          <wps:cNvSpPr/>
                                          <wps:spPr>
                                            <a:xfrm>
                                              <a:off x="4572000" y="3167482"/>
                                              <a:ext cx="99391" cy="139148"/>
                                            </a:xfrm>
                                            <a:prstGeom prst="downArrow">
                                              <a:avLst>
                                                <a:gd name="adj1" fmla="val 10682"/>
                                                <a:gd name="adj2" fmla="val 43203"/>
                                              </a:avLst>
                                            </a:prstGeom>
                                            <a:solidFill>
                                              <a:sysClr val="windowText" lastClr="000000"/>
                                            </a:solidFill>
                                            <a:ln w="12700" cap="flat" cmpd="sng" algn="ctr">
                                              <a:solidFill>
                                                <a:schemeClr val="tx1"/>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71" name="Down Arrow 571"/>
                                          <wps:cNvSpPr/>
                                          <wps:spPr>
                                            <a:xfrm>
                                              <a:off x="5303520" y="3182112"/>
                                              <a:ext cx="99391" cy="139148"/>
                                            </a:xfrm>
                                            <a:prstGeom prst="downArrow">
                                              <a:avLst>
                                                <a:gd name="adj1" fmla="val 10682"/>
                                                <a:gd name="adj2" fmla="val 43203"/>
                                              </a:avLst>
                                            </a:prstGeom>
                                            <a:solidFill>
                                              <a:sysClr val="windowText" lastClr="000000"/>
                                            </a:solidFill>
                                            <a:ln w="12700" cap="flat" cmpd="sng" algn="ctr">
                                              <a:solidFill>
                                                <a:schemeClr val="tx1"/>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72" name="Down Arrow 572"/>
                                          <wps:cNvSpPr/>
                                          <wps:spPr>
                                            <a:xfrm>
                                              <a:off x="5834303" y="3176865"/>
                                              <a:ext cx="99391" cy="139148"/>
                                            </a:xfrm>
                                            <a:prstGeom prst="downArrow">
                                              <a:avLst>
                                                <a:gd name="adj1" fmla="val 10682"/>
                                                <a:gd name="adj2" fmla="val 43203"/>
                                              </a:avLst>
                                            </a:prstGeom>
                                            <a:solidFill>
                                              <a:sysClr val="windowText" lastClr="000000"/>
                                            </a:solidFill>
                                            <a:ln w="12700" cap="flat" cmpd="sng" algn="ctr">
                                              <a:solidFill>
                                                <a:schemeClr val="tx1"/>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73" name="Flowchart: Process 573"/>
                                          <wps:cNvSpPr/>
                                          <wps:spPr>
                                            <a:xfrm>
                                              <a:off x="-6" y="180731"/>
                                              <a:ext cx="6370983" cy="4572127"/>
                                            </a:xfrm>
                                            <a:prstGeom prst="flowChartProcess">
                                              <a:avLst/>
                                            </a:prstGeom>
                                            <a:noFill/>
                                            <a:ln w="12700" cap="flat" cmpd="sng" algn="ctr">
                                              <a:solidFill>
                                                <a:schemeClr val="tx1"/>
                                              </a:solidFill>
                                              <a:prstDash val="lgDashDot"/>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74" name="Straight Connector 574"/>
                                          <wps:cNvCnPr/>
                                          <wps:spPr>
                                            <a:xfrm>
                                              <a:off x="3803904" y="373075"/>
                                              <a:ext cx="51435" cy="0"/>
                                            </a:xfrm>
                                            <a:prstGeom prst="line">
                                              <a:avLst/>
                                            </a:prstGeom>
                                            <a:noFill/>
                                            <a:ln w="12700" cap="flat" cmpd="sng" algn="ctr">
                                              <a:solidFill>
                                                <a:schemeClr val="tx1"/>
                                              </a:solidFill>
                                              <a:prstDash val="solid"/>
                                              <a:miter lim="800000"/>
                                            </a:ln>
                                            <a:effectLst/>
                                          </wps:spPr>
                                          <wps:bodyPr/>
                                        </wps:wsp>
                                      </wpg:grpSp>
                                    </wpg:grpSp>
                                  </wpg:grpSp>
                                </wpg:grpSp>
                              </wpg:grpSp>
                            </wpg:grpSp>
                          </wpg:grpSp>
                          <wps:wsp>
                            <wps:cNvPr id="575" name="Down Arrow 575"/>
                            <wps:cNvSpPr/>
                            <wps:spPr>
                              <a:xfrm>
                                <a:off x="3445138" y="5218043"/>
                                <a:ext cx="139847" cy="406530"/>
                              </a:xfrm>
                              <a:prstGeom prst="downArrow">
                                <a:avLst>
                                  <a:gd name="adj1" fmla="val 10682"/>
                                  <a:gd name="adj2" fmla="val 56505"/>
                                </a:avLst>
                              </a:prstGeom>
                              <a:solidFill>
                                <a:sysClr val="windowText" lastClr="000000"/>
                              </a:solidFill>
                              <a:ln w="12700" cap="flat" cmpd="sng" algn="ctr">
                                <a:solidFill>
                                  <a:schemeClr val="tx1"/>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wgp>
                  </a:graphicData>
                </a:graphic>
              </wp:inline>
            </w:drawing>
          </mc:Choice>
          <mc:Fallback>
            <w:pict>
              <v:group w14:anchorId="34CA12E0" id="Group 451" o:spid="_x0000_s1028" style="width:440.5pt;height:632.35pt;mso-position-horizontal-relative:char;mso-position-vertical-relative:line" coordorigin="30" coordsize="66374,830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">
                <v:line id="Straight Connector 452" o:spid="_x0000_s1029" style="position:absolute;flip:y;visibility:visible;mso-wrap-style:square" from="64516,14054" to="66404,140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RuZ5MgAAADcAAAADwAAAGRycy9kb3ducmV2LnhtbESPQUvDQBSE74L/YXmCl9JuLNXGmE1p&#10;hRJFKbR68fbMPpPQ7Nu4u7bx33eFgsdhZr5h8sVgOnEg51vLCm4mCQjiyuqWawXvb+txCsIHZI2d&#10;ZVLwSx4WxeVFjpm2R97SYRdqESHsM1TQhNBnUvqqIYN+Ynvi6H1ZZzBE6WqpHR4j3HRymiR30mDL&#10;caHBnh4bqva7H6PgWX6/7Ffusy5TWa4/Xuebey5HSl1fDcsHEIGG8B8+t5+0gtntFP7OxCMgixM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tRuZ5MgAAADcAAAADwAAAAAA&#10;AAAAAAAAAAChAgAAZHJzL2Rvd25yZXYueG1sUEsFBgAAAAAEAAQA+QAAAJYDAAAAAA==&#10;" strokecolor="black [3213]" strokeweight="1pt">
                  <v:stroke joinstyle="miter"/>
                </v:line>
                <v:group id="Group 453" o:spid="_x0000_s1030" style="position:absolute;left:30;width:66370;height:83069" coordorigin="30" coordsize="66370,830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MXLiLLFAAAA3AAA&#10;AA8AAAAAAAAAAAAAAAAAqgIAAGRycy9kb3ducmV2LnhtbFBLBQYAAAAABAAEAPoAAACcAwAAAAA=&#10;">
                  <v:shape id="Text Box 454" o:spid="_x0000_s1031" type="#_x0000_t202" style="position:absolute;left:59258;top:60898;width:10176;height:3175;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2pSjcYA&#10;AADcAAAADwAAAGRycy9kb3ducmV2LnhtbESPQWvCQBSE74L/YXlCb7rRpiLRVYIgthQKVRG9PbPP&#10;JJp9G7Jbk/77bqHQ4zAz3zCLVWcq8aDGlZYVjEcRCOLM6pJzBYf9ZjgD4TyyxsoyKfgmB6tlv7fA&#10;RNuWP+mx87kIEHYJKii8rxMpXVaQQTeyNXHwrrYx6INscqkbbAPcVHISRVNpsOSwUGBN64Ky++7L&#10;KNi+v43PV04vcV26j+fbsZ2dKFXqadClcxCeOv8f/mu/agXxSwy/Z8IRkM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2pSjcYAAADcAAAADwAAAAAAAAAAAAAAAACYAgAAZHJz&#10;L2Rvd25yZXYueG1sUEsFBgAAAAAEAAQA9QAAAIsDAAAAAA==&#10;" fillcolor="window" strokecolor="black [3213]" strokeweight="1pt">
                    <v:textbox>
                      <w:txbxContent>
                        <w:p w:rsidR="00B24F7C" w:rsidRPr="003E1F5E" w:rsidRDefault="00B24F7C" w:rsidP="00317698">
                          <w:pPr>
                            <w:spacing w:before="0" w:after="0" w:line="240" w:lineRule="auto"/>
                          </w:pPr>
                          <w:r w:rsidRPr="003E1F5E">
                            <w:t>Validation</w:t>
                          </w:r>
                        </w:p>
                      </w:txbxContent>
                    </v:textbox>
                  </v:shape>
                  <v:group id="Group 455" o:spid="_x0000_s1032" style="position:absolute;left:30;width:66370;height:83069" coordorigin="30" coordsize="66370,830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CVutV3FAAAA3AAA&#10;AA8AAAAAAAAAAAAAAAAAqgIAAGRycy9kb3ducmV2LnhtbFBLBQYAAAAABAAEAPoAAACcAwAAAAA=&#10;">
                    <v:group id="Group 456" o:spid="_x0000_s1033" style="position:absolute;left:30;width:66370;height:83069" coordorigin="30" coordsize="66370,830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VvCsqxgAAANwA&#10;AAAPAAAAAAAAAAAAAAAAAKoCAABkcnMvZG93bnJldi54bWxQSwUGAAAAAAQABAD6AAAAnQMAAAAA&#10;">
                      <v:line id="Straight Connector 457" o:spid="_x0000_s1034" style="position:absolute;visibility:visible;mso-wrap-style:square" from="30,58019" to="250,809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bG+ScUAAADcAAAADwAAAGRycy9kb3ducmV2LnhtbESPQWvCQBSE7wX/w/KE3upGbVWiq4gY&#10;6KE9GPsDHtnnJph9G7ObGPvru4VCj8PMfMNsdoOtRU+trxwrmE4SEMSF0xUbBV/n7GUFwgdkjbVj&#10;UvAgD7vt6GmDqXZ3PlGfByMihH2KCsoQmlRKX5Rk0U9cQxy9i2sthihbI3WL9wi3tZwlyUJarDgu&#10;lNjQoaTimndWQXbK+26BHudZd/v++PTm/DgapZ7Hw34NItAQ/sN/7Xet4PVtCb9n4hGQ2x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bG+ScUAAADcAAAADwAAAAAAAAAA&#10;AAAAAAChAgAAZHJzL2Rvd25yZXYueG1sUEsFBgAAAAAEAAQA+QAAAJMDAAAAAA==&#10;" strokecolor="black [3213]" strokeweight="1pt">
                        <v:stroke dashstyle="1 1" joinstyle="miter"/>
                      </v:line>
                      <v:group id="Group 458" o:spid="_x0000_s1035" style="position:absolute;left:30;width:66370;height:83069" coordorigin="30" coordsize="66370,830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LbxrDwwAAANwAAAAP&#10;AAAAAAAAAAAAAAAAAKoCAABkcnMvZG93bnJldi54bWxQSwUGAAAAAAQABAD6AAAAmgMAAAAA&#10;">
                        <v:group id="Group 459" o:spid="_x0000_s1036" style="position:absolute;left:2186;top:11330;width:55604;height:71206" coordsize="55603,7120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kI79YxgAAANwA&#10;AAAPAAAAAAAAAAAAAAAAAKoCAABkcnMvZG93bnJldi54bWxQSwUGAAAAAAQABAD6AAAAnQMAAAAA&#10;">
                          <v:shape id="Text Box 460" o:spid="_x0000_s1037" type="#_x0000_t202" style="position:absolute;left:-20804;top:20804;width:44700;height:3092;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2eM8IA&#10;AADcAAAADwAAAGRycy9kb3ducmV2LnhtbERPy4rCMBTdD/gP4QruxtQHIh2jFEF0EAQfDDO7a3Nt&#10;q81NaTK2/r1ZCC4P5z1btKYUd6pdYVnBoB+BIE6tLjhTcDquPqcgnEfWWFomBQ9ysJh3PmYYa9vw&#10;nu4Hn4kQwi5GBbn3VSylS3My6Pq2Ig7cxdYGfYB1JnWNTQg3pRxG0UQaLDg05FjRMqf0dvg3Ctbb&#10;78HfhZPzuCrcbnT9aaa/lCjV67bJFwhPrX+LX+6NVjCehPnhTDgCcv4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PZ4zwgAAANwAAAAPAAAAAAAAAAAAAAAAAJgCAABkcnMvZG93&#10;bnJldi54bWxQSwUGAAAAAAQABAD1AAAAhwMAAAAA&#10;" fillcolor="window" strokecolor="black [3213]" strokeweight="1pt">
                            <v:textbox>
                              <w:txbxContent>
                                <w:p w:rsidR="00B24F7C" w:rsidRPr="00B52C8B" w:rsidRDefault="00B24F7C" w:rsidP="00317698">
                                  <w:pPr>
                                    <w:spacing w:before="0" w:after="0" w:line="240" w:lineRule="auto"/>
                                    <w:jc w:val="center"/>
                                    <w:rPr>
                                      <w:b/>
                                    </w:rPr>
                                  </w:pPr>
                                  <w:r w:rsidRPr="00B52C8B">
                                    <w:rPr>
                                      <w:b/>
                                    </w:rPr>
                                    <w:t xml:space="preserve">Data </w:t>
                                  </w:r>
                                  <w:r>
                                    <w:rPr>
                                      <w:b/>
                                    </w:rPr>
                                    <w:t>Processing for thematic map prep</w:t>
                                  </w:r>
                                  <w:r w:rsidRPr="00B52C8B">
                                    <w:rPr>
                                      <w:b/>
                                    </w:rPr>
                                    <w:t>aration</w:t>
                                  </w:r>
                                </w:p>
                              </w:txbxContent>
                            </v:textbox>
                          </v:shape>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Flowchart: Alternate Process 461" o:spid="_x0000_s1038" type="#_x0000_t176" style="position:absolute;left:16841;top:45026;width:38762;height:34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mZ82cUA&#10;AADcAAAADwAAAGRycy9kb3ducmV2LnhtbESPQWvCQBSE7wX/w/KE3urGUqREV1FBsZUeYr14e2Sf&#10;2WD2bZrdaPLvXUHocZiZb5jZorOVuFLjS8cKxqMEBHHudMmFguPv5u0ThA/IGivHpKAnD4v54GWG&#10;qXY3zuh6CIWIEPYpKjAh1KmUPjdk0Y9cTRy9s2sshiibQuoGbxFuK/meJBNpseS4YLCmtaH8cmit&#10;guyr/zu2K842++131xc/ycm0F6Veh91yCiJQF/7Dz/ZOK/iYjOFxJh4BOb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ZnzZxQAAANwAAAAPAAAAAAAAAAAAAAAAAJgCAABkcnMv&#10;ZG93bnJldi54bWxQSwUGAAAAAAQABAD1AAAAigMAAAAA&#10;" fillcolor="window" strokecolor="black [3213]" strokeweight="1pt">
                            <v:textbox>
                              <w:txbxContent>
                                <w:p w:rsidR="00B24F7C" w:rsidRPr="00BD1285" w:rsidRDefault="00B24F7C" w:rsidP="00317698">
                                  <w:pPr>
                                    <w:spacing w:before="0" w:after="0" w:line="240" w:lineRule="auto"/>
                                    <w:rPr>
                                      <w:color w:val="000000"/>
                                      <w:sz w:val="18"/>
                                      <w14:reflection w14:blurRad="0" w14:stA="50000" w14:stPos="0" w14:endA="0" w14:endPos="0" w14:dist="0" w14:dir="0" w14:fadeDir="0" w14:sx="0" w14:sy="0" w14:kx="0" w14:ky="0" w14:algn="b"/>
                                    </w:rPr>
                                  </w:pPr>
                                  <w:r w:rsidRPr="00BD1285">
                                    <w:rPr>
                                      <w:color w:val="000000"/>
                                      <w:sz w:val="18"/>
                                      <w14:reflection w14:blurRad="0" w14:stA="50000" w14:stPos="0" w14:endA="0" w14:endPos="0" w14:dist="0" w14:dir="0" w14:fadeDir="0" w14:sx="0" w14:sy="0" w14:kx="0" w14:ky="0" w14:algn="b"/>
                                    </w:rPr>
                                    <w:t>Pairwise comparison and determination of factors weight (AHP)</w:t>
                                  </w:r>
                                </w:p>
                              </w:txbxContent>
                            </v:textbox>
                          </v:shape>
                          <v:shape id="Flowchart: Alternate Process 462" o:spid="_x0000_s1039" type="#_x0000_t176" style="position:absolute;left:21155;top:50427;width:22217;height:26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TirsUA&#10;AADcAAAADwAAAGRycy9kb3ducmV2LnhtbESPQWvCQBSE7wX/w/KE3uqmUqSkrmIFRS09RL309sg+&#10;s8Hs25jdaPLvu4LgcZiZb5jpvLOVuFLjS8cK3kcJCOLc6ZILBcfD6u0ThA/IGivHpKAnD/PZ4GWK&#10;qXY3zui6D4WIEPYpKjAh1KmUPjdk0Y9cTRy9k2sshiibQuoGbxFuKzlOkom0WHJcMFjT0lB+3rdW&#10;QbbtL8f2m7PVz3rX9cVv8mfas1Kvw27xBSJQF57hR3ujFXxMxnA/E4+AnP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tOKuxQAAANwAAAAPAAAAAAAAAAAAAAAAAJgCAABkcnMv&#10;ZG93bnJldi54bWxQSwUGAAAAAAQABAD1AAAAigMAAAAA&#10;" fillcolor="window" strokecolor="black [3213]" strokeweight="1pt">
                            <v:textbox>
                              <w:txbxContent>
                                <w:p w:rsidR="00B24F7C" w:rsidRPr="00BD1285" w:rsidRDefault="00B24F7C" w:rsidP="00317698">
                                  <w:pPr>
                                    <w:spacing w:before="0" w:after="0" w:line="240" w:lineRule="auto"/>
                                    <w:rPr>
                                      <w:color w:val="000000"/>
                                      <w:sz w:val="18"/>
                                      <w14:reflection w14:blurRad="0" w14:stA="50000" w14:stPos="0" w14:endA="0" w14:endPos="0" w14:dist="0" w14:dir="0" w14:fadeDir="0" w14:sx="0" w14:sy="0" w14:kx="0" w14:ky="0" w14:algn="b"/>
                                    </w:rPr>
                                  </w:pPr>
                                  <w:r w:rsidRPr="00BD1285">
                                    <w:rPr>
                                      <w:color w:val="000000"/>
                                      <w:sz w:val="18"/>
                                      <w14:reflection w14:blurRad="0" w14:stA="50000" w14:stPos="0" w14:endA="0" w14:endPos="0" w14:dist="0" w14:dir="0" w14:fadeDir="0" w14:sx="0" w14:sy="0" w14:kx="0" w14:ky="0" w14:algn="b"/>
                                    </w:rPr>
                                    <w:t>Calculate Consistency Ratio (CR)</w:t>
                                  </w:r>
                                </w:p>
                              </w:txbxContent>
                            </v:textbox>
                          </v:shape>
                          <v:shape id="Flowchart: Alternate Process 463" o:spid="_x0000_s1040" type="#_x0000_t176" style="position:absolute;left:18106;top:68554;width:27915;height:265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hHNcYA&#10;AADcAAAADwAAAGRycy9kb3ducmV2LnhtbESPQWvCQBSE7wX/w/KE3urGWqREV1FBaSs9RL14e2Sf&#10;2WD2bZrdaPLvu0Khx2FmvmHmy85W4kaNLx0rGI8SEMS50yUXCk7H7cs7CB+QNVaOSUFPHpaLwdMc&#10;U+3unNHtEAoRIexTVGBCqFMpfW7Ioh+5mjh6F9dYDFE2hdQN3iPcVvI1SabSYslxwWBNG0P59dBa&#10;Bdln/3Nq15xt97uvri++k7Npr0o9D7vVDESgLvyH/9ofWsHbdAKPM/EIyM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fhHNcYAAADcAAAADwAAAAAAAAAAAAAAAACYAgAAZHJz&#10;L2Rvd25yZXYueG1sUEsFBgAAAAAEAAQA9QAAAIsDAAAAAA==&#10;" fillcolor="window" strokecolor="black [3213]" strokeweight="1pt">
                            <v:textbox>
                              <w:txbxContent>
                                <w:p w:rsidR="00B24F7C" w:rsidRPr="00BD1285" w:rsidRDefault="00B24F7C" w:rsidP="00317698">
                                  <w:pPr>
                                    <w:spacing w:before="0" w:after="0" w:line="240" w:lineRule="auto"/>
                                    <w:rPr>
                                      <w:color w:val="000000"/>
                                      <w:sz w:val="18"/>
                                      <w14:reflection w14:blurRad="0" w14:stA="50000" w14:stPos="0" w14:endA="0" w14:endPos="0" w14:dist="0" w14:dir="0" w14:fadeDir="0" w14:sx="0" w14:sy="0" w14:kx="0" w14:ky="0" w14:algn="b"/>
                                    </w:rPr>
                                  </w:pPr>
                                  <w:r w:rsidRPr="00BD1285">
                                    <w:rPr>
                                      <w:color w:val="000000"/>
                                      <w:sz w:val="18"/>
                                      <w14:reflection w14:blurRad="0" w14:stA="50000" w14:stPos="0" w14:endA="0" w14:endPos="0" w14:dist="0" w14:dir="0" w14:fadeDir="0" w14:sx="0" w14:sy="0" w14:kx="0" w14:ky="0" w14:algn="b"/>
                                    </w:rPr>
                                    <w:t>GROUNDWATER POTENTIAL ZONE</w:t>
                                  </w:r>
                                </w:p>
                              </w:txbxContent>
                            </v:textbox>
                          </v:shape>
                        </v:group>
                        <v:group id="Group 464" o:spid="_x0000_s1041" style="position:absolute;left:30;width:66370;height:83069" coordorigin="30" coordsize="66370,830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ETtp7xgAAANwA&#10;AAAPAAAAAAAAAAAAAAAAAKoCAABkcnMvZG93bnJldi54bWxQSwUGAAAAAAQABAD6AAAAnQMAAAAA&#10;">
                          <v:line id="Straight Connector 465" o:spid="_x0000_s1042" style="position:absolute;flip:y;visibility:visible;mso-wrap-style:square" from="44030,16896" to="58171,169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J7LLccAAADcAAAADwAAAGRycy9kb3ducmV2LnhtbESPQWsCMRSE7wX/Q3iFXqRmLdbqapRW&#10;kK0ohdpevD03r7uLm5dtEnX7740g9DjMzDfMdN6aWpzI+cqygn4vAUGcW11xoeD7a/k4AuEDssba&#10;Min4Iw/zWeduiqm2Z/6k0zYUIkLYp6igDKFJpfR5SQZ9zzbE0fuxzmCI0hVSOzxHuKnlU5IMpcGK&#10;40KJDS1Kyg/bo1Gwkr/rw5vbF9lIZsvd5uVjzFlXqYf79nUCIlAb/sO39rtWMBg+w/VMPAJyd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0nsstxwAAANwAAAAPAAAAAAAA&#10;AAAAAAAAAKECAABkcnMvZG93bnJldi54bWxQSwUGAAAAAAQABAD5AAAAlQMAAAAA&#10;" strokecolor="black [3213]" strokeweight="1pt">
                            <v:stroke joinstyle="miter"/>
                          </v:line>
                          <v:line id="Straight Connector 466" o:spid="_x0000_s1043" style="position:absolute;flip:y;visibility:visible;mso-wrap-style:square" from="47310,10734" to="60628,107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ExVWscAAADcAAAADwAAAGRycy9kb3ducmV2LnhtbESPT2vCQBTE74V+h+UVeim6qZRUo6tU&#10;QdJiEfxz8fbMPpNg9m3c3Wr67buFQo/DzPyGmcw604grOV9bVvDcT0AQF1bXXCrY75a9IQgfkDU2&#10;lknBN3mYTe/vJphpe+MNXbehFBHCPkMFVQhtJqUvKjLo+7Yljt7JOoMhSldK7fAW4aaRgyRJpcGa&#10;40KFLS0qKs7bL6PgQ15W57k7lvlQ5svD5+t6xPmTUo8P3dsYRKAu/If/2u9awUuawu+ZeATk9A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ETFVaxwAAANwAAAAPAAAAAAAA&#10;AAAAAAAAAKECAABkcnMvZG93bnJldi54bWxQSwUGAAAAAAQABAD5AAAAlQMAAAAA&#10;" strokecolor="black [3213]" strokeweight="1pt">
                            <v:stroke joinstyle="miter"/>
                          </v:line>
                          <v:line id="Straight Connector 467" o:spid="_x0000_s1044" style="position:absolute;flip:y;visibility:visible;mso-wrap-style:square" from="10336,39855" to="60429,398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wDwwccAAADcAAAADwAAAGRycy9kb3ducmV2LnhtbESPQWsCMRSE74L/ITzBS6lZpajdGkUF&#10;2ZaWQm0vvb1unruLm5c1ibr+eyMUPA4z8w0zW7SmFidyvrKsYDhIQBDnVldcKPj53jxOQfiArLG2&#10;TAou5GEx73ZmmGp75i86bUMhIoR9igrKEJpUSp+XZNAPbEMcvZ11BkOUrpDa4TnCTS1HSTKWBiuO&#10;CyU2tC4p32+PRsGbPLzvV+6vyKYy2/x+TD6fOXtQqt9rly8gArXhHv5vv2oFT+MJ3M7EIyDn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rAPDBxwAAANwAAAAPAAAAAAAA&#10;AAAAAAAAAKECAABkcnMvZG93bnJldi54bWxQSwUGAAAAAAQABAD5AAAAlQMAAAAA&#10;" strokecolor="black [3213]" strokeweight="1pt">
                            <v:stroke joinstyle="miter"/>
                          </v:line>
                          <v:group id="Group 468" o:spid="_x0000_s1045" style="position:absolute;left:30;width:66370;height:83069" coordorigin="30" coordsize="66370,830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AUD0H7CAAAA3AAAAA8A&#10;AAAAAAAAAAAAAAAAqgIAAGRycy9kb3ducmV2LnhtbFBLBQYAAAAABAAEAPoAAACZAwAAAAA=&#10;">
                            <v:shape id="Text Box 469" o:spid="_x0000_s1046" type="#_x0000_t202" style="position:absolute;left:10894;top:11055;width:13490;height:70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uBXMcA&#10;AADcAAAADwAAAGRycy9kb3ducmV2LnhtbESP3WrCQBSE7wu+w3KE3hTdVEU0uopUCtKK4A+Cd4fs&#10;MQlmz8bsxqRv3y0UvBxm5htmvmxNIR5Uudyygvd+BII4sTrnVMHp+NmbgHAeWWNhmRT8kIPlovMy&#10;x1jbhvf0OPhUBAi7GBVk3pexlC7JyKDr25I4eFdbGfRBVqnUFTYBbgo5iKKxNJhzWMiwpI+Mktuh&#10;NgqmRfPl5fm4W29Ha3evh2+X+rtW6rXbrmYgPLX+Gf5vb7SC0XgKf2fCEZCL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srgVzHAAAA3AAAAA8AAAAAAAAAAAAAAAAAmAIAAGRy&#10;cy9kb3ducmV2LnhtbFBLBQYAAAAABAAEAPUAAACMAwAAAAA=&#10;" filled="f" strokecolor="black [3213]" strokeweight="1pt">
                              <v:textbox>
                                <w:txbxContent>
                                  <w:p w:rsidR="00B24F7C" w:rsidRPr="00646C72" w:rsidRDefault="00B24F7C" w:rsidP="00317698">
                                    <w:pPr>
                                      <w:spacing w:before="0" w:after="0" w:line="240" w:lineRule="auto"/>
                                      <w:rPr>
                                        <w:sz w:val="16"/>
                                      </w:rPr>
                                    </w:pPr>
                                    <w:r w:rsidRPr="00646C72">
                                      <w:rPr>
                                        <w:sz w:val="16"/>
                                      </w:rPr>
                                      <w:t>Preprocessing</w:t>
                                    </w:r>
                                  </w:p>
                                  <w:p w:rsidR="00B24F7C" w:rsidRPr="00646C72" w:rsidRDefault="00B24F7C" w:rsidP="00317698">
                                    <w:pPr>
                                      <w:spacing w:before="0" w:after="0" w:line="240" w:lineRule="auto"/>
                                      <w:rPr>
                                        <w:sz w:val="16"/>
                                      </w:rPr>
                                    </w:pPr>
                                    <w:r w:rsidRPr="00646C72">
                                      <w:rPr>
                                        <w:sz w:val="16"/>
                                      </w:rPr>
                                      <w:t>Layer Stacking</w:t>
                                    </w:r>
                                  </w:p>
                                  <w:p w:rsidR="00B24F7C" w:rsidRPr="00646C72" w:rsidRDefault="00B24F7C" w:rsidP="00317698">
                                    <w:pPr>
                                      <w:spacing w:before="0" w:after="0" w:line="240" w:lineRule="auto"/>
                                      <w:rPr>
                                        <w:sz w:val="16"/>
                                      </w:rPr>
                                    </w:pPr>
                                    <w:r w:rsidRPr="00646C72">
                                      <w:rPr>
                                        <w:sz w:val="16"/>
                                      </w:rPr>
                                      <w:t>Correction</w:t>
                                    </w:r>
                                  </w:p>
                                  <w:p w:rsidR="00B24F7C" w:rsidRPr="00646C72" w:rsidRDefault="00B24F7C" w:rsidP="00317698">
                                    <w:pPr>
                                      <w:spacing w:before="0" w:after="0" w:line="240" w:lineRule="auto"/>
                                      <w:rPr>
                                        <w:sz w:val="16"/>
                                      </w:rPr>
                                    </w:pPr>
                                    <w:r w:rsidRPr="00646C72">
                                      <w:rPr>
                                        <w:sz w:val="16"/>
                                      </w:rPr>
                                      <w:t>Image Enhancement</w:t>
                                    </w:r>
                                  </w:p>
                                </w:txbxContent>
                              </v:textbox>
                            </v:shape>
                            <v:shape id="Text Box 470" o:spid="_x0000_s1047" type="#_x0000_t202" style="position:absolute;left:31323;top:10254;width:8617;height:34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8i+HMQA&#10;AADcAAAADwAAAGRycy9kb3ducmV2LnhtbERPy2rCQBTdC/7DcIVuSp20FWujoxSlICqCDwruLplr&#10;EszciZmJiX/vLAouD+c9mbWmEDeqXG5ZwXs/AkGcWJ1zquB4+H0bgXAeWWNhmRTcycFs2u1MMNa2&#10;4R3d9j4VIYRdjAoy78tYSpdkZND1bUkcuLOtDPoAq1TqCpsQbgr5EUVDaTDn0JBhSfOMksu+Ngq+&#10;i2bl5d9hu9gMFu5af76e6nWt1Euv/RmD8NT6p/jfvdQKBl9hfjgTjoCcP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IvhzEAAAA3AAAAA8AAAAAAAAAAAAAAAAAmAIAAGRycy9k&#10;b3ducmV2LnhtbFBLBQYAAAAABAAEAPUAAACJAwAAAAA=&#10;" filled="f" strokecolor="black [3213]" strokeweight="1pt">
                              <v:textbox>
                                <w:txbxContent>
                                  <w:p w:rsidR="00B24F7C" w:rsidRPr="00946D56" w:rsidRDefault="00B24F7C" w:rsidP="00317698">
                                    <w:pPr>
                                      <w:spacing w:before="0" w:after="0" w:line="240" w:lineRule="auto"/>
                                      <w:jc w:val="center"/>
                                      <w:rPr>
                                        <w:sz w:val="14"/>
                                      </w:rPr>
                                    </w:pPr>
                                    <w:r w:rsidRPr="00946D56">
                                      <w:rPr>
                                        <w:sz w:val="14"/>
                                      </w:rPr>
                                      <w:t>Geomorphology</w:t>
                                    </w:r>
                                  </w:p>
                                </w:txbxContent>
                              </v:textbox>
                            </v:shape>
                            <v:shape id="Text Box 471" o:spid="_x0000_s1048" type="#_x0000_t202" style="position:absolute;left:31323;top:18482;width:7867;height:26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Qbh8cA&#10;AADcAAAADwAAAGRycy9kb3ducmV2LnhtbESPQWvCQBSE74L/YXmCl6IbrWgbXaUoQqkiqKXg7ZF9&#10;JsHs2zS7Mem/7xYKHoeZ+YZZrFpTiDtVLresYDSMQBAnVuecKvg8bwcvIJxH1lhYJgU/5GC17HYW&#10;GGvb8JHuJ5+KAGEXo4LM+zKW0iUZGXRDWxIH72orgz7IKpW6wibATSHHUTSVBnMOCxmWtM4ouZ1q&#10;o+C1aD68/DofNvvJxn3Xz0+Xelcr1e+1b3MQnlr/CP+337WCyWwEf2fCEZDL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CEG4fHAAAA3AAAAA8AAAAAAAAAAAAAAAAAmAIAAGRy&#10;cy9kb3ducmV2LnhtbFBLBQYAAAAABAAEAPUAAACMAwAAAAA=&#10;" filled="f" strokecolor="black [3213]" strokeweight="1pt">
                              <v:textbox>
                                <w:txbxContent>
                                  <w:p w:rsidR="00B24F7C" w:rsidRPr="00FA69F0" w:rsidRDefault="00B24F7C" w:rsidP="00317698">
                                    <w:pPr>
                                      <w:spacing w:before="0" w:after="0" w:line="240" w:lineRule="auto"/>
                                      <w:jc w:val="center"/>
                                      <w:rPr>
                                        <w:sz w:val="16"/>
                                      </w:rPr>
                                    </w:pPr>
                                    <w:r w:rsidRPr="00FA69F0">
                                      <w:rPr>
                                        <w:sz w:val="16"/>
                                      </w:rPr>
                                      <w:t>Slope Map</w:t>
                                    </w:r>
                                  </w:p>
                                </w:txbxContent>
                              </v:textbox>
                            </v:shape>
                            <v:shape id="Text Box 472" o:spid="_x0000_s1049" type="#_x0000_t202" style="position:absolute;left:31323;top:21887;width:7867;height:36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aF8McA&#10;AADcAAAADwAAAGRycy9kb3ducmV2LnhtbESP3WrCQBSE7wXfYTkFb4puaqVqdJVSEYoWwR8E7w7Z&#10;0ySYPZtmNyZ9+65Q8HKYmW+Y+bI1hbhR5XLLCl4GEQjixOqcUwWn47o/AeE8ssbCMin4JQfLRbcz&#10;x1jbhvd0O/hUBAi7GBVk3pexlC7JyKAb2JI4eN+2MuiDrFKpK2wC3BRyGEVv0mDOYSHDkj4ySq6H&#10;2iiYFs3Gy/Nxt/oardxP/fp8qbe1Ur2n9n0GwlPrH+H/9qdWMBoP4X4mHAG5+A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BWhfDHAAAA3AAAAA8AAAAAAAAAAAAAAAAAmAIAAGRy&#10;cy9kb3ducmV2LnhtbFBLBQYAAAAABAAEAPUAAACMAwAAAAA=&#10;" filled="f" strokecolor="black [3213]" strokeweight="1pt">
                              <v:textbox>
                                <w:txbxContent>
                                  <w:p w:rsidR="00B24F7C" w:rsidRPr="00FA69F0" w:rsidRDefault="00B24F7C" w:rsidP="00317698">
                                    <w:pPr>
                                      <w:spacing w:before="0" w:after="0" w:line="240" w:lineRule="auto"/>
                                      <w:jc w:val="center"/>
                                      <w:rPr>
                                        <w:sz w:val="14"/>
                                      </w:rPr>
                                    </w:pPr>
                                    <w:r w:rsidRPr="00FA69F0">
                                      <w:rPr>
                                        <w:sz w:val="14"/>
                                      </w:rPr>
                                      <w:t>Drainage Map</w:t>
                                    </w:r>
                                  </w:p>
                                </w:txbxContent>
                              </v:textbox>
                            </v:shape>
                            <v:shape id="Text Box 473" o:spid="_x0000_s1050" type="#_x0000_t202" style="position:absolute;left:31323;top:26361;width:7867;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xoga8cA&#10;AADcAAAADwAAAGRycy9kb3ducmV2LnhtbESPQWvCQBSE74L/YXmFXkQ3Vqk2uopUCqUWwSgFb4/s&#10;axLMvk2zG5P++25B8DjMzDfMct2ZUlypdoVlBeNRBII4tbrgTMHp+Dacg3AeWWNpmRT8koP1qt9b&#10;Yqxtywe6Jj4TAcIuRgW591UspUtzMuhGtiIO3retDfog60zqGtsAN6V8iqJnabDgsJBjRa85pZek&#10;MQpeyvbDy6/jfvs53bqfZjI4N7tGqceHbrMA4anz9/Ct/a4VTGcT+D8TjoBc/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8aIGvHAAAA3AAAAA8AAAAAAAAAAAAAAAAAmAIAAGRy&#10;cy9kb3ducmV2LnhtbFBLBQYAAAAABAAEAPUAAACMAwAAAAA=&#10;" filled="f" strokecolor="black [3213]" strokeweight="1pt">
                              <v:textbox>
                                <w:txbxContent>
                                  <w:p w:rsidR="00B24F7C" w:rsidRPr="007D571C" w:rsidRDefault="00B24F7C" w:rsidP="00317698">
                                    <w:pPr>
                                      <w:spacing w:before="0" w:after="0" w:line="240" w:lineRule="auto"/>
                                      <w:jc w:val="center"/>
                                      <w:rPr>
                                        <w:sz w:val="14"/>
                                      </w:rPr>
                                    </w:pPr>
                                    <w:r w:rsidRPr="007D571C">
                                      <w:rPr>
                                        <w:sz w:val="14"/>
                                      </w:rPr>
                                      <w:t>Drainage Density Map</w:t>
                                    </w:r>
                                  </w:p>
                                </w:txbxContent>
                              </v:textbox>
                            </v:shape>
                            <v:shape id="Text Box 474" o:spid="_x0000_s1051" type="#_x0000_t202" style="position:absolute;left:5681;top:20966;width:7868;height:44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O4H8gA&#10;AADcAAAADwAAAGRycy9kb3ducmV2LnhtbESPW2vCQBSE3wv+h+UIfSm60QYv0VWKUihtEbwg+HbI&#10;HpNg9mya3Zj033cLhT4OM/MNs1x3phR3ql1hWcFoGIEgTq0uOFNwOr4OZiCcR9ZYWiYF3+Rgveo9&#10;LDHRtuU93Q8+EwHCLkEFufdVIqVLczLohrYiDt7V1gZ9kHUmdY1tgJtSjqNoIg0WHBZyrGiTU3o7&#10;NEbBvGzfvTwfd9vPeOu+muenS/PRKPXY714WIDx1/j/8137TCuJpDL9nwhGQqx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g87gfyAAAANwAAAAPAAAAAAAAAAAAAAAAAJgCAABk&#10;cnMvZG93bnJldi54bWxQSwUGAAAAAAQABAD1AAAAjQMAAAAA&#10;" filled="f" strokecolor="black [3213]" strokeweight="1pt">
                              <v:textbox>
                                <w:txbxContent>
                                  <w:p w:rsidR="00B24F7C" w:rsidRPr="007D571C" w:rsidRDefault="00B24F7C" w:rsidP="00317698">
                                    <w:pPr>
                                      <w:spacing w:before="0" w:after="0" w:line="240" w:lineRule="auto"/>
                                      <w:rPr>
                                        <w:sz w:val="18"/>
                                      </w:rPr>
                                    </w:pPr>
                                    <w:r w:rsidRPr="007D571C">
                                      <w:rPr>
                                        <w:sz w:val="18"/>
                                      </w:rPr>
                                      <w:t xml:space="preserve">LU/LC </w:t>
                                    </w:r>
                                    <w:r>
                                      <w:rPr>
                                        <w:sz w:val="18"/>
                                      </w:rPr>
                                      <w:t>map</w:t>
                                    </w:r>
                                  </w:p>
                                </w:txbxContent>
                              </v:textbox>
                            </v:shape>
                            <v:shape id="Text Box 475" o:spid="_x0000_s1052" type="#_x0000_t202" style="position:absolute;left:16384;top:20718;width:11647;height:2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78dhMcA&#10;AADcAAAADwAAAGRycy9kb3ducmV2LnhtbESP3WrCQBSE7wt9h+UI3ohu6l9t6iqlIoiWQlUE7w7Z&#10;YxKaPZtmNyZ9+64g9HKYmW+Y+bI1hbhS5XLLCp4GEQjixOqcUwXHw7o/A+E8ssbCMin4JQfLxePD&#10;HGNtG/6i696nIkDYxagg876MpXRJRgbdwJbEwbvYyqAPskqlrrAJcFPIYRRNpcGcw0KGJb1nlHzv&#10;a6PgpWi2Xp4On6uP8cr91KPeud7VSnU77dsrCE+t/w/f2xutYPw8gduZcATk4g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HYTHAAAA3AAAAA8AAAAAAAAAAAAAAAAAmAIAAGRy&#10;cy9kb3ducmV2LnhtbFBLBQYAAAAABAAEAPUAAACMAwAAAAA=&#10;" filled="f" strokecolor="black [3213]" strokeweight="1pt">
                              <v:textbox>
                                <w:txbxContent>
                                  <w:p w:rsidR="00B24F7C" w:rsidRPr="007D571C" w:rsidRDefault="00B24F7C" w:rsidP="00317698">
                                    <w:pPr>
                                      <w:spacing w:before="0" w:after="0" w:line="240" w:lineRule="auto"/>
                                      <w:rPr>
                                        <w:sz w:val="18"/>
                                      </w:rPr>
                                    </w:pPr>
                                    <w:r>
                                      <w:rPr>
                                        <w:sz w:val="18"/>
                                      </w:rPr>
                                      <w:t>Lineament Map</w:t>
                                    </w:r>
                                  </w:p>
                                </w:txbxContent>
                              </v:textbox>
                            </v:shape>
                            <v:shape id="Text Box 476" o:spid="_x0000_s1053" type="#_x0000_t202" style="position:absolute;left:14551;top:25873;width:14205;height:39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2D88cA&#10;AADcAAAADwAAAGRycy9kb3ducmV2LnhtbESPQWvCQBSE70L/w/KEXkQ3raI1dZWiFESlUC1Cb4/s&#10;MwnNvo3ZjYn/visIHoeZ+YaZLVpTiAtVLres4GUQgSBOrM45VfBz+Oy/gXAeWWNhmRRcycFi/tSZ&#10;Yaxtw9902ftUBAi7GBVk3pexlC7JyKAb2JI4eCdbGfRBVqnUFTYBbgr5GkVjaTDnsJBhScuMkr99&#10;bRRMi2bj5fHwtdqNVu5cD3u/9bZW6rnbfryD8NT6R/jeXmsFo8kYbmfCEZDz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9tg/PHAAAA3AAAAA8AAAAAAAAAAAAAAAAAmAIAAGRy&#10;cy9kb3ducmV2LnhtbFBLBQYAAAAABAAEAPUAAACMAwAAAAA=&#10;" filled="f" strokecolor="black [3213]" strokeweight="1pt">
                              <v:textbox>
                                <w:txbxContent>
                                  <w:p w:rsidR="00B24F7C" w:rsidRDefault="00B24F7C" w:rsidP="00317698">
                                    <w:pPr>
                                      <w:spacing w:before="0" w:after="0" w:line="240" w:lineRule="auto"/>
                                      <w:rPr>
                                        <w:sz w:val="18"/>
                                      </w:rPr>
                                    </w:pPr>
                                    <w:r>
                                      <w:rPr>
                                        <w:sz w:val="18"/>
                                      </w:rPr>
                                      <w:t>Lineament Density</w:t>
                                    </w:r>
                                  </w:p>
                                  <w:p w:rsidR="00B24F7C" w:rsidRPr="007D571C" w:rsidRDefault="00B24F7C" w:rsidP="00317698">
                                    <w:pPr>
                                      <w:spacing w:before="0" w:after="0" w:line="240" w:lineRule="auto"/>
                                      <w:jc w:val="center"/>
                                      <w:rPr>
                                        <w:sz w:val="18"/>
                                      </w:rPr>
                                    </w:pPr>
                                    <w:r>
                                      <w:rPr>
                                        <w:sz w:val="18"/>
                                      </w:rPr>
                                      <w:t>Map</w:t>
                                    </w:r>
                                  </w:p>
                                </w:txbxContent>
                              </v:textbox>
                            </v:shape>
                            <v:shape id="Text Box 477" o:spid="_x0000_s1054" type="#_x0000_t202" style="position:absolute;left:41076;top:12354;width:13445;height:41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EmaMcA&#10;AADcAAAADwAAAGRycy9kb3ducmV2LnhtbESPW2vCQBSE3wv+h+UIfSm60YqX6CpFKZQqghcE3w7Z&#10;YxLMnk2zG5P++26h0MdhZr5hFqvWFOJBlcstKxj0IxDEidU5pwrOp/feFITzyBoLy6Tgmxyslp2n&#10;BcbaNnygx9GnIkDYxagg876MpXRJRgZd35bEwbvZyqAPskqlrrAJcFPIYRSNpcGcw0KGJa0zSu7H&#10;2iiYFc2nl5fTfrMbbdxX/fpyrbe1Us/d9m0OwlPr/8N/7Q+tYDSZwO+ZcATk8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AhJmjHAAAA3AAAAA8AAAAAAAAAAAAAAAAAmAIAAGRy&#10;cy9kb3ducmV2LnhtbFBLBQYAAAAABAAEAPUAAACMAwAAAAA=&#10;" filled="f" strokecolor="black [3213]" strokeweight="1pt">
                              <v:textbox>
                                <w:txbxContent>
                                  <w:p w:rsidR="00B24F7C" w:rsidRPr="00EE7DDE" w:rsidRDefault="00B24F7C" w:rsidP="00317698">
                                    <w:pPr>
                                      <w:spacing w:before="0" w:after="0" w:line="240" w:lineRule="auto"/>
                                      <w:jc w:val="center"/>
                                      <w:rPr>
                                        <w:sz w:val="16"/>
                                      </w:rPr>
                                    </w:pPr>
                                    <w:r w:rsidRPr="00EE7DDE">
                                      <w:rPr>
                                        <w:sz w:val="16"/>
                                      </w:rPr>
                                      <w:t>Digitization, Extract, Editing, Filling data</w:t>
                                    </w:r>
                                  </w:p>
                                </w:txbxContent>
                              </v:textbox>
                            </v:shape>
                            <v:shape id="Text Box 478" o:spid="_x0000_s1055" type="#_x0000_t202" style="position:absolute;left:54864;top:18968;width:6756;height:39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b6yGsQA&#10;AADcAAAADwAAAGRycy9kb3ducmV2LnhtbERPy2rCQBTdC/7DcIVuSp20FWujoxSlICqCDwruLplr&#10;EszciZmJiX/vLAouD+c9mbWmEDeqXG5ZwXs/AkGcWJ1zquB4+H0bgXAeWWNhmRTcycFs2u1MMNa2&#10;4R3d9j4VIYRdjAoy78tYSpdkZND1bUkcuLOtDPoAq1TqCpsQbgr5EUVDaTDn0JBhSfOMksu+Ngq+&#10;i2bl5d9hu9gMFu5af76e6nWt1Euv/RmD8NT6p/jfvdQKBl9hbTgTjoCcP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G+shrEAAAA3AAAAA8AAAAAAAAAAAAAAAAAmAIAAGRycy9k&#10;b3ducmV2LnhtbFBLBQYAAAAABAAEAPUAAACJAwAAAAA=&#10;" filled="f" strokecolor="black [3213]" strokeweight="1pt">
                              <v:textbox>
                                <w:txbxContent>
                                  <w:p w:rsidR="00B24F7C" w:rsidRPr="00FA69F0" w:rsidRDefault="00B24F7C" w:rsidP="00317698">
                                    <w:pPr>
                                      <w:spacing w:before="0" w:after="0" w:line="240" w:lineRule="auto"/>
                                      <w:jc w:val="center"/>
                                      <w:rPr>
                                        <w:sz w:val="16"/>
                                      </w:rPr>
                                    </w:pPr>
                                    <w:r w:rsidRPr="00FA69F0">
                                      <w:rPr>
                                        <w:sz w:val="16"/>
                                      </w:rPr>
                                      <w:t>Geology</w:t>
                                    </w:r>
                                  </w:p>
                                  <w:p w:rsidR="00B24F7C" w:rsidRPr="00FA69F0" w:rsidRDefault="00B24F7C" w:rsidP="00317698">
                                    <w:pPr>
                                      <w:spacing w:before="0" w:after="0" w:line="240" w:lineRule="auto"/>
                                      <w:jc w:val="center"/>
                                      <w:rPr>
                                        <w:sz w:val="16"/>
                                      </w:rPr>
                                    </w:pPr>
                                    <w:r w:rsidRPr="00FA69F0">
                                      <w:rPr>
                                        <w:sz w:val="16"/>
                                      </w:rPr>
                                      <w:t>Map</w:t>
                                    </w:r>
                                  </w:p>
                                </w:txbxContent>
                              </v:textbox>
                            </v:shape>
                            <v:shape id="Text Box 479" o:spid="_x0000_s1056" type="#_x0000_t202" style="position:absolute;left:42801;top:19066;width:4754;height:37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vIXgccA&#10;AADcAAAADwAAAGRycy9kb3ducmV2LnhtbESPW2vCQBSE3wv+h+UIfSm60YqX6CpFKZQqghcE3w7Z&#10;YxLMnk2zG5P++26h0MdhZr5hFqvWFOJBlcstKxj0IxDEidU5pwrOp/feFITzyBoLy6Tgmxyslp2n&#10;BcbaNnygx9GnIkDYxagg876MpXRJRgZd35bEwbvZyqAPskqlrrAJcFPIYRSNpcGcw0KGJa0zSu7H&#10;2iiYFc2nl5fTfrMbbdxX/fpyrbe1Us/d9m0OwlPr/8N/7Q+tYDSZwe+ZcATk8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7yF4HHAAAA3AAAAA8AAAAAAAAAAAAAAAAAmAIAAGRy&#10;cy9kb3ducmV2LnhtbFBLBQYAAAAABAAEAPUAAACMAwAAAAA=&#10;" filled="f" strokecolor="black [3213]" strokeweight="1pt">
                              <v:textbox>
                                <w:txbxContent>
                                  <w:p w:rsidR="00B24F7C" w:rsidRPr="00946D56" w:rsidRDefault="00B24F7C" w:rsidP="00317698">
                                    <w:pPr>
                                      <w:spacing w:before="0" w:after="0" w:line="240" w:lineRule="auto"/>
                                      <w:jc w:val="center"/>
                                      <w:rPr>
                                        <w:sz w:val="14"/>
                                      </w:rPr>
                                    </w:pPr>
                                    <w:r w:rsidRPr="00946D56">
                                      <w:rPr>
                                        <w:sz w:val="14"/>
                                      </w:rPr>
                                      <w:t>Soil</w:t>
                                    </w:r>
                                  </w:p>
                                  <w:p w:rsidR="00B24F7C" w:rsidRPr="00946D56" w:rsidRDefault="00B24F7C" w:rsidP="00317698">
                                    <w:pPr>
                                      <w:spacing w:before="0" w:after="0" w:line="240" w:lineRule="auto"/>
                                      <w:jc w:val="center"/>
                                      <w:rPr>
                                        <w:sz w:val="14"/>
                                      </w:rPr>
                                    </w:pPr>
                                    <w:r w:rsidRPr="00946D56">
                                      <w:rPr>
                                        <w:sz w:val="14"/>
                                      </w:rPr>
                                      <w:t>Map</w:t>
                                    </w:r>
                                  </w:p>
                                </w:txbxContent>
                              </v:textbox>
                            </v:shape>
                            <v:shape id="Text Box 480" o:spid="_x0000_s1057" type="#_x0000_t202" style="position:absolute;left:48054;top:18968;width:6096;height:39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h3OO8QA&#10;AADcAAAADwAAAGRycy9kb3ducmV2LnhtbERPTWvCQBC9C/6HZYReSrOpFUljVpFKoVQRqqXQ25Ad&#10;k2B2NmY3Jv337qHg8fG+s9VganGl1lWWFTxHMQji3OqKCwXfx/enBITzyBpry6TgjxysluNRhqm2&#10;PX/R9eALEULYpaig9L5JpXR5SQZdZBviwJ1sa9AH2BZSt9iHcFPLaRzPpcGKQ0OJDb2VlJ8PnVHw&#10;WvefXv4c95vdbOMu3cvjb7ftlHqYDOsFCE+Dv4v/3R9awSwJ88OZcAT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odzjvEAAAA3AAAAA8AAAAAAAAAAAAAAAAAmAIAAGRycy9k&#10;b3ducmV2LnhtbFBLBQYAAAAABAAEAPUAAACJAwAAAAA=&#10;" filled="f" strokecolor="black [3213]" strokeweight="1pt">
                              <v:textbox>
                                <w:txbxContent>
                                  <w:p w:rsidR="00B24F7C" w:rsidRPr="00FA69F0" w:rsidRDefault="00B24F7C" w:rsidP="00317698">
                                    <w:pPr>
                                      <w:spacing w:before="0" w:after="0" w:line="240" w:lineRule="auto"/>
                                      <w:jc w:val="center"/>
                                      <w:rPr>
                                        <w:sz w:val="14"/>
                                      </w:rPr>
                                    </w:pPr>
                                    <w:r w:rsidRPr="00FA69F0">
                                      <w:rPr>
                                        <w:sz w:val="14"/>
                                      </w:rPr>
                                      <w:t>Rainfall</w:t>
                                    </w:r>
                                  </w:p>
                                  <w:p w:rsidR="00B24F7C" w:rsidRPr="00FA69F0" w:rsidRDefault="00B24F7C" w:rsidP="00317698">
                                    <w:pPr>
                                      <w:spacing w:before="0" w:after="0" w:line="240" w:lineRule="auto"/>
                                      <w:jc w:val="center"/>
                                      <w:rPr>
                                        <w:sz w:val="14"/>
                                      </w:rPr>
                                    </w:pPr>
                                    <w:r w:rsidRPr="00FA69F0">
                                      <w:rPr>
                                        <w:sz w:val="14"/>
                                      </w:rPr>
                                      <w:t>Map</w:t>
                                    </w:r>
                                  </w:p>
                                </w:txbxContent>
                              </v:textbox>
                            </v:shape>
                            <v:shape id="Text Box 481" o:spid="_x0000_s1058" type="#_x0000_t202" style="position:absolute;left:21984;top:35116;width:30649;height:32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vxssYA&#10;AADcAAAADwAAAGRycy9kb3ducmV2LnhtbESPQUvDQBSE70L/w/IKXordVKqEtNtSCooUPKQK9vjI&#10;PpPY7Nuw+9rEf+8KgsdhZr5h1tvRdepKIbaeDSzmGSjiytuWawPvb093OagoyBY7z2TgmyJsN5Ob&#10;NRbWD1zS9Si1ShCOBRpoRPpC61g15DDOfU+cvE8fHEqSodY24JDgrtP3WfaoHbacFhrsad9QdT5e&#10;nIHxYSZBlqdSP+fl6+FjNxsOXxdjbqfjbgVKaJT/8F/7xRpY5gv4PZOOgN78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hvxssYAAADcAAAADwAAAAAAAAAAAAAAAACYAgAAZHJz&#10;L2Rvd25yZXYueG1sUEsFBgAAAAAEAAQA9QAAAIsDAAAAAA==&#10;" fillcolor="window" strokecolor="black [3213]" strokeweight="1pt">
                              <v:textbox>
                                <w:txbxContent>
                                  <w:p w:rsidR="00B24F7C" w:rsidRPr="00B52C8B" w:rsidRDefault="00B24F7C" w:rsidP="00317698">
                                    <w:pPr>
                                      <w:spacing w:before="0" w:after="0" w:line="240" w:lineRule="auto"/>
                                      <w:jc w:val="center"/>
                                      <w:rPr>
                                        <w:b/>
                                      </w:rPr>
                                    </w:pPr>
                                    <w:r>
                                      <w:rPr>
                                        <w:b/>
                                      </w:rPr>
                                      <w:t>Thematic m</w:t>
                                    </w:r>
                                    <w:r w:rsidRPr="00B52C8B">
                                      <w:rPr>
                                        <w:b/>
                                      </w:rPr>
                                      <w:t>aps of the input layers</w:t>
                                    </w:r>
                                  </w:p>
                                </w:txbxContent>
                              </v:textbox>
                            </v:shape>
                            <v:shape id="Text Box 482" o:spid="_x0000_s1059" type="#_x0000_t202" style="position:absolute;left:7202;top:41147;width:5346;height:11030;rotation:180;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ky3hsYA&#10;AADcAAAADwAAAGRycy9kb3ducmV2LnhtbESPX0vDQBDE3wW/w7GCL2IvFilt7LWUoiCI9I/R5zW3&#10;JsG7vZDbtPHbe4VCH4eZ+Q0zXw7eqQN1sQls4GGUgSIug224MlB8vNxPQUVBtugCk4E/irBcXF/N&#10;MbfhyDs67KVSCcIxRwO1SJtrHcuaPMZRaImT9xM6j5JkV2nb4THBvdPjLJtojw2nhRpbWtdU/u57&#10;b+D77s1VsnueFduNe//67KW3xcyY25th9QRKaJBL+Nx+tQYep2M4nUlHQC/+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ky3hsYAAADcAAAADwAAAAAAAAAAAAAAAACYAgAAZHJz&#10;L2Rvd25yZXYueG1sUEsFBgAAAAAEAAQA9QAAAIsDAAAAAA==&#10;" fillcolor="window" strokecolor="black [3213]" strokeweight="1pt">
                              <v:textbox style="layout-flow:vertical">
                                <w:txbxContent>
                                  <w:p w:rsidR="00B24F7C" w:rsidRPr="008A25A4" w:rsidRDefault="00B24F7C" w:rsidP="00317698">
                                    <w:pPr>
                                      <w:spacing w:before="0" w:after="0" w:line="240" w:lineRule="auto"/>
                                      <w:jc w:val="center"/>
                                      <w:rPr>
                                        <w:sz w:val="16"/>
                                      </w:rPr>
                                    </w:pPr>
                                    <w:r>
                                      <w:rPr>
                                        <w:sz w:val="16"/>
                                      </w:rPr>
                                      <w:t xml:space="preserve">Reclassified geology </w:t>
                                    </w:r>
                                    <w:r w:rsidRPr="008A25A4">
                                      <w:rPr>
                                        <w:sz w:val="16"/>
                                      </w:rPr>
                                      <w:t>map</w:t>
                                    </w:r>
                                  </w:p>
                                </w:txbxContent>
                              </v:textbox>
                            </v:shape>
                            <v:shape id="Text Box 483" o:spid="_x0000_s1060" type="#_x0000_t202" style="position:absolute;left:11284;top:43952;width:11004;height:5389;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PmvsYA&#10;AADcAAAADwAAAGRycy9kb3ducmV2LnhtbESP3WrCQBSE7wu+w3IE7+rGH0qIrhIK0oog1BbRu9Ps&#10;MUmbPRuyq4lv7wqCl8PMfMPMl52pxIUaV1pWMBpGIIgzq0vOFfx8r15jEM4ja6wsk4IrOVguei9z&#10;TLRt+YsuO5+LAGGXoILC+zqR0mUFGXRDWxMH72Qbgz7IJpe6wTbATSXHUfQmDZYcFgqs6b2g7H93&#10;Ngo+NuvR8cTp77Qu3Xbyt2/jA6VKDfpdOgPhqfPP8KP9qRVM4wncz4QjIB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uPmvsYAAADcAAAADwAAAAAAAAAAAAAAAACYAgAAZHJz&#10;L2Rvd25yZXYueG1sUEsFBgAAAAAEAAQA9QAAAIsDAAAAAA==&#10;" fillcolor="window" strokecolor="black [3213]" strokeweight="1pt">
                              <v:textbox>
                                <w:txbxContent>
                                  <w:p w:rsidR="00B24F7C" w:rsidRPr="00281D4D" w:rsidRDefault="00B24F7C" w:rsidP="00317698">
                                    <w:pPr>
                                      <w:spacing w:before="0" w:after="0" w:line="240" w:lineRule="auto"/>
                                      <w:jc w:val="center"/>
                                      <w:rPr>
                                        <w:sz w:val="16"/>
                                      </w:rPr>
                                    </w:pPr>
                                    <w:r w:rsidRPr="00281D4D">
                                      <w:rPr>
                                        <w:sz w:val="16"/>
                                      </w:rPr>
                                      <w:t>Reclassified geomorphologic map</w:t>
                                    </w:r>
                                  </w:p>
                                </w:txbxContent>
                              </v:textbox>
                            </v:shape>
                            <v:shape id="Text Box 484" o:spid="_x0000_s1061" type="#_x0000_t202" style="position:absolute;left:17071;top:44796;width:11011;height:3886;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Qp+ysYA&#10;AADcAAAADwAAAGRycy9kb3ducmV2LnhtbESPQWvCQBSE70L/w/IK3szGNkiIrhIEaUUoaEvR2zP7&#10;TNJm34bsatJ/3y0IPQ4z8w2zWA2mETfqXG1ZwTSKQRAXVtdcKvh430xSEM4ja2wsk4IfcrBaPowW&#10;mGnb855uB1+KAGGXoYLK+zaT0hUVGXSRbYmDd7GdQR9kV0rdYR/gppFPcTyTBmsOCxW2tK6o+D5c&#10;jYKX3XZ6unB+TtravT1/ffbpkXKlxo9DPgfhafD/4Xv7VStI0gT+zoQjIJ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Qp+ysYAAADcAAAADwAAAAAAAAAAAAAAAACYAgAAZHJz&#10;L2Rvd25yZXYueG1sUEsFBgAAAAAEAAQA9QAAAIsDAAAAAA==&#10;" fillcolor="window" strokecolor="black [3213]" strokeweight="1pt">
                              <v:textbox>
                                <w:txbxContent>
                                  <w:p w:rsidR="00B24F7C" w:rsidRPr="00281D4D" w:rsidRDefault="00B24F7C" w:rsidP="00317698">
                                    <w:pPr>
                                      <w:spacing w:before="0" w:after="0" w:line="240" w:lineRule="auto"/>
                                      <w:jc w:val="center"/>
                                      <w:rPr>
                                        <w:sz w:val="16"/>
                                      </w:rPr>
                                    </w:pPr>
                                    <w:r w:rsidRPr="00281D4D">
                                      <w:rPr>
                                        <w:sz w:val="16"/>
                                      </w:rPr>
                                      <w:t>Reclassified Soil texture map</w:t>
                                    </w:r>
                                  </w:p>
                                </w:txbxContent>
                              </v:textbox>
                            </v:shape>
                            <v:shape id="Text Box 485" o:spid="_x0000_s1062" type="#_x0000_t202" style="position:absolute;left:23308;top:44006;width:11074;height:5516;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bbUcYA&#10;AADcAAAADwAAAGRycy9kb3ducmV2LnhtbESPW2vCQBSE34X+h+UUfNONl0pIXSUIpZZCwQuib6fZ&#10;Y5I2ezZkVxP/vVso+DjMzDfMfNmZSlypcaVlBaNhBII4s7rkXMF+9zaIQTiPrLGyTApu5GC5eOrN&#10;MdG25Q1dtz4XAcIuQQWF93UipcsKMuiGtiYO3tk2Bn2QTS51g22Am0qOo2gmDZYcFgqsaVVQ9ru9&#10;GAXvnx+j05nT72lduq/Jz6GNj5Qq1X/u0lcQnjr/CP+311rBNH6BvzPhCMjFH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kbbUcYAAADcAAAADwAAAAAAAAAAAAAAAACYAgAAZHJz&#10;L2Rvd25yZXYueG1sUEsFBgAAAAAEAAQA9QAAAIsDAAAAAA==&#10;" fillcolor="window" strokecolor="black [3213]" strokeweight="1pt">
                              <v:textbox>
                                <w:txbxContent>
                                  <w:p w:rsidR="00B24F7C" w:rsidRPr="008A25A4" w:rsidRDefault="00B24F7C" w:rsidP="00317698">
                                    <w:pPr>
                                      <w:spacing w:before="0" w:after="0" w:line="240" w:lineRule="auto"/>
                                      <w:jc w:val="center"/>
                                      <w:rPr>
                                        <w:sz w:val="16"/>
                                      </w:rPr>
                                    </w:pPr>
                                    <w:r w:rsidRPr="008A25A4">
                                      <w:rPr>
                                        <w:sz w:val="16"/>
                                      </w:rPr>
                                      <w:t>Reclassified drainage density map</w:t>
                                    </w:r>
                                  </w:p>
                                </w:txbxContent>
                              </v:textbox>
                            </v:shape>
                            <v:shape id="Text Box 486" o:spid="_x0000_s1063" type="#_x0000_t202" style="position:absolute;left:30103;top:44088;width:10865;height:5261;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pRFJsYA&#10;AADcAAAADwAAAGRycy9kb3ducmV2LnhtbESP3WrCQBSE7wu+w3IE7+rGKhKiqwShaCkU/EH07pg9&#10;JtHs2ZDdmvTt3UKhl8PMfMPMl52pxIMaV1pWMBpGIIgzq0vOFRz2768xCOeRNVaWScEPOVguei9z&#10;TLRteUuPnc9FgLBLUEHhfZ1I6bKCDLqhrYmDd7WNQR9kk0vdYBvgppJvUTSVBksOCwXWtCoou+++&#10;jYL158fofOX0MqlL9zW+Hdv4RKlSg36XzkB46vx/+K+90Qom8RR+z4QjIB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pRFJsYAAADcAAAADwAAAAAAAAAAAAAAAACYAgAAZHJz&#10;L2Rvd25yZXYueG1sUEsFBgAAAAAEAAQA9QAAAIsDAAAAAA==&#10;" fillcolor="window" strokecolor="black [3213]" strokeweight="1pt">
                              <v:textbox>
                                <w:txbxContent>
                                  <w:p w:rsidR="00B24F7C" w:rsidRPr="00281D4D" w:rsidRDefault="00B24F7C" w:rsidP="00317698">
                                    <w:pPr>
                                      <w:spacing w:before="0" w:after="0" w:line="240" w:lineRule="auto"/>
                                      <w:jc w:val="center"/>
                                      <w:rPr>
                                        <w:sz w:val="16"/>
                                      </w:rPr>
                                    </w:pPr>
                                    <w:r w:rsidRPr="00281D4D">
                                      <w:rPr>
                                        <w:sz w:val="16"/>
                                      </w:rPr>
                                      <w:t xml:space="preserve">Reclassified lineament </w:t>
                                    </w:r>
                                    <w:r w:rsidRPr="00281D4D">
                                      <w:rPr>
                                        <w:sz w:val="16"/>
                                        <w:lang w:val="en-GB"/>
                                      </w:rPr>
                                      <w:t>density map</w:t>
                                    </w:r>
                                  </w:p>
                                </w:txbxContent>
                              </v:textbox>
                            </v:shape>
                            <v:shape id="Text Box 487" o:spid="_x0000_s1064" type="#_x0000_t202" style="position:absolute;left:55519;top:44767;width:10827;height:4013;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IQzN8UA&#10;AADcAAAADwAAAGRycy9kb3ducmV2LnhtbESPQWvCQBSE7wX/w/KE3upGKTZEV1GJUIqHGkU8PrLP&#10;JJh9G7IbTf99VxA8DjPzDTNf9qYWN2pdZVnBeBSBIM6trrhQcDxsP2IQziNrrC2Tgj9ysFwM3uaY&#10;aHvnPd0yX4gAYZeggtL7JpHS5SUZdCPbEAfvYluDPsi2kLrFe4CbWk6iaCoNVhwWSmxoU1J+zTqj&#10;IGvS0+91dzmn3fFnm3XreKrTnVLvw341A+Gp96/ws/2tFXzGX/A4E46AXP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hDM3xQAAANwAAAAPAAAAAAAAAAAAAAAAAJgCAABkcnMv&#10;ZG93bnJldi54bWxQSwUGAAAAAAQABAD1AAAAigMAAAAA&#10;" filled="f" strokecolor="black [3213]" strokeweight="1pt">
                              <v:textbox>
                                <w:txbxContent>
                                  <w:p w:rsidR="00B24F7C" w:rsidRPr="00281D4D" w:rsidRDefault="00B24F7C" w:rsidP="00317698">
                                    <w:pPr>
                                      <w:spacing w:before="0" w:after="0" w:line="240" w:lineRule="auto"/>
                                      <w:jc w:val="center"/>
                                      <w:rPr>
                                        <w:sz w:val="16"/>
                                      </w:rPr>
                                    </w:pPr>
                                    <w:r w:rsidRPr="00281D4D">
                                      <w:rPr>
                                        <w:sz w:val="16"/>
                                      </w:rPr>
                                      <w:t>Reclassified</w:t>
                                    </w:r>
                                  </w:p>
                                  <w:p w:rsidR="00B24F7C" w:rsidRPr="00281D4D" w:rsidRDefault="00B24F7C" w:rsidP="00317698">
                                    <w:pPr>
                                      <w:spacing w:before="0" w:after="0" w:line="240" w:lineRule="auto"/>
                                      <w:jc w:val="center"/>
                                      <w:rPr>
                                        <w:sz w:val="16"/>
                                      </w:rPr>
                                    </w:pPr>
                                    <w:r w:rsidRPr="00281D4D">
                                      <w:rPr>
                                        <w:sz w:val="16"/>
                                      </w:rPr>
                                      <w:t xml:space="preserve">LU/LC </w:t>
                                    </w:r>
                                    <w:r w:rsidRPr="00281D4D">
                                      <w:rPr>
                                        <w:sz w:val="16"/>
                                        <w:lang w:val="en-GB"/>
                                      </w:rPr>
                                      <w:t>map</w:t>
                                    </w:r>
                                  </w:p>
                                </w:txbxContent>
                              </v:textbox>
                            </v:shape>
                            <v:shape id="Text Box 488" o:spid="_x0000_s1065" type="#_x0000_t202" style="position:absolute;left:42189;top:44622;width:10903;height:4164;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d0z8IA&#10;AADcAAAADwAAAGRycy9kb3ducmV2LnhtbERPy2rCQBTdF/yH4Qru6sQHJaSOEgRREQStSLu7zVyT&#10;aOZOyIwm/r2zKHR5OO/ZojOVeFDjSssKRsMIBHFmdcm5gtPX6j0G4TyyxsoyKXiSg8W89zbDRNuW&#10;D/Q4+lyEEHYJKii8rxMpXVaQQTe0NXHgLrYx6ANscqkbbEO4qeQ4ij6kwZJDQ4E1LQvKbse7UbDe&#10;bUc/F05/p3Xp9pPruY2/KVVq0O/STxCeOv8v/nNvtIJpHNaGM+EIyPk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R3TPwgAAANwAAAAPAAAAAAAAAAAAAAAAAJgCAABkcnMvZG93&#10;bnJldi54bWxQSwUGAAAAAAQABAD1AAAAhwMAAAAA&#10;" fillcolor="window" strokecolor="black [3213]" strokeweight="1pt">
                              <v:textbox>
                                <w:txbxContent>
                                  <w:p w:rsidR="00B24F7C" w:rsidRPr="00281D4D" w:rsidRDefault="00B24F7C" w:rsidP="00317698">
                                    <w:pPr>
                                      <w:spacing w:before="0" w:after="0" w:line="240" w:lineRule="auto"/>
                                      <w:jc w:val="center"/>
                                      <w:rPr>
                                        <w:sz w:val="16"/>
                                      </w:rPr>
                                    </w:pPr>
                                    <w:r w:rsidRPr="00281D4D">
                                      <w:rPr>
                                        <w:sz w:val="16"/>
                                      </w:rPr>
                                      <w:t xml:space="preserve">Reclassified rainfall </w:t>
                                    </w:r>
                                    <w:r w:rsidRPr="00281D4D">
                                      <w:rPr>
                                        <w:sz w:val="16"/>
                                        <w:lang w:val="en-GB"/>
                                      </w:rPr>
                                      <w:t>map</w:t>
                                    </w:r>
                                  </w:p>
                                </w:txbxContent>
                              </v:textbox>
                            </v:shape>
                            <v:shape id="Text Box 489" o:spid="_x0000_s1066" type="#_x0000_t202" style="position:absolute;left:36235;top:44504;width:10941;height:4375;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wvRVMcA&#10;AADcAAAADwAAAGRycy9kb3ducmV2LnhtbESP3WrCQBSE74W+w3IKvTMbf5AYXSUUxJaCoBXRu9Ps&#10;MUmbPRuyW5O+fbcg9HKYmW+Y5bo3tbhR6yrLCkZRDII4t7riQsHxfTNMQDiPrLG2TAp+yMF69TBY&#10;Yqptx3u6HXwhAoRdigpK75tUSpeXZNBFtiEO3tW2Bn2QbSF1i12Am1qO43gmDVYcFkps6Lmk/Ovw&#10;bRRs315HlytnH9OmcrvJ56lLzpQp9fTYZwsQnnr/H763X7SCaTKHvzPhCMjV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sL0VTHAAAA3AAAAA8AAAAAAAAAAAAAAAAAmAIAAGRy&#10;cy9kb3ducmV2LnhtbFBLBQYAAAAABAAEAPUAAACMAwAAAAA=&#10;" fillcolor="window" strokecolor="black [3213]" strokeweight="1pt">
                              <v:textbox>
                                <w:txbxContent>
                                  <w:p w:rsidR="00B24F7C" w:rsidRPr="00281D4D" w:rsidRDefault="00B24F7C" w:rsidP="00317698">
                                    <w:pPr>
                                      <w:spacing w:before="0" w:after="0" w:line="240" w:lineRule="auto"/>
                                      <w:jc w:val="center"/>
                                      <w:rPr>
                                        <w:sz w:val="16"/>
                                      </w:rPr>
                                    </w:pPr>
                                    <w:r w:rsidRPr="00281D4D">
                                      <w:rPr>
                                        <w:sz w:val="16"/>
                                      </w:rPr>
                                      <w:t xml:space="preserve">Reclassified soil </w:t>
                                    </w:r>
                                  </w:p>
                                  <w:p w:rsidR="00B24F7C" w:rsidRPr="00281D4D" w:rsidRDefault="00B24F7C" w:rsidP="00317698">
                                    <w:pPr>
                                      <w:spacing w:before="0" w:after="0" w:line="240" w:lineRule="auto"/>
                                      <w:jc w:val="center"/>
                                      <w:rPr>
                                        <w:sz w:val="16"/>
                                      </w:rPr>
                                    </w:pPr>
                                    <w:r w:rsidRPr="00281D4D">
                                      <w:rPr>
                                        <w:sz w:val="16"/>
                                        <w:lang w:val="en-GB"/>
                                      </w:rPr>
                                      <w:t>Map</w:t>
                                    </w:r>
                                  </w:p>
                                </w:txbxContent>
                              </v:textbox>
                            </v:shape>
                            <v:shape id="Text Box 490" o:spid="_x0000_s1067" type="#_x0000_t202" style="position:absolute;left:49173;top:44406;width:11015;height:4477;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uFMMA&#10;AADcAAAADwAAAGRycy9kb3ducmV2LnhtbERPy2rCQBTdF/yH4Qru6sQqRaOjhELRIgg+EN1dM9ck&#10;NnMnZKYm/r2zKLg8nPds0ZpS3Kl2hWUFg34Egji1uuBMwWH//T4G4TyyxtIyKXiQg8W88zbDWNuG&#10;t3Tf+UyEEHYxKsi9r2IpXZqTQde3FXHgrrY26AOsM6lrbEK4KeVHFH1KgwWHhhwr+sop/d39GQXL&#10;9c/gfOXkMqoKtxnejs34RIlSvW6bTEF4av1L/O9eaQWjSZgfzoQjIO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juFMMAAADcAAAADwAAAAAAAAAAAAAAAACYAgAAZHJzL2Rv&#10;d25yZXYueG1sUEsFBgAAAAAEAAQA9QAAAIgDAAAAAA==&#10;" fillcolor="window" strokecolor="black [3213]" strokeweight="1pt">
                              <v:textbox>
                                <w:txbxContent>
                                  <w:p w:rsidR="00B24F7C" w:rsidRPr="00281D4D" w:rsidRDefault="00B24F7C" w:rsidP="00317698">
                                    <w:pPr>
                                      <w:spacing w:before="0" w:after="0" w:line="240" w:lineRule="auto"/>
                                      <w:jc w:val="center"/>
                                      <w:rPr>
                                        <w:sz w:val="16"/>
                                      </w:rPr>
                                    </w:pPr>
                                    <w:r w:rsidRPr="00281D4D">
                                      <w:rPr>
                                        <w:sz w:val="16"/>
                                      </w:rPr>
                                      <w:t xml:space="preserve">Reclassified elevation </w:t>
                                    </w:r>
                                    <w:r w:rsidRPr="00281D4D">
                                      <w:rPr>
                                        <w:sz w:val="16"/>
                                        <w:lang w:val="en-GB"/>
                                      </w:rPr>
                                      <w:t>map</w:t>
                                    </w:r>
                                  </w:p>
                                </w:txbxContent>
                              </v:textbox>
                            </v:shape>
                            <v:shape id="Text Box 491" o:spid="_x0000_s1068" type="#_x0000_t202" style="position:absolute;left:31323;top:14202;width:8337;height:36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j9fccA&#10;AADcAAAADwAAAGRycy9kb3ducmV2LnhtbESP3WrCQBSE7wu+w3IEb4putCIaXUUqgrQi+IPg3SF7&#10;TILZs2l2Y9K37xYKvRxm5htmsWpNIZ5UudyyguEgAkGcWJ1zquBy3vanIJxH1lhYJgXf5GC17Lws&#10;MNa24SM9Tz4VAcIuRgWZ92UspUsyMugGtiQO3t1WBn2QVSp1hU2Am0KOomgiDeYcFjIs6T2j5HGq&#10;jYJZ0Xx4eT0fNvvxxn3Vb6+3+rNWqtdt13MQnlr/H/5r77SC8WwIv2fCEZDL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CI/X3HAAAA3AAAAA8AAAAAAAAAAAAAAAAAmAIAAGRy&#10;cy9kb3ducmV2LnhtbFBLBQYAAAAABAAEAPUAAACMAwAAAAA=&#10;" filled="f" strokecolor="black [3213]" strokeweight="1pt">
                              <v:textbox>
                                <w:txbxContent>
                                  <w:p w:rsidR="00B24F7C" w:rsidRPr="00FA69F0" w:rsidRDefault="00B24F7C" w:rsidP="00317698">
                                    <w:pPr>
                                      <w:spacing w:before="0" w:after="0" w:line="240" w:lineRule="auto"/>
                                      <w:jc w:val="center"/>
                                      <w:rPr>
                                        <w:sz w:val="16"/>
                                      </w:rPr>
                                    </w:pPr>
                                    <w:r w:rsidRPr="00FA69F0">
                                      <w:rPr>
                                        <w:sz w:val="16"/>
                                      </w:rPr>
                                      <w:t>Elevation Map</w:t>
                                    </w:r>
                                  </w:p>
                                </w:txbxContent>
                              </v:textbox>
                            </v:shape>
                            <v:shape id="Text Box 492" o:spid="_x0000_s1069" type="#_x0000_t202" style="position:absolute;left:54864;top:12451;width:9720;height:37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FpjCscA&#10;AADcAAAADwAAAGRycy9kb3ducmV2LnhtbESP3WrCQBSE74W+w3IKvRHdaEU0uooohdKK4A+F3h2y&#10;xySYPZtmNya+vVsQvBxm5htmvmxNIa5UudyygkE/AkGcWJ1zquB0/OhNQDiPrLGwTApu5GC5eOnM&#10;Mda24T1dDz4VAcIuRgWZ92UspUsyMuj6tiQO3tlWBn2QVSp1hU2Am0IOo2gsDeYcFjIsaZ1RcjnU&#10;RsG0aL68/DnuNtvRxv3V793f+rtW6u21Xc1AeGr9M/xof2oFo+kQ/s+EIyAX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BaYwrHAAAA3AAAAA8AAAAAAAAAAAAAAAAAmAIAAGRy&#10;cy9kb3ducmV2LnhtbFBLBQYAAAAABAAEAPUAAACMAwAAAAA=&#10;" filled="f" strokecolor="black [3213]" strokeweight="1pt">
                              <v:textbox>
                                <w:txbxContent>
                                  <w:p w:rsidR="00B24F7C" w:rsidRPr="00946D56" w:rsidRDefault="00B24F7C" w:rsidP="00317698">
                                    <w:pPr>
                                      <w:spacing w:before="0" w:after="0" w:line="240" w:lineRule="auto"/>
                                      <w:jc w:val="center"/>
                                      <w:rPr>
                                        <w:sz w:val="16"/>
                                      </w:rPr>
                                    </w:pPr>
                                    <w:r w:rsidRPr="00946D56">
                                      <w:rPr>
                                        <w:sz w:val="16"/>
                                      </w:rPr>
                                      <w:t>Well/Spring yield</w:t>
                                    </w:r>
                                  </w:p>
                                </w:txbxContent>
                              </v:textbox>
                            </v:shape>
                            <v:group id="Group 493" o:spid="_x0000_s1070" style="position:absolute;left:30;width:66370;height:83069" coordorigin="30" coordsize="66370,830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5yMijFAAAA3AAA&#10;AA8AAAAAAAAAAAAAAAAAqgIAAGRycy9kb3ducmV2LnhtbFBLBQYAAAAABAAEAPoAAACcAwAAAAA=&#10;">
                              <v:line id="Straight Connector 494" o:spid="_x0000_s1071" style="position:absolute;flip:y;visibility:visible;mso-wrap-style:square" from="10826,54717" to="60915,547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gcekccAAADcAAAADwAAAGRycy9kb3ducmV2LnhtbESPT2sCMRTE74V+h/AKvYhmW6TqapS2&#10;IFtRBP9cvD03z93Fzcs2SXX99k1B6HGYmd8wk1lranEh5yvLCl56CQji3OqKCwX73bw7BOEDssba&#10;Mim4kYfZ9PFhgqm2V97QZRsKESHsU1RQhtCkUvq8JIO+Zxvi6J2sMxiidIXUDq8Rbmr5miRv0mDF&#10;caHEhj5Lys/bH6NgIb+X5w93LLKhzOaH1WA94qyj1PNT+z4GEagN/+F7+0sr6I/68HcmHgE5/QU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uBx6RxwAAANwAAAAPAAAAAAAA&#10;AAAAAAAAAKECAABkcnMvZG93bnJldi54bWxQSwUGAAAAAAQABAD5AAAAlQMAAAAA&#10;" strokecolor="black [3213]" strokeweight="1pt">
                                <v:stroke joinstyle="miter"/>
                              </v:lin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495" o:spid="_x0000_s1072" type="#_x0000_t67" style="position:absolute;left:34484;top:59925;width:778;height:183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ITy/sQA&#10;AADcAAAADwAAAGRycy9kb3ducmV2LnhtbESPQWvCQBSE70L/w/IKvekmojbGbIIUQ+1FMC09P7Kv&#10;SWj2bchuNf77bqHgcZiZb5ismEwvLjS6zrKCeBGBIK6t7rhR8PFezhMQziNr7C2Tghs5KPKHWYap&#10;tlc+06XyjQgQdikqaL0fUild3ZJBt7ADcfC+7GjQBzk2Uo94DXDTy2UUbaTBjsNCiwO9tFR/Vz9G&#10;QScPcVm/rp+TI31O/OaSU3lzSj09TvsdCE+Tv4f/20etYLVdw9+ZcARk/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yE8v7EAAAA3AAAAA8AAAAAAAAAAAAAAAAAmAIAAGRycy9k&#10;b3ducmV2LnhtbFBLBQYAAAAABAAEAPUAAACJAwAAAAA=&#10;" adj="7515,9646" fillcolor="windowText" strokecolor="black [3213]" strokeweight="1pt"/>
                              <v:line id="Straight Connector 496" o:spid="_x0000_s1073" style="position:absolute;visibility:visible;mso-wrap-style:square" from="66275,14045" to="66400,811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HpeqMQAAADcAAAADwAAAGRycy9kb3ducmV2LnhtbESP3WrCQBSE7wu+w3KE3tUTfwg2uooU&#10;Kl5Zan2A0+wxiWbPhuxqUp/eLRR6OczMN8xy3dta3bj1lRMN41ECiiV3ppJCw/Hr/WUOygcSQ7UT&#10;1vDDHtarwdOSMuM6+eTbIRQqQsRnpKEMockQfV6yJT9yDUv0Tq61FKJsCzQtdRFua5wkSYqWKokL&#10;JTX8VnJ+OVytBjvdJfu0m+xrzM/bb7kjzqYfWj8P+80CVOA+/If/2jujYfaawu+ZeARw9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sel6oxAAAANwAAAAPAAAAAAAAAAAA&#10;AAAAAKECAABkcnMvZG93bnJldi54bWxQSwUGAAAAAAQABAD5AAAAkgMAAAAA&#10;" strokecolor="black [3213]" strokeweight="1pt">
                                <v:stroke joinstyle="miter"/>
                              </v:line>
                              <v:shape id="Flowchart: Alternate Process 497" o:spid="_x0000_s1074" type="#_x0000_t176" style="position:absolute;left:31907;top:66004;width:6858;height:26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YxEcYA&#10;AADcAAAADwAAAGRycy9kb3ducmV2LnhtbESPQWvCQBSE7wX/w/IKvdVNpViNrqIFRS09xHrp7ZF9&#10;ZoPZt2l2o8m/dwuFHoeZ+YaZLztbiSs1vnSs4GWYgCDOnS65UHD62jxPQPiArLFyTAp68rBcDB7m&#10;mGp344yux1CICGGfogITQp1K6XNDFv3Q1cTRO7vGYoiyKaRu8BbhtpKjJBlLiyXHBYM1vRvKL8fW&#10;Ksj2/c+pXXO2+dgeur74TL5Ne1Hq6bFbzUAE6sJ/+K+90wpep2/weyYeAbm4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xYxEcYAAADcAAAADwAAAAAAAAAAAAAAAACYAgAAZHJz&#10;L2Rvd25yZXYueG1sUEsFBgAAAAAEAAQA9QAAAIsDAAAAAA==&#10;" fillcolor="window" strokecolor="black [3213]" strokeweight="1pt">
                                <v:textbox>
                                  <w:txbxContent>
                                    <w:p w:rsidR="00B24F7C" w:rsidRPr="00BD1285" w:rsidRDefault="00B24F7C" w:rsidP="00317698">
                                      <w:pPr>
                                        <w:spacing w:before="0" w:after="0" w:line="240" w:lineRule="auto"/>
                                        <w:jc w:val="center"/>
                                        <w:rPr>
                                          <w:color w:val="000000"/>
                                          <w:sz w:val="18"/>
                                          <w14:reflection w14:blurRad="0" w14:stA="50000" w14:stPos="0" w14:endA="0" w14:endPos="0" w14:dist="0" w14:dir="0" w14:fadeDir="0" w14:sx="0" w14:sy="0" w14:kx="0" w14:ky="0" w14:algn="b"/>
                                        </w:rPr>
                                      </w:pPr>
                                      <w:r w:rsidRPr="00BD1285">
                                        <w:rPr>
                                          <w:color w:val="000000"/>
                                          <w:sz w:val="18"/>
                                          <w14:reflection w14:blurRad="0" w14:stA="50000" w14:stPos="0" w14:endA="0" w14:endPos="0" w14:dist="0" w14:dir="0" w14:fadeDir="0" w14:sx="0" w14:sy="0" w14:kx="0" w14:ky="0" w14:algn="b"/>
                                        </w:rPr>
                                        <w:t>CR&lt;10%</w:t>
                                      </w:r>
                                    </w:p>
                                  </w:txbxContent>
                                </v:textbox>
                              </v:shape>
                              <v:shape id="Down Arrow 498" o:spid="_x0000_s1075" type="#_x0000_t67" style="position:absolute;left:34154;top:64593;width:1582;height:126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BC9MQA&#10;AADcAAAADwAAAGRycy9kb3ducmV2LnhtbERPy2rCQBTdC/2H4RbcmYn1QZtmItYqiLTU2m66u2Su&#10;STBzJ2ZGTf/eWQguD+edzjpTizO1rrKsYBjFIIhzqysuFPz+rAbPIJxH1lhbJgX/5GCWPfRSTLS9&#10;8Dedd74QIYRdggpK75tESpeXZNBFtiEO3N62Bn2AbSF1i5cQbmr5FMdTabDi0FBiQ4uS8sPuZBRM&#10;qu128xm/rTn/oNHX+H26/HNHpfqP3fwVhKfO38U391orGL+EteFMOAIyu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qwQvTEAAAA3AAAAA8AAAAAAAAAAAAAAAAAmAIAAGRycy9k&#10;b3ducmV2LnhtbFBLBQYAAAAABAAEAPUAAACJAwAAAAA=&#10;" adj="12268,9646" fillcolor="windowText" strokecolor="black [3213]" strokeweight="1pt"/>
                              <v:shape id="Flowchart: Alternate Process 499" o:spid="_x0000_s1076" type="#_x0000_t176" style="position:absolute;left:11088;top:65436;width:6251;height:26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UA+MYA&#10;AADcAAAADwAAAGRycy9kb3ducmV2LnhtbESPQWvCQBSE7wX/w/KE3urGIqVGV1FBaSs9RL14e2Sf&#10;2WD2bZrdaPLvu0Khx2FmvmHmy85W4kaNLx0rGI8SEMS50yUXCk7H7cs7CB+QNVaOSUFPHpaLwdMc&#10;U+3unNHtEAoRIexTVGBCqFMpfW7Ioh+5mjh6F9dYDFE2hdQN3iPcVvI1Sd6kxZLjgsGaNoby66G1&#10;CrLP/ufUrjnb7ndfXV98J2fTXpV6HnarGYhAXfgP/7U/tILJdAqPM/EIyM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cUA+MYAAADcAAAADwAAAAAAAAAAAAAAAACYAgAAZHJz&#10;L2Rvd25yZXYueG1sUEsFBgAAAAAEAAQA9QAAAIsDAAAAAA==&#10;" fillcolor="window" strokecolor="black [3213]" strokeweight="1pt">
                                <v:textbox>
                                  <w:txbxContent>
                                    <w:p w:rsidR="00B24F7C" w:rsidRPr="00BD1285" w:rsidRDefault="00B24F7C" w:rsidP="00317698">
                                      <w:pPr>
                                        <w:spacing w:before="0" w:after="0" w:line="240" w:lineRule="auto"/>
                                        <w:jc w:val="center"/>
                                        <w:rPr>
                                          <w:color w:val="000000"/>
                                          <w:sz w:val="18"/>
                                          <w14:reflection w14:blurRad="0" w14:stA="50000" w14:stPos="0" w14:endA="0" w14:endPos="0" w14:dist="0" w14:dir="0" w14:fadeDir="0" w14:sx="0" w14:sy="0" w14:kx="0" w14:ky="0" w14:algn="b"/>
                                        </w:rPr>
                                      </w:pPr>
                                      <w:r w:rsidRPr="00BD1285">
                                        <w:rPr>
                                          <w:color w:val="000000"/>
                                          <w:sz w:val="18"/>
                                          <w14:reflection w14:blurRad="0" w14:stA="50000" w14:stPos="0" w14:endA="0" w14:endPos="0" w14:dist="0" w14:dir="0" w14:fadeDir="0" w14:sx="0" w14:sy="0" w14:kx="0" w14:ky="0" w14:algn="b"/>
                                        </w:rPr>
                                        <w:t>NO</w:t>
                                      </w:r>
                                    </w:p>
                                  </w:txbxContent>
                                </v:textbox>
                              </v:shape>
                              <v:shape id="Flowchart: Alternate Process 500" o:spid="_x0000_s1077" type="#_x0000_t176" style="position:absolute;left:32055;top:70154;width:6278;height:26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Qzf8IA&#10;AADcAAAADwAAAGRycy9kb3ducmV2LnhtbERPz2vCMBS+D/wfwhN2m8mEyahGcYKyOXaoevH2aJ5N&#10;sXmpTartf78cBjt+fL8Xq97V4k5tqDxreJ0oEMSFNxWXGk7H7cs7iBCRDdaeScNAAVbL0dMCM+Mf&#10;nNP9EEuRQjhkqMHG2GRShsKSwzDxDXHiLr51GBNsS2lafKRwV8upUjPpsOLUYLGhjaXieuichvxr&#10;uJ26D86337t9P5Q/6my7q9bP4349BxGpj//iP/en0fCm0vx0Jh0Bufw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FDN/wgAAANwAAAAPAAAAAAAAAAAAAAAAAJgCAABkcnMvZG93&#10;bnJldi54bWxQSwUGAAAAAAQABAD1AAAAhwMAAAAA&#10;" fillcolor="window" strokecolor="black [3213]" strokeweight="1pt">
                                <v:textbox>
                                  <w:txbxContent>
                                    <w:p w:rsidR="00B24F7C" w:rsidRPr="00BD1285" w:rsidRDefault="00B24F7C" w:rsidP="00317698">
                                      <w:pPr>
                                        <w:spacing w:before="0" w:after="0" w:line="240" w:lineRule="auto"/>
                                        <w:jc w:val="center"/>
                                        <w:rPr>
                                          <w:color w:val="000000"/>
                                          <w:sz w:val="18"/>
                                          <w14:reflection w14:blurRad="0" w14:stA="50000" w14:stPos="0" w14:endA="0" w14:endPos="0" w14:dist="0" w14:dir="0" w14:fadeDir="0" w14:sx="0" w14:sy="0" w14:kx="0" w14:ky="0" w14:algn="b"/>
                                        </w:rPr>
                                      </w:pPr>
                                      <w:r w:rsidRPr="00BD1285">
                                        <w:rPr>
                                          <w:color w:val="000000"/>
                                          <w:sz w:val="18"/>
                                          <w14:reflection w14:blurRad="0" w14:stA="50000" w14:stPos="0" w14:endA="0" w14:endPos="0" w14:dist="0" w14:dir="0" w14:fadeDir="0" w14:sx="0" w14:sy="0" w14:kx="0" w14:ky="0" w14:algn="b"/>
                                        </w:rPr>
                                        <w:t>YES</w:t>
                                      </w:r>
                                    </w:p>
                                  </w:txbxContent>
                                </v:textbox>
                              </v:shape>
                              <v:shape id="Down Arrow 501" o:spid="_x0000_s1078" type="#_x0000_t67" style="position:absolute;left:15903;top:56786;width:889;height:4924;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iozMQA&#10;AADcAAAADwAAAGRycy9kb3ducmV2LnhtbESPQUvDQBSE74L/YXmCN7ubSm2J3ZZWFLya9tDjM/ua&#10;hGbfptlnEv+9Kwgeh5n5hllvJ9+qgfrYBLaQzQwo4jK4hisLx8PbwwpUFGSHbWCy8E0RtpvbmzXm&#10;Loz8QUMhlUoQjjlaqEW6XOtY1uQxzkJHnLxz6D1Kkn2lXY9jgvtWz4150h4bTgs1dvRSU3kpvryF&#10;0Vyvu+KUDa8yPO6PB/lcxHZp7f3dtHsGJTTJf/iv/e4sLEwGv2fSEdCb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hIqMzEAAAA3AAAAA8AAAAAAAAAAAAAAAAAmAIAAGRycy9k&#10;b3ducmV2LnhtbFBLBQYAAAAABAAEAPUAAACJAwAAAAA=&#10;" adj="16793,9646" fillcolor="windowText" strokecolor="black [3213]" strokeweight="1pt"/>
                              <v:line id="Straight Connector 502" o:spid="_x0000_s1079" style="position:absolute;visibility:visible;mso-wrap-style:square" from="13855,59099" to="13955,655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arCscQAAADcAAAADwAAAGRycy9kb3ducmV2LnhtbESPUWvCQBCE3wv9D8cW+lb3GluR6Cml&#10;UPHJUtsfsObWJJrbC7nTpP31PUHwcZiZb5j5cnCNOnMXai8GnkcaFEvhbS2lgZ/vj6cpqBBJLDVe&#10;2MAvB1gu7u/mlFvfyxeft7FUCSIhJwNVjG2OGIqKHYWRb1mSt/edo5hkV6LtqE9w12Cm9QQd1ZIW&#10;Kmr5veLiuD05A2681ptJn20aLA6rnfwhvow/jXl8GN5moCIP8Ra+ttfWwKvO4HImHQFc/A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NqsKxxAAAANwAAAAPAAAAAAAAAAAA&#10;AAAAAKECAABkcnMvZG93bnJldi54bWxQSwUGAAAAAAQABAD5AAAAkgMAAAAA&#10;" strokecolor="black [3213]" strokeweight="1pt">
                                <v:stroke joinstyle="miter"/>
                              </v:line>
                              <v:shape id="Down Arrow 503" o:spid="_x0000_s1080" type="#_x0000_t67" style="position:absolute;left:56936;top:72237;width:857;height:17939;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abwcMcA&#10;AADcAAAADwAAAGRycy9kb3ducmV2LnhtbESPQWvCQBSE74L/YXkFb7pppUXSrCItUgv2oAba3p7Z&#10;ZxLMvg3ZNYn++m5B8DjMzDdMsuhNJVpqXGlZweMkAkGcWV1yriDdr8YzEM4ja6wsk4ILOVjMh4ME&#10;Y2073lK787kIEHYxKii8r2MpXVaQQTexNXHwjrYx6INscqkb7ALcVPIpil6kwZLDQoE1vRWUnXZn&#10;o+CXzod8deX9+zH9nLnN9Pvn+vWh1OihX76C8NT7e/jWXmsFz9EU/s+EIyDn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2m8HDHAAAA3AAAAA8AAAAAAAAAAAAAAAAAmAIAAGRy&#10;cy9kb3ducmV2LnhtbFBLBQYAAAAABAAEAPUAAACMAwAAAAA=&#10;" adj="20327,9646" fillcolor="windowText" strokecolor="black [3213]" strokeweight="1pt"/>
                              <v:shape id="Down Arrow 504" o:spid="_x0000_s1081" type="#_x0000_t67" style="position:absolute;left:24250;top:60094;width:632;height:14074;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l+D8YA&#10;AADcAAAADwAAAGRycy9kb3ducmV2LnhtbESP3WrCQBSE7wXfYTlCb4puLLWU1FVUIm0tFPwBbw/Z&#10;02xI9mzIrpq+vSsIXg4z8w0znXe2FmdqfelYwXiUgCDOnS65UHDYr4fvIHxA1lg7JgX/5GE+6/em&#10;mGp34S2dd6EQEcI+RQUmhCaV0ueGLPqRa4ij9+daiyHKtpC6xUuE21q+JMmbtFhyXDDY0MpQXu1O&#10;VsHRfB82dbatNj/Pn0vMjtnvhCulngbd4gNEoC48wvf2l1YwSV7hdiYeATm7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hl+D8YAAADcAAAADwAAAAAAAAAAAAAAAACYAgAAZHJz&#10;L2Rvd25yZXYueG1sUEsFBgAAAAAEAAQA9QAAAIsDAAAAAA==&#10;" adj="20402,9646" fillcolor="windowText" strokecolor="black [3213]" strokeweight="1pt"/>
                              <v:shape id="Flowchart: Alternate Process 505" o:spid="_x0000_s1082" type="#_x0000_t176" style="position:absolute;left:27433;top:75189;width:16285;height:26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mOQ58UA&#10;AADcAAAADwAAAGRycy9kb3ducmV2LnhtbESPQWsCMRSE74X+h/AKvdWkBUtZjaIFS1vpYdWLt8fm&#10;uVncvGw3Wd3990YQPA4z8w0znfeuFidqQ+VZw+tIgSAuvKm41LDbrl4+QISIbLD2TBoGCjCfPT5M&#10;MTP+zDmdNrEUCcIhQw02xiaTMhSWHIaRb4iTd/Ctw5hkW0rT4jnBXS3flHqXDitOCxYb+rRUHDed&#10;05D/DP+7bsn5av312w/ln9rb7qj181O/mICI1Md7+Nb+NhrGagzXM+kIyNk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Y5DnxQAAANwAAAAPAAAAAAAAAAAAAAAAAJgCAABkcnMv&#10;ZG93bnJldi54bWxQSwUGAAAAAAQABAD1AAAAigMAAAAA&#10;" fillcolor="window" strokecolor="black [3213]" strokeweight="1pt">
                                <v:textbox>
                                  <w:txbxContent>
                                    <w:p w:rsidR="00B24F7C" w:rsidRPr="00BD1285" w:rsidRDefault="00B24F7C" w:rsidP="00317698">
                                      <w:pPr>
                                        <w:spacing w:before="0" w:after="0" w:line="240" w:lineRule="auto"/>
                                        <w:jc w:val="center"/>
                                        <w:rPr>
                                          <w:color w:val="000000"/>
                                          <w:sz w:val="18"/>
                                          <w14:reflection w14:blurRad="0" w14:stA="50000" w14:stPos="0" w14:endA="0" w14:endPos="0" w14:dist="0" w14:dir="0" w14:fadeDir="0" w14:sx="0" w14:sy="0" w14:kx="0" w14:ky="0" w14:algn="b"/>
                                        </w:rPr>
                                      </w:pPr>
                                      <w:r w:rsidRPr="00BD1285">
                                        <w:rPr>
                                          <w:color w:val="000000"/>
                                          <w:sz w:val="18"/>
                                          <w14:reflection w14:blurRad="0" w14:stA="50000" w14:stPos="0" w14:endA="0" w14:endPos="0" w14:dist="0" w14:dir="0" w14:fadeDir="0" w14:sx="0" w14:sy="0" w14:kx="0" w14:ky="0" w14:algn="b"/>
                                        </w:rPr>
                                        <w:t>Weight overlay analysis</w:t>
                                      </w:r>
                                    </w:p>
                                  </w:txbxContent>
                                </v:textbox>
                              </v:shape>
                              <v:rect id="Rectangle 506" o:spid="_x0000_s1083" style="position:absolute;left:1755;top:55888;width:63710;height:271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xKBsMA&#10;AADcAAAADwAAAGRycy9kb3ducmV2LnhtbESPT4vCMBTE7wt+h/AEb2tiQdFqFPEPePDgqqDHR/Ns&#10;i81LaaLWb79ZEPY4zMxvmNmitZV4UuNLxxoGfQWCOHOm5FzD+bT9HoPwAdlg5Zg0vMnDYt75mmFq&#10;3It/6HkMuYgQ9ilqKEKoUyl9VpBF33c1cfRurrEYomxyaRp8RbitZKLUSFosOS4UWNOqoOx+fFgN&#10;+9OB7o9zchnb6z6ZlJlyar3Rutdtl1MQgdrwH/60d0bDUI3g70w8AnL+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RxKBsMAAADcAAAADwAAAAAAAAAAAAAAAACYAgAAZHJzL2Rv&#10;d25yZXYueG1sUEsFBgAAAAAEAAQA9QAAAIgDAAAAAA==&#10;" filled="f" strokecolor="black [3213]" strokeweight="1pt">
                                <v:stroke dashstyle="dash"/>
                              </v:rect>
                              <v:shape id="Text Box 507" o:spid="_x0000_s1084" type="#_x0000_t202" style="position:absolute;left:-5048;top:66202;width:18142;height:3576;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rsesYA&#10;AADcAAAADwAAAGRycy9kb3ducmV2LnhtbESPQWvCQBSE74L/YXlCb2ZjrVaiq4SCtKUgaEvR2zP7&#10;TKLZtyG7Nem/7xYEj8PMfMMsVp2pxJUaV1pWMIpiEMSZ1SXnCr4+18MZCOeRNVaWScEvOVgt+70F&#10;Jtq2vKXrzuciQNglqKDwvk6kdFlBBl1ka+LgnWxj0AfZ5FI32Aa4qeRjHE+lwZLDQoE1vRSUXXY/&#10;RsHrx/vocOL0+FSXbjM+f7ezPaVKPQy6dA7CU+fv4Vv7TSuYxM/wfyYcAbn8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ursesYAAADcAAAADwAAAAAAAAAAAAAAAACYAgAAZHJz&#10;L2Rvd25yZXYueG1sUEsFBgAAAAAEAAQA9QAAAIsDAAAAAA==&#10;" fillcolor="window" strokecolor="black [3213]" strokeweight="1pt">
                                <v:textbox>
                                  <w:txbxContent>
                                    <w:p w:rsidR="00B24F7C" w:rsidRPr="00E54493" w:rsidRDefault="00B24F7C" w:rsidP="00317698">
                                      <w:pPr>
                                        <w:spacing w:before="0" w:after="0" w:line="240" w:lineRule="auto"/>
                                        <w:jc w:val="center"/>
                                        <w:rPr>
                                          <w:b/>
                                        </w:rPr>
                                      </w:pPr>
                                      <w:r>
                                        <w:rPr>
                                          <w:b/>
                                        </w:rPr>
                                        <w:t>MCDA__AHP</w:t>
                                      </w:r>
                                    </w:p>
                                  </w:txbxContent>
                                </v:textbox>
                              </v:shape>
                              <v:shape id="Down Arrow 508" o:spid="_x0000_s1085" type="#_x0000_t67" style="position:absolute;left:34820;top:72821;width:990;height:228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8fB8cEA&#10;AADcAAAADwAAAGRycy9kb3ducmV2LnhtbERPW2vCMBR+H/gfwhF8m6mCQ6pRVCaMbQje3o/NsSk2&#10;JyWJbffvl4fBHj+++3Ld21q05EPlWMFknIEgLpyuuFRwOe9f5yBCRNZYOyYFPxRgvRq8LDHXruMj&#10;tadYihTCIUcFJsYmlzIUhiyGsWuIE3d33mJM0JdSe+xSuK3lNMvepMWKU4PBhnaGisfpaRXc5f4a&#10;uu93bVp5OGz95206f34pNRr2mwWISH38F/+5P7SCWZbWpjPpCMjV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PHwfHBAAAA3AAAAA8AAAAAAAAAAAAAAAAAmAIAAGRycy9kb3du&#10;cmV2LnhtbFBLBQYAAAAABAAEAPUAAACGAwAAAAA=&#10;" adj="7228,9646" fillcolor="windowText" strokecolor="black [3213]" strokeweight="1pt"/>
                              <v:shape id="Down Arrow 509" o:spid="_x0000_s1086" type="#_x0000_t67" style="position:absolute;left:34597;top:68670;width:1264;height:134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48YsMYA&#10;AADcAAAADwAAAGRycy9kb3ducmV2LnhtbESPQWsCMRSE7wX/Q3hCbzXRWqurUWyhopcWrYjHx+a5&#10;Wdy8LJtU139vCoUeh5n5hpktWleJCzWh9Kyh31MgiHNvSi407L8/nsYgQkQ2WHkmDTcKsJh3HmaY&#10;GX/lLV12sRAJwiFDDTbGOpMy5JYchp6viZN38o3DmGRTSNPgNcFdJQdKjaTDktOCxZreLeXn3Y/T&#10;cBy9Pq+Kw3D8ttnmn+uJar8GG6v1Y7ddTkFEauN/+K+9Nhpe1AR+z6QjIO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48YsMYAAADcAAAADwAAAAAAAAAAAAAAAACYAgAAZHJz&#10;L2Rvd25yZXYueG1sUEsFBgAAAAAEAAQA9QAAAIsDAAAAAA==&#10;" adj="12851,9646" fillcolor="windowText" strokecolor="black [3213]" strokeweight="1pt"/>
                              <v:shape id="Down Arrow 510" o:spid="_x0000_s1087" type="#_x0000_t67" style="position:absolute;left:34880;top:77856;width:852;height:18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pWy78A&#10;AADcAAAADwAAAGRycy9kb3ducmV2LnhtbERPTYvCMBC9C/6HMII3TRWU3WoU0S0Ke1pX8Do0Y1pt&#10;JiXJav335iDs8fG+l+vONuJOPtSOFUzGGQji0umajYLTbzH6ABEissbGMSl4UoD1qt9bYq7dg3/o&#10;foxGpBAOOSqoYmxzKUNZkcUwdi1x4i7OW4wJeiO1x0cKt42cZtlcWqw5NVTY0rai8nb8swoO1+K7&#10;oM/TbLffsqez2XzFq1FqOOg2CxCRuvgvfrsPWsFskuanM+kIyNU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c2lbLvwAAANwAAAAPAAAAAAAAAAAAAAAAAJgCAABkcnMvZG93bnJl&#10;di54bWxQSwUGAAAAAAQABAD1AAAAhAMAAAAA&#10;" adj="6390,9646" fillcolor="windowText" strokecolor="black [3213]" strokeweight="1pt"/>
                              <v:shape id="Flowchart: Alternate Process 511" o:spid="_x0000_s1088" type="#_x0000_t176" style="position:absolute;left:5266;top:78426;width:13107;height:41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AOcUA&#10;AADcAAAADwAAAGRycy9kb3ducmV2LnhtbESPQWvCQBSE7wX/w/KE3uomBUuJrqKCxbb0EPXi7ZF9&#10;ZoPZtzG70eTfdwsFj8PMfMPMl72txY1aXzlWkE4SEMSF0xWXCo6H7cs7CB+QNdaOScFAHpaL0dMc&#10;M+3unNNtH0oRIewzVGBCaDIpfWHIop+4hjh6Z9daDFG2pdQt3iPc1vI1Sd6kxYrjgsGGNoaKy76z&#10;CvLP4Xrs1pxvvz+++qH8SU6muyj1PO5XMxCB+vAI/7d3WsE0TeHvTDwCcvE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8gQA5xQAAANwAAAAPAAAAAAAAAAAAAAAAAJgCAABkcnMv&#10;ZG93bnJldi54bWxQSwUGAAAAAAQABAD1AAAAigMAAAAA&#10;" fillcolor="window" strokecolor="black [3213]" strokeweight="1pt">
                                <v:textbox>
                                  <w:txbxContent>
                                    <w:p w:rsidR="00B24F7C" w:rsidRPr="00BD1285" w:rsidRDefault="00B24F7C" w:rsidP="00317698">
                                      <w:pPr>
                                        <w:spacing w:before="0" w:after="0" w:line="240" w:lineRule="auto"/>
                                        <w:jc w:val="center"/>
                                        <w:rPr>
                                          <w:color w:val="000000"/>
                                          <w:sz w:val="18"/>
                                          <w14:reflection w14:blurRad="0" w14:stA="50000" w14:stPos="0" w14:endA="0" w14:endPos="0" w14:dist="0" w14:dir="0" w14:fadeDir="0" w14:sx="0" w14:sy="0" w14:kx="0" w14:ky="0" w14:algn="b"/>
                                        </w:rPr>
                                      </w:pPr>
                                      <w:r w:rsidRPr="00BD1285">
                                        <w:rPr>
                                          <w:color w:val="000000"/>
                                          <w:sz w:val="18"/>
                                          <w14:reflection w14:blurRad="0" w14:stA="50000" w14:stPos="0" w14:endA="0" w14:endPos="0" w14:dist="0" w14:dir="0" w14:fadeDir="0" w14:sx="0" w14:sy="0" w14:kx="0" w14:ky="0" w14:algn="b"/>
                                        </w:rPr>
                                        <w:t>If verification is failed</w:t>
                                      </w:r>
                                    </w:p>
                                  </w:txbxContent>
                                </v:textbox>
                              </v:shape>
                              <v:shape id="Down Arrow 512" o:spid="_x0000_s1089" type="#_x0000_t67" style="position:absolute;left:18872;top:80321;width:807;height:1670;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QnbcYA&#10;AADcAAAADwAAAGRycy9kb3ducmV2LnhtbESPQWvCQBSE70L/w/IKvelGaaWkrlJKLeJFNC14fGRf&#10;k2D2bdh91eiv7wqCx2FmvmFmi9616kghNp4NjEcZKOLS24YrA9/FcvgKKgqyxdYzGThThMX8YTDD&#10;3PoTb+m4k0olCMccDdQiXa51LGtyGEe+I07erw8OJclQaRvwlOCu1ZMsm2qHDaeFGjv6qKk87P6c&#10;gXb1dS42yx953h9CNt1f1pdPWRvz9Ni/v4ES6uUevrVX1sDLeALXM+kI6Pk/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hQnbcYAAADcAAAADwAAAAAAAAAAAAAAAACYAgAAZHJz&#10;L2Rvd25yZXYueG1sUEsFBgAAAAAEAAQA9QAAAIsDAAAAAA==&#10;" adj="8733,9646" fillcolor="windowText" strokecolor="black [3213]" strokeweight="1pt"/>
                              <v:line id="Straight Connector 513" o:spid="_x0000_s1090" style="position:absolute;visibility:visible;mso-wrap-style:square" from="250,80759" to="5406,807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gEOF8QAAADcAAAADwAAAGRycy9kb3ducmV2LnhtbESPQWvCQBSE74X+h+UVvNWNSqWkboKI&#10;AQ/2YOwPeGRfN8Hs25jdxOiv7xYKPQ4z8w2zySfbipF63zhWsJgnIIgrpxs2Cr7Oxes7CB+QNbaO&#10;ScGdPOTZ89MGU+1ufKKxDEZECPsUFdQhdKmUvqrJop+7jjh63663GKLsjdQ93iLctnKZJGtpseG4&#10;UGNHu5qqSzlYBcWpHIc1elwVw/Vx/PTmfN8bpWYv0/YDRKAp/If/2get4G2xgt8z8QjI7A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eAQ4XxAAAANwAAAAPAAAAAAAAAAAA&#10;AAAAAKECAABkcnMvZG93bnJldi54bWxQSwUGAAAAAAQABAD5AAAAkgMAAAAA&#10;" strokecolor="black [3213]" strokeweight="1pt">
                                <v:stroke dashstyle="1 1" joinstyle="miter"/>
                              </v:line>
                              <v:shape id="Down Arrow 514" o:spid="_x0000_s1091" type="#_x0000_t67" style="position:absolute;left:8997;top:48630;width:845;height:18780;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Sq98QA&#10;AADcAAAADwAAAGRycy9kb3ducmV2LnhtbESPT2vCQBTE7wW/w/IEL0U3liohuooEpJ4K9c/B2yP7&#10;TKLZtyH71PTbdwuFHoeZ+Q2zXPeuUQ/qQu3ZwHSSgCIuvK25NHA8bMcpqCDIFhvPZOCbAqxXg5cl&#10;ZtY/+YseeylVhHDI0EAl0mZah6Iih2HiW+LoXXznUKLsSm07fEa4a/Rbksy1w5rjQoUt5RUVt/3d&#10;GUhn19NnynLanH39WlDIPxrJjRkN+80ClFAv/+G/9s4amE3f4fdMPAJ69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L0qvfEAAAA3AAAAA8AAAAAAAAAAAAAAAAAmAIAAGRycy9k&#10;b3ducmV2LnhtbFBLBQYAAAAABAAEAPUAAACJAwAAAAA=&#10;" adj="20401,9646" fillcolor="window" strokecolor="black [3213]" strokeweight="1pt">
                                <v:stroke dashstyle="1 1"/>
                              </v:shape>
                              <v:shape id="Flowchart: Alternate Process 515" o:spid="_x0000_s1092" type="#_x0000_t176" style="position:absolute;left:45429;top:68265;width:17329;height:876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7oGOsYA&#10;AADcAAAADwAAAGRycy9kb3ducmV2LnhtbESPQWvCQBSE7wX/w/IK3urGglJSN8EKilp6iPXS2yP7&#10;zAazb9PsRpN/3y0Uehxm5htmlQ+2ETfqfO1YwXyWgCAuna65UnD+3D69gPABWWPjmBSM5CHPJg8r&#10;TLW7c0G3U6hEhLBPUYEJoU2l9KUhi37mWuLoXVxnMUTZVVJ3eI9w28jnJFlKizXHBYMtbQyV11Nv&#10;FRSH8fvcv3Gxfd8dh7H6SL5Mf1Vq+jisX0EEGsJ/+K+91woW8wX8nolHQGY/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7oGOsYAAADcAAAADwAAAAAAAAAAAAAAAACYAgAAZHJz&#10;L2Rvd25yZXYueG1sUEsFBgAAAAAEAAQA9QAAAIsDAAAAAA==&#10;" fillcolor="window" strokecolor="black [3213]" strokeweight="1pt">
                                <v:textbox>
                                  <w:txbxContent>
                                    <w:p w:rsidR="00B24F7C" w:rsidRPr="00BD1285" w:rsidRDefault="00B24F7C" w:rsidP="00317698">
                                      <w:pPr>
                                        <w:spacing w:before="0" w:after="0" w:line="240" w:lineRule="auto"/>
                                        <w:jc w:val="center"/>
                                        <w:rPr>
                                          <w:color w:val="000000"/>
                                          <w14:reflection w14:blurRad="0" w14:stA="50000" w14:stPos="0" w14:endA="0" w14:endPos="0" w14:dist="0" w14:dir="0" w14:fadeDir="0" w14:sx="0" w14:sy="0" w14:kx="0" w14:ky="0" w14:algn="b"/>
                                        </w:rPr>
                                      </w:pPr>
                                      <w:r w:rsidRPr="00BD1285">
                                        <w:rPr>
                                          <w:color w:val="000000"/>
                                          <w14:reflection w14:blurRad="0" w14:stA="50000" w14:stPos="0" w14:endA="0" w14:endPos="0" w14:dist="0" w14:dir="0" w14:fadeDir="0" w14:sx="0" w14:sy="0" w14:kx="0" w14:ky="0" w14:algn="b"/>
                                        </w:rPr>
                                        <w:t>Mapping groundwater flow direction</w:t>
                                      </w:r>
                                    </w:p>
                                  </w:txbxContent>
                                </v:textbox>
                              </v:shape>
                              <v:shape id="Down Arrow 516" o:spid="_x0000_s1093" type="#_x0000_t67" style="position:absolute;left:64127;top:70708;width:957;height:3456;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jR7m8YA&#10;AADcAAAADwAAAGRycy9kb3ducmV2LnhtbESPT2vCQBTE70K/w/IEL6KbSCs2ukrpP2oPgraHentk&#10;n0kw+17Irhq/vVso9DjMzG+YxapztTpT6ythA+k4AUWci624MPD99TaagfIB2WItTAau5GG1vOst&#10;MLNy4S2dd6FQEcI+QwNlCE2mtc9LcujH0hBH7yCtwxBlW2jb4iXCXa0nSTLVDiuOCyU29FxSftyd&#10;nIHP95fXtRTHx2Fyok26F3E/92LMoN89zUEF6sJ/+K/9YQ08pFP4PROPgF7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jR7m8YAAADcAAAADwAAAAAAAAAAAAAAAACYAgAAZHJz&#10;L2Rvd25yZXYueG1sUEsFBgAAAAAEAAQA9QAAAIsDAAAAAA==&#10;" adj="19016,9646" fillcolor="windowText" strokecolor="black [3213]" strokeweight="1pt"/>
                              <v:group id="Group 517" o:spid="_x0000_s1094" style="position:absolute;left:1563;width:63965;height:55575" coordorigin="-119" coordsize="63964,5557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Wns47MQAAADcAAAA&#10;DwAAAAAAAAAAAAAAAACqAgAAZHJzL2Rvd25yZXYueG1sUEsFBgAAAAAEAAQA+gAAAJsDAAAAAA==&#10;">
                                <v:group id="Group 518" o:spid="_x0000_s1095" style="position:absolute;left:-119;width:63964;height:8924" coordorigin="-3703" coordsize="63964,892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CvkrJ7CAAAA3AAAAA8A&#10;AAAAAAAAAAAAAAAAqgIAAGRycy9kb3ducmV2LnhtbFBLBQYAAAAABAAEAPoAAACZAwAAAAA=&#10;">
                                  <v:shape id="Text Box 519" o:spid="_x0000_s1096" type="#_x0000_t202" style="position:absolute;left:5998;top:5705;width:13017;height:29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cz9vMgA&#10;AADcAAAADwAAAGRycy9kb3ducmV2LnhtbESP3WrCQBSE74W+w3IK3ohu/KnU1FVKRRAthcZS6N0h&#10;e5qEZs+m2Y2Jb+8KgpfDzHzDLNedKcWJaldYVjAeRSCIU6sLzhR8HbfDZxDOI2ssLZOCMzlYrx56&#10;S4y1bfmTTonPRICwi1FB7n0VS+nSnAy6ka2Ig/dra4M+yDqTusY2wE0pJ1E0lwYLDgs5VvSWU/qX&#10;NEbBomz3Xn4fPzbvs437b6aDn+bQKNV/7F5fQHjq/D18a++0gqfxAq5nwhGQqw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lzP28yAAAANwAAAAPAAAAAAAAAAAAAAAAAJgCAABk&#10;cnMvZG93bnJldi54bWxQSwUGAAAAAAQABAD1AAAAjQMAAAAA&#10;" filled="f" strokecolor="black [3213]" strokeweight="1pt">
                                    <v:textbox>
                                      <w:txbxContent>
                                        <w:p w:rsidR="00B24F7C" w:rsidRPr="00EE7DDE" w:rsidRDefault="00B24F7C" w:rsidP="00317698">
                                          <w:pPr>
                                            <w:spacing w:before="0" w:after="0" w:line="240" w:lineRule="auto"/>
                                            <w:jc w:val="center"/>
                                            <w:rPr>
                                              <w:sz w:val="22"/>
                                            </w:rPr>
                                          </w:pPr>
                                          <w:r w:rsidRPr="00EE7DDE">
                                            <w:rPr>
                                              <w:sz w:val="22"/>
                                            </w:rPr>
                                            <w:t>Landsat8 Image</w:t>
                                          </w:r>
                                        </w:p>
                                      </w:txbxContent>
                                    </v:textbox>
                                  </v:shape>
                                  <v:shape id="Text Box 520" o:spid="_x0000_s1097" type="#_x0000_t202" style="position:absolute;left:34308;top:3950;width:22752;height:436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g9R/sEA&#10;AADcAAAADwAAAGRycy9kb3ducmV2LnhtbERPy4rCMBTdC/5DuII7TcfX2E6jiDIg6EIdP+DS3GnL&#10;NDclidr5e7MQXB7OO193phF3cr62rOBjnIAgLqyuuVRw/fkeLUH4gKyxsUwK/snDetXv5Zhp++Az&#10;3S+hFDGEfYYKqhDaTEpfVGTQj21LHLlf6wyGCF0ptcNHDDeNnCTJQhqsOTZU2NK2ouLvcjMK/Lmd&#10;3g7cHE7mlLr6OP3cpTOn1HDQbb5ABOrCW/xy77WC+STOj2fiEZCr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oPUf7BAAAA3AAAAA8AAAAAAAAAAAAAAAAAmAIAAGRycy9kb3du&#10;cmV2LnhtbFBLBQYAAAAABAAEAPUAAACGAwAAAAA=&#10;" fillcolor="window" strokecolor="black [3213]" strokeweight="1pt">
                                    <v:textbox>
                                      <w:txbxContent>
                                        <w:p w:rsidR="00B24F7C" w:rsidRPr="002733F7" w:rsidRDefault="00B24F7C" w:rsidP="00317698">
                                          <w:pPr>
                                            <w:spacing w:before="0" w:after="0" w:line="240" w:lineRule="auto"/>
                                            <w:jc w:val="center"/>
                                            <w:rPr>
                                              <w:sz w:val="18"/>
                                              <w:szCs w:val="18"/>
                                            </w:rPr>
                                          </w:pPr>
                                          <w:r w:rsidRPr="002733F7">
                                            <w:rPr>
                                              <w:sz w:val="18"/>
                                              <w:szCs w:val="18"/>
                                            </w:rPr>
                                            <w:t>Auxiliary data</w:t>
                                          </w:r>
                                        </w:p>
                                        <w:p w:rsidR="00B24F7C" w:rsidRPr="002733F7" w:rsidRDefault="00B24F7C" w:rsidP="00317698">
                                          <w:pPr>
                                            <w:spacing w:before="0" w:after="0" w:line="240" w:lineRule="auto"/>
                                            <w:jc w:val="center"/>
                                            <w:rPr>
                                              <w:sz w:val="18"/>
                                              <w:szCs w:val="18"/>
                                            </w:rPr>
                                          </w:pPr>
                                          <w:r w:rsidRPr="002733F7">
                                            <w:rPr>
                                              <w:sz w:val="18"/>
                                              <w:szCs w:val="18"/>
                                            </w:rPr>
                                            <w:t>Geology, Rainfall, GPS data, Soil</w:t>
                                          </w:r>
                                        </w:p>
                                      </w:txbxContent>
                                    </v:textbox>
                                  </v:shape>
                                  <v:shape id="Text Box 521" o:spid="_x0000_s1098" type="#_x0000_t202" style="position:absolute;left:19897;top:5632;width:9931;height:26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Y7B8cA&#10;AADcAAAADwAAAGRycy9kb3ducmV2LnhtbESPQWvCQBSE70L/w/IKvRTdaK1o6ipSKYiWQqMIvT2y&#10;r0lo9m3Mbkz8965Q8DjMzDfMfNmZUpypdoVlBcNBBII4tbrgTMFh/9GfgnAeWWNpmRRcyMFy8dCb&#10;Y6xty990TnwmAoRdjApy76tYSpfmZNANbEUcvF9bG/RB1pnUNbYBbko5iqKJNFhwWMixovec0r+k&#10;MQpmZbv18rj/Wn+O1+7UvDz/NLtGqafHbvUGwlPn7+H/9kYreB0N4XYmHAG5uA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XWOwfHAAAA3AAAAA8AAAAAAAAAAAAAAAAAmAIAAGRy&#10;cy9kb3ducmV2LnhtbFBLBQYAAAAABAAEAPUAAACMAwAAAAA=&#10;" filled="f" strokecolor="black [3213]" strokeweight="1pt">
                                    <v:textbox>
                                      <w:txbxContent>
                                        <w:p w:rsidR="00B24F7C" w:rsidRPr="002733F7" w:rsidRDefault="00B24F7C" w:rsidP="00317698">
                                          <w:pPr>
                                            <w:spacing w:before="0" w:after="0" w:line="240" w:lineRule="auto"/>
                                            <w:rPr>
                                              <w:sz w:val="18"/>
                                            </w:rPr>
                                          </w:pPr>
                                          <w:r w:rsidRPr="002733F7">
                                            <w:rPr>
                                              <w:sz w:val="18"/>
                                            </w:rPr>
                                            <w:t>SRTM DEM</w:t>
                                          </w:r>
                                        </w:p>
                                      </w:txbxContent>
                                    </v:textbox>
                                  </v:shape>
                                  <v:shape id="Text Box 522" o:spid="_x0000_s1099" type="#_x0000_t202" style="position:absolute;left:19604;top:511;width:20558;height:28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4/YsYA&#10;AADcAAAADwAAAGRycy9kb3ducmV2LnhtbESPQUvDQBSE70L/w/IKXordGKyUtNtSCooUPKQK9vjI&#10;PpPY7Nuw+9rEf+8KgsdhZr5h1tvRdepKIbaeDdzPM1DElbct1wbe357ulqCiIFvsPJOBb4qw3Uxu&#10;1lhYP3BJ16PUKkE4FmigEekLrWPVkMM49z1x8j59cChJhlrbgEOCu07nWfaoHbacFhrsad9QdT5e&#10;nIFxMZMgD6dSPy/L18PHbjYcvi7G3E7H3QqU0Cj/4b/2izWwyHP4PZOOgN78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k4/YsYAAADcAAAADwAAAAAAAAAAAAAAAACYAgAAZHJz&#10;L2Rvd25yZXYueG1sUEsFBgAAAAAEAAQA9QAAAIsDAAAAAA==&#10;" fillcolor="window" strokecolor="black [3213]" strokeweight="1pt">
                                    <v:textbox>
                                      <w:txbxContent>
                                        <w:p w:rsidR="00B24F7C" w:rsidRPr="008A25A4" w:rsidRDefault="00B24F7C" w:rsidP="00317698">
                                          <w:pPr>
                                            <w:spacing w:before="0" w:after="0" w:line="240" w:lineRule="auto"/>
                                            <w:jc w:val="center"/>
                                            <w:rPr>
                                              <w:b/>
                                              <w:sz w:val="22"/>
                                            </w:rPr>
                                          </w:pPr>
                                          <w:r>
                                            <w:rPr>
                                              <w:b/>
                                              <w:sz w:val="22"/>
                                            </w:rPr>
                                            <w:t xml:space="preserve">Data </w:t>
                                          </w:r>
                                          <w:r w:rsidRPr="008A25A4">
                                            <w:rPr>
                                              <w:b/>
                                              <w:sz w:val="22"/>
                                            </w:rPr>
                                            <w:t>collection</w:t>
                                          </w:r>
                                        </w:p>
                                      </w:txbxContent>
                                    </v:textbox>
                                  </v:shape>
                                  <v:rect id="Rectangle 523" o:spid="_x0000_s1100" style="position:absolute;left:-3703;width:63964;height:89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t61/sUA&#10;AADcAAAADwAAAGRycy9kb3ducmV2LnhtbESPQWvCQBSE7wX/w/IKvdXdplQ0uopoCz3koInQHh/Z&#10;ZxLMvg3Z1aT/vlsoeBxm5htmtRltK27U+8axhpepAkFcOtNwpeFUfDzPQfiAbLB1TBp+yMNmPXlY&#10;YWrcwEe65aESEcI+RQ11CF0qpS9rsuinriOO3tn1FkOUfSVNj0OE21YmSs2kxYbjQo0d7WoqL/nV&#10;asiKA12up+Rrbr+zZNGUyqn9u9ZPj+N2CSLQGO7h//an0fCWvMLfmXgE5P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3rX+xQAAANwAAAAPAAAAAAAAAAAAAAAAAJgCAABkcnMv&#10;ZG93bnJldi54bWxQSwUGAAAAAAQABAD1AAAAigMAAAAA&#10;" filled="f" strokecolor="black [3213]" strokeweight="1pt">
                                    <v:stroke dashstyle="dash"/>
                                  </v:rect>
                                </v:group>
                                <v:group id="Group 524" o:spid="_x0000_s1101" style="position:absolute;top:8046;width:63709;height:47529" coordorigin="" coordsize="63709,4752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MVsJsYAAADcAAAADwAAAGRycy9kb3ducmV2LnhtbESPQWvCQBSE7wX/w/KE&#10;3ppNbFMkZhURKx5CoSqU3h7ZZxLMvg3ZbRL/fbdQ6HGYmW+YfDOZVgzUu8aygiSKQRCXVjdcKbic&#10;356WIJxH1thaJgV3crBZzx5yzLQd+YOGk69EgLDLUEHtfZdJ6cqaDLrIdsTBu9reoA+yr6TucQxw&#10;08pFHL9Kgw2HhRo72tVU3k7fRsFhxHH7nOyH4nbd3b/O6ftnkZBSj/NpuwLhafL/4b/2UStIFy/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kxWwmxgAAANwA&#10;AAAPAAAAAAAAAAAAAAAAAKoCAABkcnMvZG93bnJldi54bWxQSwUGAAAAAAQABAD6AAAAnQMAAAAA&#10;">
                                  <v:line id="Straight Connector 525" o:spid="_x0000_s1102" style="position:absolute;visibility:visible;mso-wrap-style:square" from="29114,438" to="29114,153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fYGpcQAAADcAAAADwAAAGRycy9kb3ducmV2LnhtbESPUWvCQBCE34X+h2MLfdNNo4YSPUWE&#10;Fp8UbX/AmtsmaXN7IXc1aX+9Jwh9HGbmG2a5HmyjLtz52omG50kCiqVwppZSw8f76/gFlA8khhon&#10;rOGXPaxXD6Ml5cb1cuTLKZQqQsTnpKEKoc0RfVGxJT9xLUv0Pl1nKUTZlWg66iPcNpgmSYaWaokL&#10;FbW8rbj4Pv1YDXa6S/ZZn+4bLL7ezvKHOJsetH56HDYLUIGH8B++t3dGwzydw+1MPAK4u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J9galxAAAANwAAAAPAAAAAAAAAAAA&#10;AAAAAKECAABkcnMvZG93bnJldi54bWxQSwUGAAAAAAQABAD5AAAAkgMAAAAA&#10;" strokecolor="black [3213]" strokeweight="1pt">
                                    <v:stroke joinstyle="miter"/>
                                  </v:line>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Isosceles Triangle 526" o:spid="_x0000_s1103" type="#_x0000_t5" style="position:absolute;left:29114;top:3731;width:724;height:596;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P7YsUA&#10;AADcAAAADwAAAGRycy9kb3ducmV2LnhtbESPT2vCQBTE7wW/w/KE3ppNohVJXUWCglB7qAq9PrIv&#10;fzD7NmRXTfvpXUHocZiZ3zCL1WBacaXeNZYVJFEMgriwuuFKwem4fZuDcB5ZY2uZFPySg9Vy9LLA&#10;TNsbf9P14CsRIOwyVFB732VSuqImgy6yHXHwStsb9EH2ldQ93gLctDKN45k02HBYqLGjvKbifLgY&#10;BfvzZJ/vzPEz8T9l8Zfnm6n92ij1Oh7WHyA8Df4//GzvtIL3dAaPM+EIyO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w/tixQAAANwAAAAPAAAAAAAAAAAAAAAAAJgCAABkcnMv&#10;ZG93bnJldi54bWxQSwUGAAAAAAQABAD1AAAAigMAAAAA&#10;" fillcolor="windowText" strokecolor="black [3213]" strokeweight="1pt"/>
                                  <v:shape id="Isosceles Triangle 527" o:spid="_x0000_s1104" type="#_x0000_t5" style="position:absolute;left:29077;top:7205;width:773;height:648;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Y9e+cQA&#10;AADcAAAADwAAAGRycy9kb3ducmV2LnhtbESPT4vCMBTE74LfITxhb5rqrn+oRpGiIOgeVgWvj+bZ&#10;FpuX0kSt++mNIHgcZuY3zGzRmFLcqHaFZQX9XgSCOLW64EzB8bDuTkA4j6yxtEwKHuRgMW+3Zhhr&#10;e+c/uu19JgKEXYwKcu+rWEqX5mTQ9WxFHLyzrQ36IOtM6hrvAW5KOYiikTRYcFjIsaIkp/SyvxoF&#10;u8v3LtmYw7bvT+f0P0lWP/Z3pdRXp1lOQXhq/Cf8bm+0guFgDK8z4QjI+R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2PXvnEAAAA3AAAAA8AAAAAAAAAAAAAAAAAmAIAAGRycy9k&#10;b3ducmV2LnhtbFBLBQYAAAAABAAEAPUAAACJAwAAAAA=&#10;" fillcolor="windowText" strokecolor="black [3213]" strokeweight="1pt"/>
                                  <v:shape id="Isosceles Triangle 528" o:spid="_x0000_s1105" type="#_x0000_t5" style="position:absolute;left:29114;top:11704;width:648;height:504;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DKi8EA&#10;AADcAAAADwAAAGRycy9kb3ducmV2LnhtbERPy4rCMBTdC/5DuII7TX3MINUoUhQEncVUwe2lubbF&#10;5qY0UatfbxaCy8N5L1atqcSdGldaVjAaRiCIM6tLzhWcjtvBDITzyBory6TgSQ5Wy25ngbG2D/6n&#10;e+pzEULYxaig8L6OpXRZQQbd0NbEgbvYxqAPsMmlbvARwk0lx1H0Kw2WHBoKrCkpKLumN6PgcJ0c&#10;kp057kf+fMleSbKZ2r+NUv1eu56D8NT6r/jj3mkFP+OwNpwJR0Au3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wQyovBAAAA3AAAAA8AAAAAAAAAAAAAAAAAmAIAAGRycy9kb3du&#10;cmV2LnhtbFBLBQYAAAAABAAEAPUAAACGAwAAAAA=&#10;" fillcolor="windowText" strokecolor="black [3213]" strokeweight="1pt"/>
                                  <v:shape id="Down Arrow 529" o:spid="_x0000_s1106" type="#_x0000_t67" style="position:absolute;left:13825;top:597;width:546;height:22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bFSXcUA&#10;AADcAAAADwAAAGRycy9kb3ducmV2LnhtbESPQWvCQBSE74X+h+UVvDWbBtQ2ukootCgeSlPB6yP7&#10;TKLZt2F3o/Hfu4VCj8PMfMMs16PpxIWcby0reElSEMSV1S3XCvY/H8+vIHxA1thZJgU38rBePT4s&#10;Mdf2yt90KUMtIoR9jgqaEPpcSl81ZNAntieO3tE6gyFKV0vt8BrhppNZms6kwZbjQoM9vTdUncvB&#10;KMhO89n+y6W7bTmvzp88HIptyUpNnsZiASLQGP7Df+2NVjDN3uD3TDwCcnU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sVJdxQAAANwAAAAPAAAAAAAAAAAAAAAAAJgCAABkcnMv&#10;ZG93bnJldi54bWxQSwUGAAAAAAQABAD1AAAAigMAAAAA&#10;" adj="17456,9646" fillcolor="windowText" strokecolor="black [3213]" strokeweight="1pt"/>
                                  <v:shape id="Down Arrow 530" o:spid="_x0000_s1107" type="#_x0000_t67" style="position:absolute;left:32918;top:17410;width:1143;height:7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EeVcMA&#10;AADcAAAADwAAAGRycy9kb3ducmV2LnhtbERPS2vCQBC+C/0PyxS86aa1FUldRasFEcVXL70N2WkS&#10;mp2N2a3Gf985FDx+fO/xtHWVulATSs8GnvoJKOLM25JzA5+nj94IVIjIFivPZOBGAaaTh84YU+uv&#10;fKDLMeZKQjikaKCIsU61DllBDkPf18TCffvGYRTY5No2eJVwV+nnJBlqhyVLQ4E1vReU/Rx/nYHX&#10;cr9fb5P5irMNDXYvi+HyK5yN6T62szdQkdp4F/+7V1Z8A5kvZ+QI6Mk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EEeVcMAAADcAAAADwAAAAAAAAAAAAAAAACYAgAAZHJzL2Rv&#10;d25yZXYueG1sUEsFBgAAAAAEAAQA9QAAAIgDAAAAAA==&#10;" adj="12268,9646" fillcolor="windowText" strokecolor="black [3213]" strokeweight="1pt"/>
                                  <v:shape id="Isosceles Triangle 531" o:spid="_x0000_s1108" type="#_x0000_t5" style="position:absolute;left:28968;top:14630;width:825;height:57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PP1y8UA&#10;AADcAAAADwAAAGRycy9kb3ducmV2LnhtbESPT4vCMBTE78J+h/AEb5rWP8tSjbIUBUE9WBf2+mie&#10;bbF5KU3U7n56Iwgeh5n5DbNYdaYWN2pdZVlBPIpAEOdWV1wo+Dlthl8gnEfWWFsmBX/kYLX86C0w&#10;0fbOR7plvhABwi5BBaX3TSKly0sy6Ea2IQ7e2bYGfZBtIXWL9wA3tRxH0ac0WHFYKLGhtKT8kl2N&#10;gv1lsk+35rSL/e85/0/T9dQe1koN+t33HISnzr/Dr/ZWK5hNYnieCUdALh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8/XLxQAAANwAAAAPAAAAAAAAAAAAAAAAAJgCAABkcnMv&#10;ZG93bnJldi54bWxQSwUGAAAAAAQABAD1AAAAigMAAAAA&#10;" fillcolor="windowText" strokecolor="black [3213]" strokeweight="1pt"/>
                                  <v:line id="Straight Connector 532" o:spid="_x0000_s1109" style="position:absolute;visibility:visible;mso-wrap-style:square" from="38624,3657" to="38624,202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8YIDMQAAADcAAAADwAAAGRycy9kb3ducmV2LnhtbESPUWvCQBCE3wv+h2OFvtWNSSsl9RQp&#10;VHyyVP0B29w2ieb2Qu40aX99TxB8HGbmG2a+HGyjLtz52omG6SQBxVI4U0up4bD/eHoF5QOJocYJ&#10;a/hlD8vF6GFOuXG9fPFlF0oVIeJz0lCF0OaIvqjYkp+4liV6P66zFKLsSjQd9RFuG0yTZIaWaokL&#10;FbX8XnFx2p2tBpttku2sT7cNFsf1t/whPmefWj+Oh9UbqMBDuIdv7Y3R8JKlcD0TjwAu/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DxggMxAAAANwAAAAPAAAAAAAAAAAA&#10;AAAAAKECAABkcnMvZG93bnJldi54bWxQSwUGAAAAAAQABAD5AAAAkgMAAAAA&#10;" strokecolor="black [3213]" strokeweight="1pt">
                                    <v:stroke joinstyle="miter"/>
                                  </v:line>
                                  <v:line id="Straight Connector 533" o:spid="_x0000_s1110" style="position:absolute;visibility:visible;mso-wrap-style:square" from="38039,7607" to="38554,76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Iqtl8QAAADcAAAADwAAAGRycy9kb3ducmV2LnhtbESPUWvCQBCE3wv+h2OFvtWNphWJniKF&#10;Fp8sVX/AmluTaG4v5K4m7a/vCYKPw8x8wyxWva3VlVtfOdEwHiWgWHJnKik0HPYfLzNQPpAYqp2w&#10;hl/2sFoOnhaUGdfJN193oVARIj4jDWUITYbo85It+ZFrWKJ3cq2lEGVboGmpi3Bb4yRJpmipkrhQ&#10;UsPvJeeX3Y/VYNNNsp12k22N+fnzKH+Ir+mX1s/Dfj0HFbgPj/C9vTEa3tIUbmfiEcDl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siq2XxAAAANwAAAAPAAAAAAAAAAAA&#10;AAAAAKECAABkcnMvZG93bnJldi54bWxQSwUGAAAAAAQABAD5AAAAkgMAAAAA&#10;" strokecolor="black [3213]" strokeweight="1pt">
                                    <v:stroke joinstyle="miter"/>
                                  </v:line>
                                  <v:line id="Straight Connector 534" o:spid="_x0000_s1111" style="position:absolute;visibility:visible;mso-wrap-style:square" from="37673,11923" to="40340,119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2M148QAAADcAAAADwAAAGRycy9kb3ducmV2LnhtbESPUWvCQBCE3wv+h2MF3+pGY0Wip4hQ&#10;8clS6w9Yc2sSze2F3NWk/fW9QqGPw8x8w6w2va3Vg1tfOdEwGSegWHJnKik0nD9enxegfCAxVDth&#10;DV/sYbMePK0oM66Td36cQqEiRHxGGsoQmgzR5yVb8mPXsETv6lpLIcq2QNNSF+G2xmmSzNFSJXGh&#10;pIZ3Jef306fVYNNDcpx302ON+W1/kW/EWfqm9WjYb5egAvfhP/zXPhgNL+kMfs/EI4Dr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jYzXjxAAAANwAAAAPAAAAAAAAAAAA&#10;AAAAAKECAABkcnMvZG93bnJldi54bWxQSwUGAAAAAAQABAD5AAAAkgMAAAAA&#10;" strokecolor="black [3213]" strokeweight="1pt">
                                    <v:stroke joinstyle="miter"/>
                                  </v:line>
                                  <v:line id="Straight Connector 535" o:spid="_x0000_s1112" style="position:absolute;visibility:visible;mso-wrap-style:square" from="37673,20043" to="38625,200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C+QeMQAAADcAAAADwAAAGRycy9kb3ducmV2LnhtbESPUWvCQBCE3wv+h2MF3+pGU0Wip4hQ&#10;8clS6w9Yc2sSze2F3NWk/fW9QqGPw8x8w6w2va3Vg1tfOdEwGSegWHJnKik0nD9enxegfCAxVDth&#10;DV/sYbMePK0oM66Td36cQqEiRHxGGsoQmgzR5yVb8mPXsETv6lpLIcq2QNNSF+G2xmmSzNFSJXGh&#10;pIZ3Jef306fVYNNDcpx302ON+W1/kW/El/RN69Gw3y5BBe7Df/ivfTAaZukMfs/EI4Dr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ML5B4xAAAANwAAAAPAAAAAAAAAAAA&#10;AAAAAKECAABkcnMvZG93bnJldi54bWxQSwUGAAAAAAQABAD5AAAAkgMAAAAA&#10;" strokecolor="black [3213]" strokeweight="1pt">
                                    <v:stroke joinstyle="miter"/>
                                  </v:line>
                                  <v:line id="Straight Connector 536" o:spid="_x0000_s1113" style="position:absolute;visibility:visible;mso-wrap-style:square" from="12947,10094" to="12947,162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P0OD8QAAADcAAAADwAAAGRycy9kb3ducmV2LnhtbESPUWvCQBCE3wv+h2OFvtWNpg0l9RQp&#10;VHyyVP0B29w2ieb2Qu40aX99TxB8HGbmG2a+HGyjLtz52omG6SQBxVI4U0up4bD/eHoF5QOJocYJ&#10;a/hlD8vF6GFOuXG9fPFlF0oVIeJz0lCF0OaIvqjYkp+4liV6P66zFKLsSjQd9RFuG5wlSYaWaokL&#10;FbX8XnFx2p2tBptukm3Wz7YNFsf1t/whPqefWj+Oh9UbqMBDuIdv7Y3R8JJmcD0TjwAu/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8/Q4PxAAAANwAAAAPAAAAAAAAAAAA&#10;AAAAAKECAABkcnMvZG93bnJldi54bWxQSwUGAAAAAAQABAD5AAAAkgMAAAAA&#10;" strokecolor="black [3213]" strokeweight="1pt">
                                    <v:stroke joinstyle="miter"/>
                                  </v:line>
                                  <v:shape id="Down Arrow 537" o:spid="_x0000_s1114" type="#_x0000_t67" style="position:absolute;left:12143;top:15727;width:451;height:1003;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v1QwccA&#10;AADcAAAADwAAAGRycy9kb3ducmV2LnhtbESPQWvCQBSE70L/w/IKvYhuqrSV1FXEUhoRhEQ99PbI&#10;viZps29Ddo3x37sFweMwM98w82VvatFR6yrLCp7HEQji3OqKCwWH/edoBsJ5ZI21ZVJwIQfLxcNg&#10;jrG2Z06py3whAoRdjApK75tYSpeXZNCNbUMcvB/bGvRBtoXULZ4D3NRyEkWv0mDFYaHEhtYl5X/Z&#10;yShIkt8PLtJ0tUmO2+/112Q364YnpZ4e+9U7CE+9v4dv7UQreJm+wf+ZcATk4go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79UMHHAAAA3AAAAA8AAAAAAAAAAAAAAAAAmAIAAGRy&#10;cy9kb3ducmV2LnhtbFBLBQYAAAAABAAEAPUAAACMAwAAAAA=&#10;" adj="9627,9646" fillcolor="windowText" strokecolor="black [3213]" strokeweight="1pt"/>
                                  <v:line id="Straight Connector 538" o:spid="_x0000_s1115" style="position:absolute;visibility:visible;mso-wrap-style:square" from="12947,10753" to="21901,107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i4/5sEAAADcAAAADwAAAGRycy9kb3ducmV2LnhtbERPzWrCQBC+F/oOywi91YlGRaKrFMHi&#10;yaLtA4zZMYlmZ0N2a1KfvnsQPH58/8t1b2t149ZXTjSMhgkoltyZSgoNP9/b9zkoH0gM1U5Ywx97&#10;WK9eX5aUGdfJgW/HUKgYIj4jDWUITYbo85It+aFrWCJ3dq2lEGFboGmpi+G2xnGSzNBSJbGhpIY3&#10;JefX46/VYNNdsp91432N+eXzJHfESfql9dug/1iACtyHp/jh3hkN0zSujWfiEcDV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iLj/mwQAAANwAAAAPAAAAAAAAAAAAAAAA&#10;AKECAABkcnMvZG93bnJldi54bWxQSwUGAAAAAAQABAD5AAAAjwMAAAAA&#10;" strokecolor="black [3213]" strokeweight="1pt">
                                    <v:stroke joinstyle="miter"/>
                                  </v:line>
                                  <v:shape id="Down Arrow 539" o:spid="_x0000_s1116" type="#_x0000_t67" style="position:absolute;left:21506;top:10753;width:667;height:171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iLPcYA&#10;AADcAAAADwAAAGRycy9kb3ducmV2LnhtbESP3WoCMRSE7wXfIRyhd5q1paJbo0hBUGwRrYVeHjdn&#10;f3Rzsmziur59IwheDjPzDTOdt6YUDdWusKxgOIhAECdWF5wpOPws+2MQziNrLC2Tghs5mM+6nSnG&#10;2l55R83eZyJA2MWoIPe+iqV0SU4G3cBWxMFLbW3QB1lnUtd4DXBTytcoGkmDBYeFHCv6zCk57y9G&#10;we/xdGomf9vvdLNbH77SbXOjTarUS69dfIDw1Ppn+NFeaQXvbxO4nwlHQM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diLPcYAAADcAAAADwAAAAAAAAAAAAAAAACYAgAAZHJz&#10;L2Rvd25yZXYueG1sUEsFBgAAAAAEAAQA9QAAAIsDAAAAAA==&#10;" adj="8702,9646" fillcolor="windowText" strokecolor="black [3213]" strokeweight="1pt"/>
                                  <v:line id="Straight Connector 540" o:spid="_x0000_s1117" style="position:absolute;visibility:visible;mso-wrap-style:square" from="31455,22677" to="40218,226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F5AncAAAADcAAAADwAAAGRycy9kb3ducmV2LnhtbERPy2rCQBTdF/yH4Qru6o1PJHUUESqu&#10;FB8fcJu5TVIzd0JmatJ+vbMQXB7Oe7nubKXu3PjSiYbRMAHFkjlTSq7hevl8X4DygcRQ5YQ1/LGH&#10;9ar3tqTUuFZOfD+HXMUQ8SlpKEKoU0SfFWzJD13NErlv11gKETY5mobaGG4rHCfJHC2VEhsKqnlb&#10;cHY7/1oNdrJPDvN2fKgw+9l9yT/idHLUetDvNh+gAnfhJX6690bDbBrnxzPxCODq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ReQJ3AAAAA3AAAAA8AAAAAAAAAAAAAAAAA&#10;oQIAAGRycy9kb3ducmV2LnhtbFBLBQYAAAAABAAEAPkAAACOAwAAAAA=&#10;" strokecolor="black [3213]" strokeweight="1pt">
                                    <v:stroke joinstyle="miter"/>
                                  </v:line>
                                  <v:line id="Straight Connector 541" o:spid="_x0000_s1118" style="position:absolute;flip:x;visibility:visible;mso-wrap-style:square" from="40218,12084" to="40218,228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vGe08gAAADcAAAADwAAAGRycy9kb3ducmV2LnhtbESPQUvDQBSE74L/YXlCL6XdVFpbY7dF&#10;hRJFKbR68fbMPpPQ7Nt0d03iv+8WCh6HmfmGWa57U4uWnK8sK5iMExDEudUVFwo+PzajBQgfkDXW&#10;lknBH3lYr66vlphq2/GO2n0oRISwT1FBGUKTSunzkgz6sW2Io/djncEQpSukdthFuKnlbZLcSYMV&#10;x4USG3ouKT/sf42CV3l8Ozy57yJbyGzz9T7f3nM2VGpw0z8+gAjUh//wpf2iFcymEzifiUdArk4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tvGe08gAAADcAAAADwAAAAAA&#10;AAAAAAAAAAChAgAAZHJzL2Rvd25yZXYueG1sUEsFBgAAAAAEAAQA+QAAAJYDAAAAAA==&#10;" strokecolor="black [3213]" strokeweight="1pt">
                                    <v:stroke joinstyle="miter"/>
                                  </v:line>
                                  <v:line id="Straight Connector 542" o:spid="_x0000_s1119" style="position:absolute;flip:y;visibility:visible;mso-wrap-style:square" from="8924,24579" to="56702,247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iMApMgAAADcAAAADwAAAGRycy9kb3ducmV2LnhtbESPQUvDQBSE74L/YXmCl9JuLNXGmE1p&#10;hRJFKbR68fbMPpPQ7Nu4u7bx33eFgsdhZr5h8sVgOnEg51vLCm4mCQjiyuqWawXvb+txCsIHZI2d&#10;ZVLwSx4WxeVFjpm2R97SYRdqESHsM1TQhNBnUvqqIYN+Ynvi6H1ZZzBE6WqpHR4j3HRymiR30mDL&#10;caHBnh4bqva7H6PgWX6/7Ffusy5TWa4/Xuebey5HSl1fDcsHEIGG8B8+t5+0gtvZFP7OxCMgixM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RiMApMgAAADcAAAADwAAAAAA&#10;AAAAAAAAAAChAgAAZHJzL2Rvd25yZXYueG1sUEsFBgAAAAAEAAQA+QAAAJYDAAAAAA==&#10;" strokecolor="black [3213]" strokeweight="1pt">
                                    <v:stroke joinstyle="miter"/>
                                  </v:line>
                                  <v:shape id="Down Arrow 543" o:spid="_x0000_s1120" type="#_x0000_t67" style="position:absolute;left:31222;top:22677;width:746;height:44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KMqsIA&#10;AADcAAAADwAAAGRycy9kb3ducmV2LnhtbESPzarCMBSE94LvEI7gRjRVryLVKCIKbv1BcXdsjm2x&#10;OSlN1Pr2RrjgcpiZb5jZojaFeFLlcssK+r0IBHFidc6pguNh052AcB5ZY2GZFLzJwWLebMww1vbF&#10;O3rufSoChF2MCjLvy1hKl2Rk0PVsSRy8m60M+iCrVOoKXwFuCjmIorE0mHNYyLCkVUbJff8wCjp1&#10;Orri5DxcbflkOw/X58t6o1S7VS+nIDzV/hf+b2+1gtHfEL5nwhGQ8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8koyqwgAAANwAAAAPAAAAAAAAAAAAAAAAAJgCAABkcnMvZG93&#10;bnJldi54bWxQSwUGAAAAAAQABAD1AAAAhwMAAAAA&#10;" adj="15977,9646" fillcolor="windowText" strokecolor="black [3213]" strokeweight="1pt"/>
                                  <v:shape id="Down Arrow 544" o:spid="_x0000_s1121" type="#_x0000_t67" style="position:absolute;left:21726;top:15215;width:703;height:251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B9fsQA&#10;AADcAAAADwAAAGRycy9kb3ducmV2LnhtbESPX2vCQBDE34V+h2MLvunFoKWkniKlBX3zT6k+Lrk1&#10;F8zthtxV47f3CoU+DjPzG2a+7H2jrtSFWtjAZJyBIi7F1lwZ+Dp8jl5BhYhssREmA3cKsFw8DeZY&#10;WLnxjq77WKkE4VCgARdjW2gdSkcew1ha4uSdpfMYk+wqbTu8JbhvdJ5lL9pjzWnBYUvvjsrL/scb&#10;kO3OHSfrsDl95N/9QRo558eTMcPnfvUGKlIf/8N/7bU1MJtO4fdMOgJ68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wgfX7EAAAA3AAAAA8AAAAAAAAAAAAAAAAAmAIAAGRycy9k&#10;b3ducmV2LnhtbFBLBQYAAAAABAAEAPUAAACJAwAAAAA=&#10;" adj="12318,9646" fillcolor="windowText" strokecolor="black [3213]" strokeweight="1pt"/>
                                  <v:line id="Straight Connector 545" o:spid="_x0000_s1122" style="position:absolute;visibility:visible;mso-wrap-style:square" from="8997,17483" to="8997,247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CnjBcQAAADcAAAADwAAAGRycy9kb3ducmV2LnhtbESP3WrCQBSE7wu+w3IK3tWT+odEVxHB&#10;4pVF2wc4Zo9J2uzZkN2a6NO7BcHLYWa+YRarzlbqwo0vnWh4HySgWDJnSsk1fH9t32agfCAxVDlh&#10;DVf2sFr2XhaUGtfKgS/HkKsIEZ+ShiKEOkX0WcGW/MDVLNE7u8ZSiLLJ0TTURritcJgkU7RUSlwo&#10;qOZNwdnv8c9qsKNdsp+2w32F2c/HSW6I49Gn1v3Xbj0HFbgLz/CjvTMaJuMJ/J+JRwCX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UKeMFxAAAANwAAAAPAAAAAAAAAAAA&#10;AAAAAKECAABkcnMvZG93bnJldi54bWxQSwUGAAAAAAQABAD5AAAAkgMAAAAA&#10;" strokecolor="black [3213]" strokeweight="1pt">
                                    <v:stroke joinstyle="miter"/>
                                  </v:line>
                                  <v:line id="Straight Connector 546" o:spid="_x0000_s1123" style="position:absolute;flip:x;visibility:visible;mso-wrap-style:square" from="22238,21799" to="22238,246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RgGp8cAAADcAAAADwAAAGRycy9kb3ducmV2LnhtbESPQWsCMRSE7wX/Q3iFXqRmLdbqapRW&#10;kK0ohdpevD03r7uLm5dtEnX7740g9DjMzDfMdN6aWpzI+cqygn4vAUGcW11xoeD7a/k4AuEDssba&#10;Min4Iw/zWeduiqm2Z/6k0zYUIkLYp6igDKFJpfR5SQZ9zzbE0fuxzmCI0hVSOzxHuKnlU5IMpcGK&#10;40KJDS1Kyg/bo1Gwkr/rw5vbF9lIZsvd5uVjzFlXqYf79nUCIlAb/sO39rtW8DwYwvVMPAJyd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5GAanxwAAANwAAAAPAAAAAAAA&#10;AAAAAAAAAKECAABkcnMvZG93bnJldi54bWxQSwUGAAAAAAQABAD5AAAAlQMAAAAA&#10;" strokecolor="black [3213]" strokeweight="1pt">
                                    <v:stroke joinstyle="miter"/>
                                  </v:line>
                                  <v:shape id="Down Arrow 547" o:spid="_x0000_s1124" type="#_x0000_t67" style="position:absolute;left:42036;top:9070;width:666;height:17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3JqcYA&#10;AADcAAAADwAAAGRycy9kb3ducmV2LnhtbESPW2sCMRSE3wv9D+EUfKvZFtvqapQiCIoV8QY+Hjdn&#10;L3Zzsmziuv57Uyj4OMzMN8xo0ppSNFS7wrKCt24EgjixuuBMwX43e+2DcB5ZY2mZFNzIwWT8/DTC&#10;WNsrb6jZ+kwECLsYFeTeV7GULsnJoOvaijh4qa0N+iDrTOoarwFuSvkeRZ/SYMFhIceKpjklv9uL&#10;UXA4nc/N4LhepcvNYv+TrpsbLVOlOi/t9xCEp9Y/wv/tuVbw0fuCvzPhCMjxH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w3JqcYAAADcAAAADwAAAAAAAAAAAAAAAACYAgAAZHJz&#10;L2Rvd25yZXYueG1sUEsFBgAAAAAEAAQA9QAAAIsDAAAAAA==&#10;" adj="8702,9646" fillcolor="windowText" strokecolor="black [3213]" strokeweight="1pt"/>
                                  <v:shape id="Down Arrow 548" o:spid="_x0000_s1125" type="#_x0000_t67" style="position:absolute;left:48426;top:8578;width:570;height:244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O+68EA&#10;AADcAAAADwAAAGRycy9kb3ducmV2LnhtbERP3WrCMBS+H/gO4QjerWmLG6MaRTYK4mAw1wc4JMe2&#10;2JzUJrb17ZeLwS4/vv/tfradGGnwrWMFWZKCINbOtFwrqH7K5zcQPiAb7ByTggd52O8WT1ssjJv4&#10;m8ZzqEUMYV+ggiaEvpDS64Ys+sT1xJG7uMFiiHCopRlwiuG2k3mavkqLLceGBnt6b0hfz3er4Csr&#10;L11Pp/BRfk6sdXUbH/lJqdVyPmxABJrDv/jPfTQKXtZxbTwTj4Dc/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HTvuvBAAAA3AAAAA8AAAAAAAAAAAAAAAAAmAIAAGRycy9kb3du&#10;cmV2LnhtbFBLBQYAAAAABAAEAPUAAACGAwAAAAA=&#10;" adj="13854,9646" fillcolor="windowText" strokecolor="black [3213]" strokeweight="1pt"/>
                                  <v:shape id="Down Arrow 549" o:spid="_x0000_s1126" type="#_x0000_t67" style="position:absolute;left:56107;top:8851;width:667;height:171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d74QMYA&#10;AADcAAAADwAAAGRycy9kb3ducmV2LnhtbESP3WoCMRSE7wXfIRyhd5q1tKJbo0hBUGwRrYVeHjdn&#10;f3Rzsmziur59IwheDjPzDTOdt6YUDdWusKxgOIhAECdWF5wpOPws+2MQziNrLC2Tghs5mM+6nSnG&#10;2l55R83eZyJA2MWoIPe+iqV0SU4G3cBWxMFLbW3QB1lnUtd4DXBTytcoGkmDBYeFHCv6zCk57y9G&#10;we/xdGomf9vvdLNbH77SbXOjTarUS69dfIDw1Ppn+NFeaQXvbxO4nwlHQM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d74QMYAAADcAAAADwAAAAAAAAAAAAAAAACYAgAAZHJz&#10;L2Rvd25yZXYueG1sUEsFBgAAAAAEAAQA9QAAAIsDAAAAAA==&#10;" adj="8702,9646" fillcolor="windowText" strokecolor="black [3213]" strokeweight="1pt"/>
                                  <v:shape id="Down Arrow 550" o:spid="_x0000_s1127" type="#_x0000_t67" style="position:absolute;left:45354;top:2779;width:666;height:17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3HAMIA&#10;AADcAAAADwAAAGRycy9kb3ducmV2LnhtbERPy4rCMBTdD/gP4QqzG1MFZaxGEUFQdBBf4PLa3D60&#10;uSlNpta/nywGXB7OezpvTSkaql1hWUG/F4EgTqwuOFNwPq2+vkE4j6yxtEwKXuRgPut8TDHW9skH&#10;ao4+EyGEXYwKcu+rWEqX5GTQ9WxFHLjU1gZ9gHUmdY3PEG5KOYiikTRYcGjIsaJlTsnj+GsUXG73&#10;ezO+7n/S7WFz3qX75kXbVKnPbruYgPDU+rf4373WCobDMD+cCUdAz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PccAwgAAANwAAAAPAAAAAAAAAAAAAAAAAJgCAABkcnMvZG93&#10;bnJldi54bWxQSwUGAAAAAAQABAD1AAAAhwMAAAAA&#10;" adj="8702,9646" fillcolor="windowText" strokecolor="black [3213]" strokeweight="1pt"/>
                                  <v:line id="Straight Connector 551" o:spid="_x0000_s1128" style="position:absolute;flip:x;visibility:visible;mso-wrap-style:square" from="49597,0" to="49597,28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ygIDscAAADcAAAADwAAAGRycy9kb3ducmV2LnhtbESPQWsCMRSE74L/IbyCl1KzFqx2NYoW&#10;ZC0tQq0Xb8/N6+7i5mVNom7/vSkUPA4z8w0znbemFhdyvrKsYNBPQBDnVldcKNh9r57GIHxA1lhb&#10;JgW/5GE+63ammGp75S+6bEMhIoR9igrKEJpUSp+XZND3bUMcvR/rDIYoXSG1w2uEm1o+J8mLNFhx&#10;XCixobeS8uP2bBS8y9PHcekORTaW2Wr/Odq8cvaoVO+hXUxABGrDPfzfXmsFw+EA/s7EIyBnN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zKAgOxwAAANwAAAAPAAAAAAAA&#10;AAAAAAAAAKECAABkcnMvZG93bnJldi54bWxQSwUGAAAAAAQABAD5AAAAlQMAAAAA&#10;" strokecolor="black [3213]" strokeweight="1pt">
                                    <v:stroke joinstyle="miter"/>
                                  </v:line>
                                  <v:shape id="Down Arrow 552" o:spid="_x0000_s1129" type="#_x0000_t67" style="position:absolute;left:58448;top:2706;width:667;height:17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qP87MYA&#10;AADcAAAADwAAAGRycy9kb3ducmV2LnhtbESP3WrCQBSE7wXfYTkF73RTQampqxRBULSINoVenmZP&#10;fjR7NmTXGN++WxC8HGbmG2a+7EwlWmpcaVnB6ygCQZxaXXKuIPlaD99AOI+ssbJMCu7kYLno9+YY&#10;a3vjI7Unn4sAYRejgsL7OpbSpQUZdCNbEwcvs41BH2STS93gLcBNJcdRNJUGSw4LBda0Kii9nK5G&#10;wffv+dzOfg6f2e64TfbZob3TLlNq8NJ9vIPw1Pln+NHeaAWTyRj+z4QjIB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qP87MYAAADcAAAADwAAAAAAAAAAAAAAAACYAgAAZHJz&#10;L2Rvd25yZXYueG1sUEsFBgAAAAAEAAQA9QAAAIsDAAAAAA==&#10;" adj="8702,9646" fillcolor="windowText" strokecolor="black [3213]" strokeweight="1pt"/>
                                  <v:line id="Straight Connector 553" o:spid="_x0000_s1130" style="position:absolute;flip:x;visibility:visible;mso-wrap-style:square" from="48719,14849" to="48719,246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LYz4scAAADcAAAADwAAAGRycy9kb3ducmV2LnhtbESPQWsCMRSE70L/Q3iCF6nZWmzt1iit&#10;IGtpKVS99Pa6ee4ubl7WJNX13xtB8DjMzDfMZNaaWhzI+cqygodBAoI4t7riQsFmvbgfg/ABWWNt&#10;mRScyMNseteZYKrtkX/osAqFiBD2KSooQ2hSKX1ekkE/sA1x9LbWGQxRukJqh8cIN7UcJsmTNFhx&#10;XCixoXlJ+W71bxR8yP3n7t39FdlYZovfr+fvF876SvW67dsriEBtuIWv7aVWMBo9wuVMPAJyegY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stjPixwAAANwAAAAPAAAAAAAA&#10;AAAAAAAAAKECAABkcnMvZG93bnJldi54bWxQSwUGAAAAAAQABAD5AAAAlQMAAAAA&#10;" strokecolor="black [3213]" strokeweight="1pt">
                                    <v:stroke joinstyle="miter"/>
                                  </v:line>
                                  <v:line id="Straight Connector 554" o:spid="_x0000_s1131" style="position:absolute;flip:x;visibility:visible;mso-wrap-style:square" from="43305,14849" to="43305,246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1+rlscAAADcAAAADwAAAGRycy9kb3ducmV2LnhtbESPQWsCMRSE70L/Q3iCF6nZSm3t1iit&#10;IGtpKVS99Pa6ee4ubl7WJNX13xtB8DjMzDfMZNaaWhzI+cqygodBAoI4t7riQsFmvbgfg/ABWWNt&#10;mRScyMNseteZYKrtkX/osAqFiBD2KSooQ2hSKX1ekkE/sA1x9LbWGQxRukJqh8cIN7UcJsmTNFhx&#10;XCixoXlJ+W71bxR8yP3n7t39FdlYZovfr+fvF876SvW67dsriEBtuIWv7aVWMBo9wuVMPAJyegY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jX6uWxwAAANwAAAAPAAAAAAAA&#10;AAAAAAAAAKECAABkcnMvZG93bnJldi54bWxQSwUGAAAAAAQABAD5AAAAlQMAAAAA&#10;" strokecolor="black [3213]" strokeweight="1pt">
                                    <v:stroke joinstyle="miter"/>
                                  </v:line>
                                  <v:line id="Straight Connector 555" o:spid="_x0000_s1132" style="position:absolute;flip:x;visibility:visible;mso-wrap-style:square" from="56765,14776" to="56765,245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BMODccAAADcAAAADwAAAGRycy9kb3ducmV2LnhtbESPT2vCQBTE74V+h+UVeim6qZBWo6tU&#10;QdJiEfxz8fbMPpNg9m3c3Wr67buFQo/DzPyGmcw604grOV9bVvDcT0AQF1bXXCrY75a9IQgfkDU2&#10;lknBN3mYTe/vJphpe+MNXbehFBHCPkMFVQhtJqUvKjLo+7Yljt7JOoMhSldK7fAW4aaRgyR5kQZr&#10;jgsVtrSoqDhvv4yCD3lZnefuWOZDmS8Pn6/rEedPSj0+dG9jEIG68B/+a79rBWmawu+ZeATk9A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MEw4NxwAAANwAAAAPAAAAAAAA&#10;AAAAAAAAAKECAABkcnMvZG93bnJldi54bWxQSwUGAAAAAAQABAD5AAAAlQMAAAAA&#10;" strokecolor="black [3213]" strokeweight="1pt">
                                    <v:stroke joinstyle="miter"/>
                                  </v:line>
                                  <v:line id="Straight Connector 556" o:spid="_x0000_s1133" style="position:absolute;visibility:visible;mso-wrap-style:square" from="14703,44183" to="14703,466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SLrr8QAAADcAAAADwAAAGRycy9kb3ducmV2LnhtbESPUWvCQBCE34X+h2MLvummWoNETxGh&#10;4pOl1h+w5tYkNrcXclcT/fW9QqGPw8x8wyzXva3VjVtfOdHwMk5AseTOVFJoOH2+jeagfCAxVDth&#10;DXf2sF49DZaUGdfJB9+OoVARIj4jDWUITYbo85It+bFrWKJ3ca2lEGVboGmpi3Bb4yRJUrRUSVwo&#10;qeFtyfnX8dtqsNN9cki7yaHG/Lo7ywPxdfqu9fC53yxABe7Df/ivvTcaZrMUfs/EI4Cr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hIuuvxAAAANwAAAAPAAAAAAAAAAAA&#10;AAAAAKECAABkcnMvZG93bnJldi54bWxQSwUGAAAAAAQABAD5AAAAkgMAAAAA&#10;" strokecolor="black [3213]" strokeweight="1pt">
                                    <v:stroke joinstyle="miter"/>
                                  </v:line>
                                  <v:line id="Straight Connector 557" o:spid="_x0000_s1134" style="position:absolute;visibility:visible;mso-wrap-style:square" from="9217,44037" to="9217,465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m5ONMQAAADcAAAADwAAAGRycy9kb3ducmV2LnhtbESPUWvCQBCE3wv+h2MF3+pGrVZST5GC&#10;xSeL2h+w5rZJNLcXcleT9td7QsHHYWa+YRarzlbqyo0vnWgYDRNQLJkzpeQavo6b5zkoH0gMVU5Y&#10;wy97WC17TwtKjWtlz9dDyFWEiE9JQxFCnSL6rGBLfuhqluh9u8ZSiLLJ0TTURritcJwkM7RUSlwo&#10;qOb3grPL4cdqsJNtspu1412F2fnjJH+IL5NPrQf9bv0GKnAXHuH/9tZomE5f4X4mHgFc3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Obk40xAAAANwAAAAPAAAAAAAAAAAA&#10;AAAAAKECAABkcnMvZG93bnJldi54bWxQSwUGAAAAAAQABAD5AAAAkgMAAAAA&#10;" strokecolor="black [3213]" strokeweight="1pt">
                                    <v:stroke joinstyle="miter"/>
                                  </v:line>
                                  <v:line id="Straight Connector 558" o:spid="_x0000_s1135" style="position:absolute;visibility:visible;mso-wrap-style:square" from="20628,44037" to="20628,465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HaRsAAAADcAAAADwAAAGRycy9kb3ducmV2LnhtbERPzWrCQBC+F3yHZQRvdaJWkdRVRFA8&#10;KVUfYJqdJqnZ2ZBdTfTpuwehx4/vf7HqbKXu3PjSiYbRMAHFkjlTSq7hct6+z0H5QGKocsIaHuxh&#10;tey9LSg1rpUvvp9CrmKI+JQ0FCHUKaLPCrbkh65midyPayyFCJscTUNtDLcVjpNkhpZKiQ0F1bwp&#10;OLueblaDneyTw6wdHyrMfnff8kT8mBy1HvS79SeowF34F7/ce6NhOo1r45l4BHD5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x2kbAAAAA3AAAAA8AAAAAAAAAAAAAAAAA&#10;oQIAAGRycy9kb3ducmV2LnhtbFBLBQYAAAAABAAEAPkAAACOAwAAAAA=&#10;" strokecolor="black [3213]" strokeweight="1pt">
                                    <v:stroke joinstyle="miter"/>
                                  </v:line>
                                  <v:line id="Straight Connector 559" o:spid="_x0000_s1136" style="position:absolute;visibility:visible;mso-wrap-style:square" from="26554,44256" to="26554,467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L1/3cQAAADcAAAADwAAAGRycy9kb3ducmV2LnhtbESPUWvCQBCE3wv+h2MF3+pGrVJTT5GC&#10;xSeL2h+w5rZJNLcXcleT9td7QsHHYWa+YRarzlbqyo0vnWgYDRNQLJkzpeQavo6b51dQPpAYqpyw&#10;hl/2sFr2nhaUGtfKnq+HkKsIEZ+ShiKEOkX0WcGW/NDVLNH7do2lEGWTo2mojXBb4ThJZmiplLhQ&#10;UM3vBWeXw4/VYCfbZDdrx7sKs/PHSf4QXyafWg/63foNVOAuPML/7a3RMJ3O4X4mHgFc3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QvX/dxAAAANwAAAAPAAAAAAAAAAAA&#10;AAAAAKECAABkcnMvZG93bnJldi54bWxQSwUGAAAAAAQABAD5AAAAkgMAAAAA&#10;" strokecolor="black [3213]" strokeweight="1pt">
                                    <v:stroke joinstyle="miter"/>
                                  </v:line>
                                  <v:line id="Straight Connector 560" o:spid="_x0000_s1137" style="position:absolute;visibility:visible;mso-wrap-style:square" from="39794,44037" to="39794,465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sc/cEAAADcAAAADwAAAGRycy9kb3ducmV2LnhtbERPzWrCQBC+F3yHZQRvdeJPQ0ldRQoV&#10;T0ptH2CanSbR7GzIrib69O5B8Pjx/S9Wva3VhVtfOdEwGSegWHJnKik0/P58vb6D8oHEUO2ENVzZ&#10;w2o5eFlQZlwn33w5hELFEPEZaShDaDJEn5dsyY9dwxK5f9daChG2BZqWuhhua5wmSYqWKokNJTX8&#10;WXJ+OpytBjvbJru0m+5qzI+bP7khzmd7rUfDfv0BKnAfnuKHe2s0vKVxfjwTjwAu7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P6xz9wQAAANwAAAAPAAAAAAAAAAAAAAAA&#10;AKECAABkcnMvZG93bnJldi54bWxQSwUGAAAAAAQABAD5AAAAjwMAAAAA&#10;" strokecolor="black [3213]" strokeweight="1pt">
                                    <v:stroke joinstyle="miter"/>
                                  </v:line>
                                  <v:line id="Straight Connector 561" o:spid="_x0000_s1138" style="position:absolute;visibility:visible;mso-wrap-style:square" from="46012,44037" to="46012,465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Ke5ZsQAAADcAAAADwAAAGRycy9kb3ducmV2LnhtbESPUWvCQBCE34X+h2MF38xGbUOJnlIE&#10;i09KbX/Amtsmqbm9kLua2F/vFQp9HGbmG2a1GWyjrtz52omGWZKCYimcqaXU8PG+mz6D8oHEUOOE&#10;NdzYw2b9MFpRblwvb3w9hVJFiPicNFQhtDmiLyq25BPXskTv03WWQpRdiaajPsJtg/M0zdBSLXGh&#10;opa3FReX07fVYBf79JD180ODxdfrWX4QHxdHrSfj4WUJKvAQ/sN/7b3R8JTN4PdMPAK4v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gp7lmxAAAANwAAAAPAAAAAAAAAAAA&#10;AAAAAKECAABkcnMvZG93bnJldi54bWxQSwUGAAAAAAQABAD5AAAAkgMAAAAA&#10;" strokecolor="black [3213]" strokeweight="1pt">
                                    <v:stroke joinstyle="miter"/>
                                  </v:line>
                                  <v:line id="Straight Connector 562" o:spid="_x0000_s1139" style="position:absolute;visibility:visible;mso-wrap-style:square" from="53108,44037" to="53108,465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HUnEcQAAADcAAAADwAAAGRycy9kb3ducmV2LnhtbESPUWvCQBCE3wv+h2MF3+rG2IaSeooU&#10;WnyyVP0B29w2ieb2Qu5qYn99TxB8HGbmG2axGmyjztz52omG2TQBxVI4U0up4bB/f3wB5QOJocYJ&#10;a7iwh9Vy9LCg3Lhevvi8C6WKEPE5aahCaHNEX1RsyU9dyxK9H9dZClF2JZqO+gi3DaZJkqGlWuJC&#10;RS2/VVycdr9Wg51vkm3Wp9sGi+PHt/whPs0/tZ6Mh/UrqMBDuIdv7Y3R8JylcD0TjwAu/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QdScRxAAAANwAAAAPAAAAAAAAAAAA&#10;AAAAAKECAABkcnMvZG93bnJldi54bWxQSwUGAAAAAAQABAD5AAAAkgMAAAAA&#10;" strokecolor="black [3213]" strokeweight="1pt">
                                    <v:stroke joinstyle="miter"/>
                                  </v:line>
                                  <v:line id="Straight Connector 563" o:spid="_x0000_s1140" style="position:absolute;visibility:visible;mso-wrap-style:square" from="59106,44037" to="59106,465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zmCisQAAADcAAAADwAAAGRycy9kb3ducmV2LnhtbESPUWvCQBCE3wv+h2OFvtWNpg0l9RQp&#10;VHyyVP0B29w2ieb2Qu40aX99TxB8HGbmG2a+HGyjLtz52omG6SQBxVI4U0up4bD/eHoF5QOJocYJ&#10;a/hlD8vF6GFOuXG9fPFlF0oVIeJz0lCF0OaIvqjYkp+4liV6P66zFKLsSjQd9RFuG5wlSYaWaokL&#10;FbX8XnFx2p2tBptukm3Wz7YNFsf1t/whPqefWj+Oh9UbqMBDuIdv7Y3R8JKlcD0TjwAu/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OYKKxAAAANwAAAAPAAAAAAAAAAAA&#10;AAAAAKECAABkcnMvZG93bnJldi54bWxQSwUGAAAAAAQABAD5AAAAkgMAAAAA&#10;" strokecolor="black [3213]" strokeweight="1pt">
                                    <v:stroke joinstyle="miter"/>
                                  </v:line>
                                  <v:shape id="Down Arrow 564" o:spid="_x0000_s1141" type="#_x0000_t67" style="position:absolute;left:8266;top:31747;width:994;height:139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GYPX8UA&#10;AADcAAAADwAAAGRycy9kb3ducmV2LnhtbESPQWvCQBSE70L/w/IKXkrdVK2WNBuRgsWLB2OhHl93&#10;n0lo9m3Ibk38965Q8DjMzDdMthpsI87U+dqxgpdJAoJYO1NzqeDrsHl+A+EDssHGMSm4kIdV/jDK&#10;MDWu5z2di1CKCGGfooIqhDaV0uuKLPqJa4mjd3KdxRBlV0rTYR/htpHTJFlIizXHhQpb+qhI/xZ/&#10;VoH+edrwYfl5XOvT7sLazzz130qNH4f1O4hAQ7iH/9tbo+B1MYfbmXgEZH4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Zg9fxQAAANwAAAAPAAAAAAAAAAAAAAAAAJgCAABkcnMv&#10;ZG93bnJldi54bWxQSwUGAAAAAAQABAD1AAAAigMAAAAA&#10;" adj="14934,9646" fillcolor="windowText" strokecolor="black [3213]" strokeweight="1pt"/>
                                  <v:shape id="Down Arrow 565" o:spid="_x0000_s1142" type="#_x0000_t67" style="position:absolute;left:13898;top:31821;width:994;height:139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qqxMQA&#10;AADcAAAADwAAAGRycy9kb3ducmV2LnhtbESPT4vCMBTE7wt+h/AEL4umuviHahRZULx4WBX0+Eye&#10;bbF5KU3W1m+/ERY8DjPzG2axam0pHlT7wrGC4SABQaydKThTcDpu+jMQPiAbLB2Tgid5WC07HwtM&#10;jWv4hx6HkIkIYZ+igjyEKpXS65ws+oGriKN3c7XFEGWdSVNjE+G2lKMkmUiLBceFHCv6zknfD79W&#10;gb5+bvg43V7W+rZ/svZfnpqzUr1uu56DCNSGd/i/vTMKxpMxvM7EIyC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cqqsTEAAAA3AAAAA8AAAAAAAAAAAAAAAAAmAIAAGRycy9k&#10;b3ducmV2LnhtbFBLBQYAAAAABAAEAPUAAACJAwAAAAA=&#10;" adj="14934,9646" fillcolor="windowText" strokecolor="black [3213]" strokeweight="1pt"/>
                                  <v:shape id="Down Arrow 566" o:spid="_x0000_s1143" type="#_x0000_t67" style="position:absolute;left:20482;top:31894;width:994;height:139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0s8UA&#10;AADcAAAADwAAAGRycy9kb3ducmV2LnhtbESPQWvCQBSE70L/w/IKvYhuajEtqZsgBUsvHoxCPb7u&#10;PpPQ7NuQXU38926h4HGYmW+YVTHaVlyo941jBc/zBASxdqbhSsFhv5m9gfAB2WDrmBRcyUORP0xW&#10;mBk38I4uZahEhLDPUEEdQpdJ6XVNFv3cdcTRO7neYoiyr6TpcYhw28pFkqTSYsNxocaOPmrSv+XZ&#10;KtA/0w3vXz+Pa33aXln7F0/Dt1JPj+P6HUSgMdzD/+0vo2CZpvB3Jh4Bmd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DSzxQAAANwAAAAPAAAAAAAAAAAAAAAAAJgCAABkcnMv&#10;ZG93bnJldi54bWxQSwUGAAAAAAQABAD1AAAAigMAAAAA&#10;" adj="14934,9646" fillcolor="windowText" strokecolor="black [3213]" strokeweight="1pt"/>
                                  <v:shape id="Down Arrow 567" o:spid="_x0000_s1144" type="#_x0000_t67" style="position:absolute;left:26481;top:31747;width:993;height:139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SRKMQA&#10;AADcAAAADwAAAGRycy9kb3ducmV2LnhtbESPT4vCMBTE78J+h/AWvIimq/iHrlFkQfHiQV1Yj8/k&#10;2ZZtXkoTbf32RhA8DjPzG2a+bG0pblT7wrGCr0ECglg7U3Cm4Pe47s9A+IBssHRMCu7kYbn46Mwx&#10;Na7hPd0OIRMRwj5FBXkIVSql1zlZ9ANXEUfv4mqLIco6k6bGJsJtKYdJMpEWC44LOVb0k5P+P1yt&#10;An3urfk43ZxW+rK7s/YjT82fUt3PdvUNIlAb3uFXe2sUjCdTeJ6JR0Au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i0kSjEAAAA3AAAAA8AAAAAAAAAAAAAAAAAmAIAAGRycy9k&#10;b3ducmV2LnhtbFBLBQYAAAAABAAEAPUAAACJAwAAAAA=&#10;" adj="14934,9646" fillcolor="windowText" strokecolor="black [3213]" strokeweight="1pt"/>
                                  <v:shape id="Down Arrow 568" o:spid="_x0000_s1145" type="#_x0000_t67" style="position:absolute;left:33209;top:30444;width:1187;height:290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ba7sMA&#10;AADcAAAADwAAAGRycy9kb3ducmV2LnhtbERPy4rCMBTdD/gP4QpuBk0Vpmg1iogys1HxAeLu0lzb&#10;anNTmmg7f28WA7M8nPds0ZpSvKh2hWUFw0EEgji1uuBMwfm06Y9BOI+ssbRMCn7JwWLe+Zhhom3D&#10;B3odfSZCCLsEFeTeV4mULs3JoBvYijhwN1sb9AHWmdQ1NiHclHIURbE0WHBoyLGiVU7p4/g0CtKd&#10;Wzfb+2Zl4uFzO/kc83X/fVGq122XUxCeWv8v/nP/aAVfcVgbzoQjIOd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yba7sMAAADcAAAADwAAAAAAAAAAAAAAAACYAgAAZHJzL2Rv&#10;d25yZXYueG1sUEsFBgAAAAAEAAQA9QAAAIgDAAAAAA==&#10;" adj="17793,9646" fillcolor="windowText" strokecolor="black [3213]" strokeweight="1pt"/>
                                  <v:shape id="Down Arrow 569" o:spid="_x0000_s1146" type="#_x0000_t67" style="position:absolute;left:39575;top:31821;width:994;height:139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egwcUA&#10;AADcAAAADwAAAGRycy9kb3ducmV2LnhtbESPzWsCMRTE7wX/h/AEL0WzttSP1ShSsHjpwQ/Q4zN5&#10;7i5uXpZNdNf/3hQKHoeZ+Q0zX7a2FHeqfeFYwXCQgCDWzhScKTjs1/0JCB+QDZaOScGDPCwXnbc5&#10;psY1vKX7LmQiQtinqCAPoUql9Doni37gKuLoXVxtMURZZ9LU2ES4LeVHkoykxYLjQo4Vfeekr7ub&#10;VaDP72vej39OK335fbD2n56ao1K9bruagQjUhlf4v70xCr5GU/g7E4+AXD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2Z6DBxQAAANwAAAAPAAAAAAAAAAAAAAAAAJgCAABkcnMv&#10;ZG93bnJldi54bWxQSwUGAAAAAAQABAD1AAAAigMAAAAA&#10;" adj="14934,9646" fillcolor="windowText" strokecolor="black [3213]" strokeweight="1pt"/>
                                  <v:shape id="Down Arrow 570" o:spid="_x0000_s1147" type="#_x0000_t67" style="position:absolute;left:45720;top:31674;width:993;height:139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oSfgcIA&#10;AADcAAAADwAAAGRycy9kb3ducmV2LnhtbERPz2vCMBS+D/wfwhO8jJk6mR3VKCJUvOwwK7jjW/Js&#10;i81LabK2/vfLYbDjx/d7sxttI3rqfO1YwWKegCDWztRcKrgU+cs7CB+QDTaOScGDPOy2k6cNZsYN&#10;/En9OZQihrDPUEEVQptJ6XVFFv3ctcSRu7nOYoiwK6XpcIjhtpGvSbKSFmuODRW2dKhI388/VoH+&#10;fs65SI9fe337eLD2S0/DVanZdNyvQQQaw7/4z30yCt7SOD+eiUdAb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ihJ+BwgAAANwAAAAPAAAAAAAAAAAAAAAAAJgCAABkcnMvZG93&#10;bnJldi54bWxQSwUGAAAAAAQABAD1AAAAhwMAAAAA&#10;" adj="14934,9646" fillcolor="windowText" strokecolor="black [3213]" strokeweight="1pt"/>
                                  <v:shape id="Down Arrow 571" o:spid="_x0000_s1148" type="#_x0000_t67" style="position:absolute;left:53035;top:31821;width:994;height:139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g6GsQA&#10;AADcAAAADwAAAGRycy9kb3ducmV2LnhtbESPzYvCMBTE78L+D+EteJE1VfGDrlFkQfHiwQ9Yj2+T&#10;Z1u2eSlNtPW/N4LgcZiZ3zDzZWtLcaPaF44VDPoJCGLtTMGZgtNx/TUD4QOywdIxKbiTh+XiozPH&#10;1LiG93Q7hExECPsUFeQhVKmUXudk0fddRRy9i6sthijrTJoamwi3pRwmyURaLDgu5FjRT076/3C1&#10;CvRfb83H6ea80pfdnbUfeWp+lep+tqtvEIHa8A6/2lujYDwdwPNMPAJy8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3IOhrEAAAA3AAAAA8AAAAAAAAAAAAAAAAAmAIAAGRycy9k&#10;b3ducmV2LnhtbFBLBQYAAAAABAAEAPUAAACJAwAAAAA=&#10;" adj="14934,9646" fillcolor="windowText" strokecolor="black [3213]" strokeweight="1pt"/>
                                  <v:shape id="Down Arrow 572" o:spid="_x0000_s1149" type="#_x0000_t67" style="position:absolute;left:58343;top:31768;width:993;height:139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qkbcUA&#10;AADcAAAADwAAAGRycy9kb3ducmV2LnhtbESPT2vCQBTE7wW/w/KEXoputLRKdA2hYOmlh2pBj8/d&#10;ZxLMvg3Zbf58+26h4HGYmd8w22ywteio9ZVjBYt5AoJYO1NxoeD7uJ+tQfiAbLB2TApG8pDtJg9b&#10;TI3r+Yu6QyhEhLBPUUEZQpNK6XVJFv3cNcTRu7rWYoiyLaRpsY9wW8tlkrxKixXHhRIbeitJ3w4/&#10;VoG+PO35uHo/5/r6ObL2z576k1KP0yHfgAg0hHv4v/1hFLyslvB3Jh4Bufs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9GqRtxQAAANwAAAAPAAAAAAAAAAAAAAAAAJgCAABkcnMv&#10;ZG93bnJldi54bWxQSwUGAAAAAAQABAD1AAAAigMAAAAA&#10;" adj="14934,9646" fillcolor="windowText" strokecolor="black [3213]" strokeweight="1pt"/>
                                  <v:shapetype id="_x0000_t109" coordsize="21600,21600" o:spt="109" path="m,l,21600r21600,l21600,xe">
                                    <v:stroke joinstyle="miter"/>
                                    <v:path gradientshapeok="t" o:connecttype="rect"/>
                                  </v:shapetype>
                                  <v:shape id="Flowchart: Process 573" o:spid="_x0000_s1150" type="#_x0000_t109" style="position:absolute;top:1807;width:63709;height:4572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9rlcgA&#10;AADcAAAADwAAAGRycy9kb3ducmV2LnhtbESPzWvCQBTE74X+D8sTvJRm06qtRFcpBaUeSvDj0tsj&#10;+/JBsm/T7KrRv94tFDwOM/MbZr7sTSNO1LnKsoKXKAZBnFldcaHgsF89T0E4j6yxsUwKLuRguXh8&#10;mGOi7Zm3dNr5QgQIuwQVlN63iZQuK8mgi2xLHLzcdgZ9kF0hdYfnADeNfI3jN2mw4rBQYkufJWX1&#10;7mgUXNNN/U3j9CePpxv/e01pXU+elBoO+o8ZCE+9v4f/219aweR9BH9nwhGQix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E/2uVyAAAANwAAAAPAAAAAAAAAAAAAAAAAJgCAABk&#10;cnMvZG93bnJldi54bWxQSwUGAAAAAAQABAD1AAAAjQMAAAAA&#10;" filled="f" strokecolor="black [3213]" strokeweight="1pt">
                                    <v:stroke dashstyle="longDashDot"/>
                                  </v:shape>
                                  <v:line id="Straight Connector 574" o:spid="_x0000_s1151" style="position:absolute;visibility:visible;mso-wrap-style:square" from="38039,3730" to="38553,37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QmMI8QAAADcAAAADwAAAGRycy9kb3ducmV2LnhtbESP3WrCQBSE7wu+w3IK3tWTqlWJriIF&#10;i1cWfx7gmD0m0ezZkN2atE/fLRS8HGbmG2ax6myl7tz40omG10ECiiVzppRcw+m4eZmB8oHEUOWE&#10;NXyzh9Wy97Sg1LhW9nw/hFxFiPiUNBQh1Cmizwq25AeuZonexTWWQpRNjqahNsJthcMkmaClUuJC&#10;QTW/F5zdDl9Wgx1tk92kHe4qzK4fZ/lBHI8+te4/d+s5qMBdeIT/21uj4W06hr8z8Qjg8h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1CYwjxAAAANwAAAAPAAAAAAAAAAAA&#10;AAAAAKECAABkcnMvZG93bnJldi54bWxQSwUGAAAAAAQABAD5AAAAkgMAAAAA&#10;" strokecolor="black [3213]" strokeweight="1pt">
                                    <v:stroke joinstyle="miter"/>
                                  </v:line>
                                </v:group>
                              </v:group>
                            </v:group>
                          </v:group>
                        </v:group>
                      </v:group>
                    </v:group>
                    <v:shape id="Down Arrow 575" o:spid="_x0000_s1152" type="#_x0000_t67" style="position:absolute;left:34451;top:52180;width:1398;height:406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IjesUA&#10;AADcAAAADwAAAGRycy9kb3ducmV2LnhtbESPUUvDMBSF3wf+h3AF37ZUceq6ZUOkYn3YxLU/4NJc&#10;22BzU5K41n9vhMEeD+ec73A2u8n24kQ+GMcKbhcZCOLGacOtgrp6nT+BCBFZY++YFPxSgN32arbB&#10;XLuRP+l0jK1IEA45KuhiHHIpQ9ORxbBwA3Hyvpy3GJP0rdQexwS3vbzLsgdp0XBa6HCgl46a7+OP&#10;VdCPhVlVRXFo6o/Sm/L+7X1/YKVurqfnNYhIU7yEz+1SK1g+LuH/TDoCcvs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MiN6xQAAANwAAAAPAAAAAAAAAAAAAAAAAJgCAABkcnMv&#10;ZG93bnJldi54bWxQSwUGAAAAAAQABAD1AAAAigMAAAAA&#10;" adj="17401,9646" fillcolor="windowText" strokecolor="black [3213]" strokeweight="1pt"/>
                  </v:group>
                </v:group>
                <w10:anchorlock/>
              </v:group>
            </w:pict>
          </mc:Fallback>
        </mc:AlternateContent>
      </w:r>
    </w:p>
    <w:p w:rsidR="00317698" w:rsidRPr="00971715" w:rsidRDefault="00317698" w:rsidP="00317698">
      <w:bookmarkStart w:id="159" w:name="_Toc68761618"/>
      <w:r w:rsidRPr="00F54A25">
        <w:t xml:space="preserve">Figure </w:t>
      </w:r>
      <w:r w:rsidR="00515F3B">
        <w:rPr>
          <w:noProof/>
        </w:rPr>
        <w:fldChar w:fldCharType="begin"/>
      </w:r>
      <w:r w:rsidR="00515F3B">
        <w:rPr>
          <w:noProof/>
        </w:rPr>
        <w:instrText xml:space="preserve"> STYLEREF 1 \s </w:instrText>
      </w:r>
      <w:r w:rsidR="00515F3B">
        <w:rPr>
          <w:noProof/>
        </w:rPr>
        <w:fldChar w:fldCharType="separate"/>
      </w:r>
      <w:r w:rsidR="00BD510E">
        <w:rPr>
          <w:noProof/>
        </w:rPr>
        <w:t>3</w:t>
      </w:r>
      <w:r w:rsidR="00515F3B">
        <w:rPr>
          <w:noProof/>
        </w:rPr>
        <w:fldChar w:fldCharType="end"/>
      </w:r>
      <w:r w:rsidR="001342E5">
        <w:t>.</w:t>
      </w:r>
      <w:r w:rsidR="00515F3B">
        <w:rPr>
          <w:noProof/>
        </w:rPr>
        <w:fldChar w:fldCharType="begin"/>
      </w:r>
      <w:r w:rsidR="00515F3B">
        <w:rPr>
          <w:noProof/>
        </w:rPr>
        <w:instrText xml:space="preserve"> SEQ Figure \* ARABIC \s 1 </w:instrText>
      </w:r>
      <w:r w:rsidR="00515F3B">
        <w:rPr>
          <w:noProof/>
        </w:rPr>
        <w:fldChar w:fldCharType="separate"/>
      </w:r>
      <w:r w:rsidR="00BD510E">
        <w:rPr>
          <w:noProof/>
        </w:rPr>
        <w:t>8</w:t>
      </w:r>
      <w:r w:rsidR="00515F3B">
        <w:rPr>
          <w:noProof/>
        </w:rPr>
        <w:fldChar w:fldCharType="end"/>
      </w:r>
      <w:r w:rsidRPr="00F54A25">
        <w:t>: Conceptual framework of the study</w:t>
      </w:r>
      <w:bookmarkEnd w:id="159"/>
    </w:p>
    <w:p w:rsidR="00DA48D8" w:rsidRPr="00456014" w:rsidRDefault="00AA4C17" w:rsidP="00D12190">
      <w:pPr>
        <w:pStyle w:val="Heading1"/>
        <w:numPr>
          <w:ilvl w:val="0"/>
          <w:numId w:val="3"/>
        </w:numPr>
      </w:pPr>
      <w:bookmarkStart w:id="160" w:name="_Toc68025091"/>
      <w:bookmarkStart w:id="161" w:name="_Toc68761573"/>
      <w:r w:rsidRPr="00456014">
        <w:lastRenderedPageBreak/>
        <w:t>RESULT</w:t>
      </w:r>
      <w:r w:rsidR="006D22A1" w:rsidRPr="00456014">
        <w:t>S</w:t>
      </w:r>
      <w:r w:rsidRPr="00456014">
        <w:t xml:space="preserve"> AND DISCUSSION</w:t>
      </w:r>
      <w:bookmarkEnd w:id="160"/>
      <w:bookmarkEnd w:id="161"/>
    </w:p>
    <w:p w:rsidR="00DA48D8" w:rsidRPr="00456014" w:rsidRDefault="00DA48D8" w:rsidP="008D3D8E">
      <w:pPr>
        <w:pStyle w:val="Heading2"/>
        <w:numPr>
          <w:ilvl w:val="1"/>
          <w:numId w:val="3"/>
        </w:numPr>
        <w:ind w:hanging="540"/>
        <w:rPr>
          <w:szCs w:val="24"/>
        </w:rPr>
      </w:pPr>
      <w:bookmarkStart w:id="162" w:name="_Toc68025092"/>
      <w:bookmarkStart w:id="163" w:name="_Toc68761574"/>
      <w:r w:rsidRPr="00456014">
        <w:rPr>
          <w:szCs w:val="24"/>
        </w:rPr>
        <w:t xml:space="preserve">Characterization </w:t>
      </w:r>
      <w:r w:rsidR="00504C66" w:rsidRPr="00456014">
        <w:rPr>
          <w:szCs w:val="24"/>
        </w:rPr>
        <w:t xml:space="preserve">of </w:t>
      </w:r>
      <w:r w:rsidR="00B6550E" w:rsidRPr="00456014">
        <w:rPr>
          <w:szCs w:val="24"/>
        </w:rPr>
        <w:t>Factors Influencing Groundwater Potential</w:t>
      </w:r>
      <w:bookmarkEnd w:id="162"/>
      <w:bookmarkEnd w:id="163"/>
    </w:p>
    <w:p w:rsidR="00594EC4" w:rsidRPr="00456014" w:rsidRDefault="00594EC4" w:rsidP="008D3D8E">
      <w:pPr>
        <w:pStyle w:val="Heading3"/>
        <w:numPr>
          <w:ilvl w:val="2"/>
          <w:numId w:val="3"/>
        </w:numPr>
      </w:pPr>
      <w:bookmarkStart w:id="164" w:name="_Toc68025093"/>
      <w:bookmarkStart w:id="165" w:name="_Toc68761575"/>
      <w:r w:rsidRPr="00456014">
        <w:t xml:space="preserve">The </w:t>
      </w:r>
      <w:r w:rsidR="00B6550E" w:rsidRPr="00456014">
        <w:t xml:space="preserve">Thematic Map </w:t>
      </w:r>
      <w:r w:rsidR="00C80F2B" w:rsidRPr="00456014">
        <w:t>of</w:t>
      </w:r>
      <w:r w:rsidR="00B6550E" w:rsidRPr="00456014">
        <w:t xml:space="preserve"> Geomorpholo</w:t>
      </w:r>
      <w:r w:rsidR="00705C30">
        <w:t>gy</w:t>
      </w:r>
      <w:bookmarkEnd w:id="164"/>
      <w:bookmarkEnd w:id="165"/>
    </w:p>
    <w:p w:rsidR="00460C7A" w:rsidRDefault="00AE0DF7" w:rsidP="00371695">
      <w:r>
        <w:t xml:space="preserve">The </w:t>
      </w:r>
      <w:r w:rsidR="00EA0353">
        <w:t>TPI</w:t>
      </w:r>
      <w:r>
        <w:t xml:space="preserve"> based </w:t>
      </w:r>
      <w:r w:rsidR="003A58D4">
        <w:t>landform classification of geomorphology</w:t>
      </w:r>
      <w:r>
        <w:t xml:space="preserve"> show</w:t>
      </w:r>
      <w:r w:rsidR="003A58D4">
        <w:t>s</w:t>
      </w:r>
      <w:r>
        <w:t xml:space="preserve"> </w:t>
      </w:r>
      <w:r w:rsidR="00594EC4" w:rsidRPr="00456014">
        <w:t xml:space="preserve">ten </w:t>
      </w:r>
      <w:r w:rsidRPr="00456014">
        <w:t>classes</w:t>
      </w:r>
      <w:r>
        <w:t xml:space="preserve"> of landforms including;</w:t>
      </w:r>
      <w:r w:rsidR="00594EC4" w:rsidRPr="00456014">
        <w:t xml:space="preserve"> high ridges, mid-slope ridges, upland drainage, upper slopes, open slopes, plains, valleys, local ridges, m</w:t>
      </w:r>
      <w:r w:rsidR="009C6143" w:rsidRPr="00456014">
        <w:t>id-slope drainage, and streams (</w:t>
      </w:r>
      <w:r w:rsidR="00C93521">
        <w:t>F</w:t>
      </w:r>
      <w:r w:rsidR="00C07E8B">
        <w:t>igure 4.1</w:t>
      </w:r>
      <w:r w:rsidR="00206096">
        <w:t>).</w:t>
      </w:r>
    </w:p>
    <w:p w:rsidR="00860B25" w:rsidRPr="00BB3315" w:rsidRDefault="001C1404" w:rsidP="00371695">
      <w:pPr>
        <w:jc w:val="center"/>
      </w:pPr>
      <w:r w:rsidRPr="001C1404">
        <w:rPr>
          <w:noProof/>
        </w:rPr>
        <w:drawing>
          <wp:inline distT="0" distB="0" distL="0" distR="0" wp14:anchorId="6C05D056" wp14:editId="361658D9">
            <wp:extent cx="5536835" cy="3914775"/>
            <wp:effectExtent l="19050" t="19050" r="26035" b="9525"/>
            <wp:docPr id="29" name="Picture 29" descr="C:\Users\Abdul Gafar\Desktop\Report_MXD_JPEG\Geomorphology\GEOM_FN.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bdul Gafar\Desktop\Report_MXD_JPEG\Geomorphology\GEOM_FN.bmp"/>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536835" cy="3914775"/>
                    </a:xfrm>
                    <a:prstGeom prst="rect">
                      <a:avLst/>
                    </a:prstGeom>
                    <a:noFill/>
                    <a:ln w="12700">
                      <a:solidFill>
                        <a:schemeClr val="tx1"/>
                      </a:solidFill>
                    </a:ln>
                  </pic:spPr>
                </pic:pic>
              </a:graphicData>
            </a:graphic>
          </wp:inline>
        </w:drawing>
      </w:r>
    </w:p>
    <w:p w:rsidR="00E267DB" w:rsidRPr="00E267DB" w:rsidRDefault="00E267DB" w:rsidP="00371695">
      <w:pPr>
        <w:rPr>
          <w:sz w:val="23"/>
          <w:szCs w:val="23"/>
        </w:rPr>
      </w:pPr>
      <w:bookmarkStart w:id="166" w:name="_Toc68761619"/>
      <w:r w:rsidRPr="00456014">
        <w:t xml:space="preserve">Figure </w:t>
      </w:r>
      <w:r w:rsidR="00515F3B">
        <w:rPr>
          <w:noProof/>
        </w:rPr>
        <w:fldChar w:fldCharType="begin"/>
      </w:r>
      <w:r w:rsidR="00515F3B">
        <w:rPr>
          <w:noProof/>
        </w:rPr>
        <w:instrText xml:space="preserve"> STYLEREF 1 \s </w:instrText>
      </w:r>
      <w:r w:rsidR="00515F3B">
        <w:rPr>
          <w:noProof/>
        </w:rPr>
        <w:fldChar w:fldCharType="separate"/>
      </w:r>
      <w:r w:rsidR="00BD510E">
        <w:rPr>
          <w:noProof/>
        </w:rPr>
        <w:t>4</w:t>
      </w:r>
      <w:r w:rsidR="00515F3B">
        <w:rPr>
          <w:noProof/>
        </w:rPr>
        <w:fldChar w:fldCharType="end"/>
      </w:r>
      <w:r w:rsidR="001342E5">
        <w:t>.</w:t>
      </w:r>
      <w:r w:rsidR="00515F3B">
        <w:rPr>
          <w:noProof/>
        </w:rPr>
        <w:fldChar w:fldCharType="begin"/>
      </w:r>
      <w:r w:rsidR="00515F3B">
        <w:rPr>
          <w:noProof/>
        </w:rPr>
        <w:instrText xml:space="preserve"> SEQ Figure \* ARABIC \s 1 </w:instrText>
      </w:r>
      <w:r w:rsidR="00515F3B">
        <w:rPr>
          <w:noProof/>
        </w:rPr>
        <w:fldChar w:fldCharType="separate"/>
      </w:r>
      <w:r w:rsidR="00BD510E">
        <w:rPr>
          <w:noProof/>
        </w:rPr>
        <w:t>1</w:t>
      </w:r>
      <w:r w:rsidR="00515F3B">
        <w:rPr>
          <w:noProof/>
        </w:rPr>
        <w:fldChar w:fldCharType="end"/>
      </w:r>
      <w:r w:rsidRPr="00456014">
        <w:t>:</w:t>
      </w:r>
      <w:r w:rsidRPr="00456014">
        <w:rPr>
          <w:sz w:val="23"/>
          <w:szCs w:val="23"/>
        </w:rPr>
        <w:t xml:space="preserve"> The classified landforms</w:t>
      </w:r>
      <w:r>
        <w:rPr>
          <w:sz w:val="23"/>
          <w:szCs w:val="23"/>
        </w:rPr>
        <w:t xml:space="preserve"> </w:t>
      </w:r>
      <w:r w:rsidRPr="00456014">
        <w:rPr>
          <w:sz w:val="23"/>
          <w:szCs w:val="23"/>
        </w:rPr>
        <w:t>of study area</w:t>
      </w:r>
      <w:bookmarkEnd w:id="166"/>
    </w:p>
    <w:p w:rsidR="00516071" w:rsidRPr="00516071" w:rsidRDefault="00516071" w:rsidP="00371695">
      <w:r w:rsidRPr="008D4C61">
        <w:rPr>
          <w:iCs/>
        </w:rPr>
        <w:t xml:space="preserve">Depending on the contribution of </w:t>
      </w:r>
      <w:r w:rsidR="00F37710">
        <w:rPr>
          <w:iCs/>
        </w:rPr>
        <w:t>landform classes</w:t>
      </w:r>
      <w:r w:rsidRPr="008D4C61">
        <w:rPr>
          <w:iCs/>
        </w:rPr>
        <w:t xml:space="preserve">, the identified </w:t>
      </w:r>
      <w:r w:rsidR="00F37710">
        <w:rPr>
          <w:iCs/>
        </w:rPr>
        <w:t>geomorphologic landforms we</w:t>
      </w:r>
      <w:r w:rsidRPr="008D4C61">
        <w:rPr>
          <w:iCs/>
        </w:rPr>
        <w:t>re reclassified into five classes. High ridges and mid-slope ridges are the areas with the least groundwater potential, while valleys and plains are types of landforms encouraging very high groundwater potential. The computed</w:t>
      </w:r>
      <w:r w:rsidR="00D4386B">
        <w:rPr>
          <w:iCs/>
        </w:rPr>
        <w:t xml:space="preserve"> relative weight of classes, </w:t>
      </w:r>
      <w:r w:rsidRPr="008D4C61">
        <w:rPr>
          <w:iCs/>
        </w:rPr>
        <w:t xml:space="preserve">CR </w:t>
      </w:r>
      <w:r w:rsidR="00D4386B">
        <w:rPr>
          <w:iCs/>
        </w:rPr>
        <w:t xml:space="preserve">and scale </w:t>
      </w:r>
      <w:r w:rsidR="00D4386B" w:rsidRPr="008D4C61">
        <w:rPr>
          <w:iCs/>
        </w:rPr>
        <w:t>valu</w:t>
      </w:r>
      <w:r w:rsidR="00D4386B">
        <w:rPr>
          <w:iCs/>
        </w:rPr>
        <w:t>es are presented</w:t>
      </w:r>
      <w:r w:rsidR="00032C2C">
        <w:rPr>
          <w:iCs/>
        </w:rPr>
        <w:t xml:space="preserve"> in the Table: 4.1</w:t>
      </w:r>
      <w:r w:rsidRPr="008D4C61">
        <w:rPr>
          <w:iCs/>
        </w:rPr>
        <w:t>. The CR value of 0.018 is within the acceptable limit.</w:t>
      </w:r>
    </w:p>
    <w:p w:rsidR="00C93419" w:rsidRPr="00456014" w:rsidRDefault="00594EC4" w:rsidP="00371695">
      <w:pPr>
        <w:pStyle w:val="Caption"/>
        <w:keepNext/>
        <w:spacing w:before="120" w:after="120" w:line="360" w:lineRule="auto"/>
        <w:rPr>
          <w:i w:val="0"/>
          <w:iCs w:val="0"/>
          <w:color w:val="auto"/>
          <w:sz w:val="24"/>
          <w:szCs w:val="24"/>
        </w:rPr>
      </w:pPr>
      <w:bookmarkStart w:id="167" w:name="_Toc68761595"/>
      <w:r w:rsidRPr="00456014">
        <w:rPr>
          <w:i w:val="0"/>
          <w:iCs w:val="0"/>
          <w:color w:val="auto"/>
          <w:sz w:val="24"/>
          <w:szCs w:val="24"/>
        </w:rPr>
        <w:lastRenderedPageBreak/>
        <w:t xml:space="preserve">Table </w:t>
      </w:r>
      <w:r w:rsidR="001578A8" w:rsidRPr="00456014">
        <w:rPr>
          <w:i w:val="0"/>
          <w:iCs w:val="0"/>
          <w:color w:val="auto"/>
          <w:sz w:val="24"/>
          <w:szCs w:val="24"/>
        </w:rPr>
        <w:fldChar w:fldCharType="begin"/>
      </w:r>
      <w:r w:rsidR="001578A8" w:rsidRPr="00456014">
        <w:rPr>
          <w:i w:val="0"/>
          <w:iCs w:val="0"/>
          <w:color w:val="auto"/>
          <w:sz w:val="24"/>
          <w:szCs w:val="24"/>
        </w:rPr>
        <w:instrText xml:space="preserve"> STYLEREF 1 \s </w:instrText>
      </w:r>
      <w:r w:rsidR="001578A8" w:rsidRPr="00456014">
        <w:rPr>
          <w:i w:val="0"/>
          <w:iCs w:val="0"/>
          <w:color w:val="auto"/>
          <w:sz w:val="24"/>
          <w:szCs w:val="24"/>
        </w:rPr>
        <w:fldChar w:fldCharType="separate"/>
      </w:r>
      <w:r w:rsidR="00BD510E">
        <w:rPr>
          <w:i w:val="0"/>
          <w:iCs w:val="0"/>
          <w:noProof/>
          <w:color w:val="auto"/>
          <w:sz w:val="24"/>
          <w:szCs w:val="24"/>
        </w:rPr>
        <w:t>4</w:t>
      </w:r>
      <w:r w:rsidR="001578A8" w:rsidRPr="00456014">
        <w:rPr>
          <w:i w:val="0"/>
          <w:iCs w:val="0"/>
          <w:color w:val="auto"/>
          <w:sz w:val="24"/>
          <w:szCs w:val="24"/>
        </w:rPr>
        <w:fldChar w:fldCharType="end"/>
      </w:r>
      <w:r w:rsidR="001578A8" w:rsidRPr="00456014">
        <w:rPr>
          <w:i w:val="0"/>
          <w:iCs w:val="0"/>
          <w:color w:val="auto"/>
          <w:sz w:val="24"/>
          <w:szCs w:val="24"/>
        </w:rPr>
        <w:t>.</w:t>
      </w:r>
      <w:r w:rsidR="001578A8" w:rsidRPr="00456014">
        <w:rPr>
          <w:i w:val="0"/>
          <w:iCs w:val="0"/>
          <w:color w:val="auto"/>
          <w:sz w:val="24"/>
          <w:szCs w:val="24"/>
        </w:rPr>
        <w:fldChar w:fldCharType="begin"/>
      </w:r>
      <w:r w:rsidR="001578A8" w:rsidRPr="00456014">
        <w:rPr>
          <w:i w:val="0"/>
          <w:iCs w:val="0"/>
          <w:color w:val="auto"/>
          <w:sz w:val="24"/>
          <w:szCs w:val="24"/>
        </w:rPr>
        <w:instrText xml:space="preserve"> SEQ Table \* ARABIC \s 1 </w:instrText>
      </w:r>
      <w:r w:rsidR="001578A8" w:rsidRPr="00456014">
        <w:rPr>
          <w:i w:val="0"/>
          <w:iCs w:val="0"/>
          <w:color w:val="auto"/>
          <w:sz w:val="24"/>
          <w:szCs w:val="24"/>
        </w:rPr>
        <w:fldChar w:fldCharType="separate"/>
      </w:r>
      <w:r w:rsidR="00BD510E">
        <w:rPr>
          <w:i w:val="0"/>
          <w:iCs w:val="0"/>
          <w:noProof/>
          <w:color w:val="auto"/>
          <w:sz w:val="24"/>
          <w:szCs w:val="24"/>
        </w:rPr>
        <w:t>1</w:t>
      </w:r>
      <w:r w:rsidR="001578A8" w:rsidRPr="00456014">
        <w:rPr>
          <w:i w:val="0"/>
          <w:iCs w:val="0"/>
          <w:color w:val="auto"/>
          <w:sz w:val="24"/>
          <w:szCs w:val="24"/>
        </w:rPr>
        <w:fldChar w:fldCharType="end"/>
      </w:r>
      <w:r w:rsidRPr="00456014">
        <w:rPr>
          <w:i w:val="0"/>
          <w:iCs w:val="0"/>
          <w:color w:val="auto"/>
          <w:sz w:val="24"/>
          <w:szCs w:val="24"/>
        </w:rPr>
        <w:t>: The</w:t>
      </w:r>
      <w:r w:rsidR="00656DED">
        <w:rPr>
          <w:i w:val="0"/>
          <w:iCs w:val="0"/>
          <w:color w:val="auto"/>
          <w:sz w:val="24"/>
          <w:szCs w:val="24"/>
        </w:rPr>
        <w:t xml:space="preserve"> r</w:t>
      </w:r>
      <w:r w:rsidR="001108A8" w:rsidRPr="00456014">
        <w:rPr>
          <w:i w:val="0"/>
          <w:iCs w:val="0"/>
          <w:color w:val="auto"/>
          <w:sz w:val="24"/>
          <w:szCs w:val="24"/>
        </w:rPr>
        <w:t>elative weight</w:t>
      </w:r>
      <w:r w:rsidR="000932E1" w:rsidRPr="00456014">
        <w:rPr>
          <w:i w:val="0"/>
          <w:iCs w:val="0"/>
          <w:color w:val="auto"/>
          <w:sz w:val="24"/>
          <w:szCs w:val="24"/>
        </w:rPr>
        <w:t xml:space="preserve"> and consistency ratio of </w:t>
      </w:r>
      <w:r w:rsidR="001108A8" w:rsidRPr="00456014">
        <w:rPr>
          <w:i w:val="0"/>
          <w:iCs w:val="0"/>
          <w:color w:val="auto"/>
          <w:sz w:val="24"/>
          <w:szCs w:val="24"/>
        </w:rPr>
        <w:t xml:space="preserve">the </w:t>
      </w:r>
      <w:r w:rsidR="000932E1" w:rsidRPr="00456014">
        <w:rPr>
          <w:i w:val="0"/>
          <w:iCs w:val="0"/>
          <w:color w:val="auto"/>
          <w:sz w:val="24"/>
          <w:szCs w:val="24"/>
        </w:rPr>
        <w:t>reclassified</w:t>
      </w:r>
      <w:r w:rsidRPr="00456014">
        <w:rPr>
          <w:i w:val="0"/>
          <w:iCs w:val="0"/>
          <w:color w:val="auto"/>
          <w:sz w:val="24"/>
          <w:szCs w:val="24"/>
        </w:rPr>
        <w:t xml:space="preserve"> landforms</w:t>
      </w:r>
      <w:bookmarkEnd w:id="167"/>
    </w:p>
    <w:tbl>
      <w:tblPr>
        <w:tblW w:w="5000" w:type="pct"/>
        <w:tblBorders>
          <w:top w:val="single" w:sz="4" w:space="0" w:color="auto"/>
          <w:bottom w:val="single" w:sz="4" w:space="0" w:color="auto"/>
        </w:tblBorders>
        <w:tblLook w:val="04A0" w:firstRow="1" w:lastRow="0" w:firstColumn="1" w:lastColumn="0" w:noHBand="0" w:noVBand="1"/>
      </w:tblPr>
      <w:tblGrid>
        <w:gridCol w:w="876"/>
        <w:gridCol w:w="2122"/>
        <w:gridCol w:w="844"/>
        <w:gridCol w:w="738"/>
        <w:gridCol w:w="1496"/>
        <w:gridCol w:w="761"/>
        <w:gridCol w:w="1380"/>
        <w:gridCol w:w="783"/>
      </w:tblGrid>
      <w:tr w:rsidR="00BB3315" w:rsidRPr="00456014" w:rsidTr="00BB3315">
        <w:trPr>
          <w:trHeight w:val="361"/>
        </w:trPr>
        <w:tc>
          <w:tcPr>
            <w:tcW w:w="478" w:type="pct"/>
            <w:tcBorders>
              <w:top w:val="single" w:sz="4" w:space="0" w:color="auto"/>
              <w:bottom w:val="single" w:sz="4" w:space="0" w:color="auto"/>
              <w:right w:val="single" w:sz="4" w:space="0" w:color="auto"/>
            </w:tcBorders>
            <w:shd w:val="clear" w:color="auto" w:fill="auto"/>
          </w:tcPr>
          <w:p w:rsidR="00594EC4" w:rsidRPr="00456014" w:rsidRDefault="00594EC4" w:rsidP="00174A1C">
            <w:pPr>
              <w:spacing w:before="0" w:after="0"/>
              <w:jc w:val="center"/>
              <w:rPr>
                <w:rFonts w:eastAsia="Times New Roman"/>
                <w:bCs/>
              </w:rPr>
            </w:pPr>
            <w:r w:rsidRPr="00456014">
              <w:rPr>
                <w:rFonts w:eastAsia="Times New Roman"/>
                <w:bCs/>
                <w:lang w:val="en-GB"/>
              </w:rPr>
              <w:t>Factor</w:t>
            </w:r>
          </w:p>
        </w:tc>
        <w:tc>
          <w:tcPr>
            <w:tcW w:w="1180" w:type="pct"/>
            <w:tcBorders>
              <w:top w:val="single" w:sz="4" w:space="0" w:color="auto"/>
              <w:left w:val="single" w:sz="4" w:space="0" w:color="auto"/>
              <w:bottom w:val="single" w:sz="4" w:space="0" w:color="auto"/>
            </w:tcBorders>
            <w:shd w:val="clear" w:color="auto" w:fill="auto"/>
          </w:tcPr>
          <w:p w:rsidR="00594EC4" w:rsidRPr="00A254B9" w:rsidRDefault="00F744C5" w:rsidP="00174A1C">
            <w:pPr>
              <w:spacing w:before="0" w:after="0"/>
              <w:jc w:val="center"/>
              <w:rPr>
                <w:rFonts w:eastAsia="Times New Roman"/>
                <w:bCs/>
                <w:vertAlign w:val="superscript"/>
              </w:rPr>
            </w:pPr>
            <w:r>
              <w:rPr>
                <w:rFonts w:eastAsia="Times New Roman"/>
                <w:bCs/>
              </w:rPr>
              <w:t>Landforms</w:t>
            </w:r>
            <w:r w:rsidR="00096002">
              <w:rPr>
                <w:rFonts w:eastAsia="Times New Roman"/>
                <w:bCs/>
              </w:rPr>
              <w:t>*</w:t>
            </w:r>
          </w:p>
        </w:tc>
        <w:tc>
          <w:tcPr>
            <w:tcW w:w="470" w:type="pct"/>
            <w:tcBorders>
              <w:top w:val="single" w:sz="4" w:space="0" w:color="auto"/>
              <w:bottom w:val="single" w:sz="4" w:space="0" w:color="auto"/>
            </w:tcBorders>
            <w:shd w:val="clear" w:color="auto" w:fill="auto"/>
          </w:tcPr>
          <w:p w:rsidR="00594EC4" w:rsidRPr="00456014" w:rsidRDefault="00594EC4" w:rsidP="00174A1C">
            <w:pPr>
              <w:spacing w:before="0" w:after="0"/>
              <w:jc w:val="center"/>
              <w:rPr>
                <w:rFonts w:eastAsia="Times New Roman"/>
                <w:bCs/>
              </w:rPr>
            </w:pPr>
            <w:r w:rsidRPr="00456014">
              <w:rPr>
                <w:rFonts w:eastAsia="Times New Roman"/>
                <w:bCs/>
              </w:rPr>
              <w:t>Area (</w:t>
            </w:r>
            <w:r w:rsidR="00BA7674" w:rsidRPr="00456014">
              <w:rPr>
                <w:rFonts w:eastAsia="Times New Roman"/>
                <w:bCs/>
              </w:rPr>
              <w:t>k</w:t>
            </w:r>
            <w:r w:rsidRPr="00456014">
              <w:rPr>
                <w:rFonts w:eastAsia="Times New Roman"/>
                <w:bCs/>
              </w:rPr>
              <w:t>m</w:t>
            </w:r>
            <w:r w:rsidRPr="00456014">
              <w:rPr>
                <w:rFonts w:eastAsia="Times New Roman"/>
                <w:bCs/>
                <w:vertAlign w:val="superscript"/>
              </w:rPr>
              <w:t>2</w:t>
            </w:r>
            <w:r w:rsidRPr="00456014">
              <w:rPr>
                <w:rFonts w:eastAsia="Times New Roman"/>
                <w:bCs/>
              </w:rPr>
              <w:t>)</w:t>
            </w:r>
          </w:p>
        </w:tc>
        <w:tc>
          <w:tcPr>
            <w:tcW w:w="411" w:type="pct"/>
            <w:tcBorders>
              <w:top w:val="single" w:sz="4" w:space="0" w:color="auto"/>
              <w:bottom w:val="single" w:sz="4" w:space="0" w:color="auto"/>
            </w:tcBorders>
            <w:shd w:val="clear" w:color="auto" w:fill="auto"/>
          </w:tcPr>
          <w:p w:rsidR="00594EC4" w:rsidRPr="00456014" w:rsidRDefault="00594EC4" w:rsidP="00174A1C">
            <w:pPr>
              <w:spacing w:before="0" w:after="0"/>
              <w:jc w:val="center"/>
              <w:rPr>
                <w:rFonts w:eastAsia="Times New Roman"/>
                <w:bCs/>
              </w:rPr>
            </w:pPr>
            <w:r w:rsidRPr="00456014">
              <w:rPr>
                <w:rFonts w:eastAsia="Times New Roman"/>
                <w:bCs/>
              </w:rPr>
              <w:t>Area (%)</w:t>
            </w:r>
          </w:p>
        </w:tc>
        <w:tc>
          <w:tcPr>
            <w:tcW w:w="832" w:type="pct"/>
            <w:tcBorders>
              <w:top w:val="single" w:sz="4" w:space="0" w:color="auto"/>
              <w:bottom w:val="single" w:sz="4" w:space="0" w:color="auto"/>
            </w:tcBorders>
            <w:shd w:val="clear" w:color="auto" w:fill="auto"/>
          </w:tcPr>
          <w:p w:rsidR="00594EC4" w:rsidRPr="000A04F3" w:rsidRDefault="00594EC4" w:rsidP="00F744C5">
            <w:pPr>
              <w:spacing w:before="0" w:after="0"/>
              <w:jc w:val="center"/>
              <w:rPr>
                <w:vertAlign w:val="superscript"/>
              </w:rPr>
            </w:pPr>
            <w:r w:rsidRPr="00456014">
              <w:t>Contribution</w:t>
            </w:r>
          </w:p>
        </w:tc>
        <w:tc>
          <w:tcPr>
            <w:tcW w:w="424" w:type="pct"/>
            <w:tcBorders>
              <w:top w:val="single" w:sz="4" w:space="0" w:color="auto"/>
              <w:bottom w:val="single" w:sz="4" w:space="0" w:color="auto"/>
            </w:tcBorders>
            <w:shd w:val="clear" w:color="auto" w:fill="auto"/>
          </w:tcPr>
          <w:p w:rsidR="00594EC4" w:rsidRPr="00456014" w:rsidRDefault="001624C2" w:rsidP="00174A1C">
            <w:pPr>
              <w:spacing w:before="0" w:after="0"/>
              <w:jc w:val="center"/>
            </w:pPr>
            <w:r>
              <w:t>Scale value</w:t>
            </w:r>
          </w:p>
        </w:tc>
        <w:tc>
          <w:tcPr>
            <w:tcW w:w="768" w:type="pct"/>
            <w:tcBorders>
              <w:top w:val="single" w:sz="4" w:space="0" w:color="auto"/>
              <w:bottom w:val="single" w:sz="4" w:space="0" w:color="auto"/>
            </w:tcBorders>
            <w:shd w:val="clear" w:color="auto" w:fill="auto"/>
          </w:tcPr>
          <w:p w:rsidR="00594EC4" w:rsidRPr="00456014" w:rsidRDefault="001624C2" w:rsidP="00174A1C">
            <w:pPr>
              <w:spacing w:before="0" w:after="0"/>
              <w:jc w:val="center"/>
            </w:pPr>
            <w:r>
              <w:t xml:space="preserve">Relative weight </w:t>
            </w:r>
            <w:r w:rsidR="00594EC4" w:rsidRPr="00456014">
              <w:t>(%)</w:t>
            </w:r>
          </w:p>
        </w:tc>
        <w:tc>
          <w:tcPr>
            <w:tcW w:w="436" w:type="pct"/>
            <w:tcBorders>
              <w:top w:val="single" w:sz="4" w:space="0" w:color="auto"/>
              <w:bottom w:val="single" w:sz="4" w:space="0" w:color="auto"/>
            </w:tcBorders>
            <w:shd w:val="clear" w:color="auto" w:fill="auto"/>
          </w:tcPr>
          <w:p w:rsidR="00594EC4" w:rsidRPr="00456014" w:rsidRDefault="00594EC4" w:rsidP="00174A1C">
            <w:pPr>
              <w:spacing w:before="0" w:after="0"/>
              <w:jc w:val="center"/>
            </w:pPr>
            <w:r w:rsidRPr="00456014">
              <w:t>CR</w:t>
            </w:r>
          </w:p>
        </w:tc>
      </w:tr>
      <w:tr w:rsidR="00BB3315" w:rsidRPr="00456014" w:rsidTr="00BB3315">
        <w:trPr>
          <w:trHeight w:val="455"/>
        </w:trPr>
        <w:tc>
          <w:tcPr>
            <w:tcW w:w="478" w:type="pct"/>
            <w:vMerge w:val="restart"/>
            <w:tcBorders>
              <w:top w:val="single" w:sz="4" w:space="0" w:color="auto"/>
              <w:right w:val="single" w:sz="4" w:space="0" w:color="auto"/>
            </w:tcBorders>
            <w:shd w:val="clear" w:color="auto" w:fill="auto"/>
            <w:textDirection w:val="btLr"/>
          </w:tcPr>
          <w:p w:rsidR="006F2B49" w:rsidRPr="002234FB" w:rsidRDefault="006F2B49" w:rsidP="002234FB">
            <w:pPr>
              <w:jc w:val="center"/>
            </w:pPr>
            <w:r w:rsidRPr="002234FB">
              <w:rPr>
                <w:lang w:val="en-GB"/>
              </w:rPr>
              <w:t>Land forms</w:t>
            </w:r>
          </w:p>
        </w:tc>
        <w:tc>
          <w:tcPr>
            <w:tcW w:w="1180" w:type="pct"/>
            <w:tcBorders>
              <w:top w:val="single" w:sz="4" w:space="0" w:color="auto"/>
              <w:left w:val="single" w:sz="4" w:space="0" w:color="auto"/>
            </w:tcBorders>
            <w:shd w:val="clear" w:color="auto" w:fill="auto"/>
          </w:tcPr>
          <w:p w:rsidR="006F2B49" w:rsidRPr="00456014" w:rsidRDefault="006F2B49" w:rsidP="00174A1C">
            <w:pPr>
              <w:spacing w:before="0" w:after="0"/>
              <w:jc w:val="center"/>
              <w:rPr>
                <w:rFonts w:eastAsia="Times New Roman"/>
              </w:rPr>
            </w:pPr>
            <w:r w:rsidRPr="00456014">
              <w:rPr>
                <w:rFonts w:eastAsia="Times New Roman"/>
              </w:rPr>
              <w:t>High ridges/Mid-slope ridges</w:t>
            </w:r>
          </w:p>
        </w:tc>
        <w:tc>
          <w:tcPr>
            <w:tcW w:w="470" w:type="pct"/>
            <w:tcBorders>
              <w:top w:val="single" w:sz="4" w:space="0" w:color="auto"/>
            </w:tcBorders>
            <w:shd w:val="clear" w:color="auto" w:fill="auto"/>
          </w:tcPr>
          <w:p w:rsidR="006F2B49" w:rsidRPr="00456014" w:rsidRDefault="006F2B49" w:rsidP="00174A1C">
            <w:pPr>
              <w:spacing w:before="0" w:after="0"/>
              <w:jc w:val="center"/>
              <w:rPr>
                <w:rFonts w:eastAsia="Times New Roman"/>
              </w:rPr>
            </w:pPr>
            <w:r w:rsidRPr="00456014">
              <w:rPr>
                <w:rFonts w:eastAsia="Times New Roman"/>
              </w:rPr>
              <w:t>532</w:t>
            </w:r>
          </w:p>
        </w:tc>
        <w:tc>
          <w:tcPr>
            <w:tcW w:w="411" w:type="pct"/>
            <w:tcBorders>
              <w:top w:val="single" w:sz="4" w:space="0" w:color="auto"/>
            </w:tcBorders>
            <w:shd w:val="clear" w:color="auto" w:fill="auto"/>
          </w:tcPr>
          <w:p w:rsidR="006F2B49" w:rsidRPr="00456014" w:rsidRDefault="006F2B49" w:rsidP="00174A1C">
            <w:pPr>
              <w:spacing w:before="0" w:after="0"/>
              <w:jc w:val="center"/>
              <w:rPr>
                <w:rFonts w:eastAsia="Times New Roman"/>
              </w:rPr>
            </w:pPr>
            <w:r w:rsidRPr="00456014">
              <w:rPr>
                <w:rFonts w:eastAsia="Times New Roman"/>
              </w:rPr>
              <w:t>12</w:t>
            </w:r>
          </w:p>
        </w:tc>
        <w:tc>
          <w:tcPr>
            <w:tcW w:w="832" w:type="pct"/>
            <w:tcBorders>
              <w:top w:val="single" w:sz="4" w:space="0" w:color="auto"/>
            </w:tcBorders>
            <w:shd w:val="clear" w:color="auto" w:fill="auto"/>
          </w:tcPr>
          <w:p w:rsidR="006F2B49" w:rsidRPr="00456014" w:rsidRDefault="006F2B49" w:rsidP="00174A1C">
            <w:pPr>
              <w:spacing w:before="0" w:after="0"/>
              <w:jc w:val="center"/>
            </w:pPr>
            <w:r w:rsidRPr="00456014">
              <w:t>Very low</w:t>
            </w:r>
          </w:p>
        </w:tc>
        <w:tc>
          <w:tcPr>
            <w:tcW w:w="424" w:type="pct"/>
            <w:tcBorders>
              <w:top w:val="single" w:sz="4" w:space="0" w:color="auto"/>
            </w:tcBorders>
            <w:shd w:val="clear" w:color="auto" w:fill="auto"/>
          </w:tcPr>
          <w:p w:rsidR="006F2B49" w:rsidRPr="00456014" w:rsidRDefault="001624C2" w:rsidP="00174A1C">
            <w:pPr>
              <w:spacing w:before="0" w:after="0"/>
              <w:jc w:val="center"/>
            </w:pPr>
            <w:r>
              <w:t>1</w:t>
            </w:r>
          </w:p>
        </w:tc>
        <w:tc>
          <w:tcPr>
            <w:tcW w:w="768" w:type="pct"/>
            <w:tcBorders>
              <w:top w:val="single" w:sz="4" w:space="0" w:color="auto"/>
            </w:tcBorders>
            <w:shd w:val="clear" w:color="auto" w:fill="auto"/>
          </w:tcPr>
          <w:p w:rsidR="006F2B49" w:rsidRPr="00456014" w:rsidRDefault="006F2B49" w:rsidP="00174A1C">
            <w:pPr>
              <w:spacing w:before="0" w:after="0"/>
              <w:jc w:val="center"/>
            </w:pPr>
            <w:r w:rsidRPr="00456014">
              <w:t>4</w:t>
            </w:r>
          </w:p>
        </w:tc>
        <w:tc>
          <w:tcPr>
            <w:tcW w:w="436" w:type="pct"/>
            <w:vMerge w:val="restart"/>
            <w:tcBorders>
              <w:top w:val="single" w:sz="4" w:space="0" w:color="auto"/>
            </w:tcBorders>
            <w:shd w:val="clear" w:color="auto" w:fill="auto"/>
          </w:tcPr>
          <w:p w:rsidR="006F2B49" w:rsidRPr="00456014" w:rsidRDefault="006F2B49" w:rsidP="00174A1C">
            <w:pPr>
              <w:spacing w:before="0" w:after="0"/>
              <w:jc w:val="center"/>
            </w:pPr>
            <w:r w:rsidRPr="00456014">
              <w:t>0.018</w:t>
            </w:r>
          </w:p>
        </w:tc>
      </w:tr>
      <w:tr w:rsidR="00BB3315" w:rsidRPr="00456014" w:rsidTr="00BB3315">
        <w:trPr>
          <w:trHeight w:val="355"/>
        </w:trPr>
        <w:tc>
          <w:tcPr>
            <w:tcW w:w="478" w:type="pct"/>
            <w:vMerge/>
            <w:tcBorders>
              <w:right w:val="single" w:sz="4" w:space="0" w:color="auto"/>
            </w:tcBorders>
            <w:shd w:val="clear" w:color="auto" w:fill="auto"/>
          </w:tcPr>
          <w:p w:rsidR="006F2B49" w:rsidRPr="00456014" w:rsidRDefault="006F2B49" w:rsidP="00174A1C">
            <w:pPr>
              <w:spacing w:before="0" w:after="0"/>
              <w:jc w:val="center"/>
              <w:rPr>
                <w:rFonts w:eastAsia="Times New Roman"/>
                <w:bCs/>
              </w:rPr>
            </w:pPr>
          </w:p>
        </w:tc>
        <w:tc>
          <w:tcPr>
            <w:tcW w:w="1180" w:type="pct"/>
            <w:tcBorders>
              <w:left w:val="single" w:sz="4" w:space="0" w:color="auto"/>
            </w:tcBorders>
            <w:shd w:val="clear" w:color="auto" w:fill="auto"/>
          </w:tcPr>
          <w:p w:rsidR="006F2B49" w:rsidRPr="00456014" w:rsidRDefault="006F2B49" w:rsidP="00174A1C">
            <w:pPr>
              <w:spacing w:before="0" w:after="0"/>
              <w:jc w:val="center"/>
              <w:rPr>
                <w:rFonts w:eastAsia="Times New Roman"/>
              </w:rPr>
            </w:pPr>
            <w:r w:rsidRPr="00456014">
              <w:rPr>
                <w:rFonts w:eastAsia="Times New Roman"/>
              </w:rPr>
              <w:t>Upper Drainage/</w:t>
            </w:r>
          </w:p>
          <w:p w:rsidR="006F2B49" w:rsidRPr="00456014" w:rsidRDefault="006F2B49" w:rsidP="00174A1C">
            <w:pPr>
              <w:spacing w:before="0" w:after="0"/>
              <w:jc w:val="center"/>
              <w:rPr>
                <w:rFonts w:eastAsia="Times New Roman"/>
              </w:rPr>
            </w:pPr>
            <w:r w:rsidRPr="00456014">
              <w:rPr>
                <w:rFonts w:eastAsia="Times New Roman"/>
              </w:rPr>
              <w:t>Local ridge</w:t>
            </w:r>
          </w:p>
        </w:tc>
        <w:tc>
          <w:tcPr>
            <w:tcW w:w="470" w:type="pct"/>
            <w:shd w:val="clear" w:color="auto" w:fill="auto"/>
          </w:tcPr>
          <w:p w:rsidR="006F2B49" w:rsidRPr="00456014" w:rsidRDefault="006F2B49" w:rsidP="00174A1C">
            <w:pPr>
              <w:spacing w:before="0" w:after="0"/>
              <w:jc w:val="center"/>
              <w:rPr>
                <w:rFonts w:eastAsia="Times New Roman"/>
              </w:rPr>
            </w:pPr>
            <w:r w:rsidRPr="00456014">
              <w:rPr>
                <w:rFonts w:eastAsia="Times New Roman"/>
              </w:rPr>
              <w:t>61</w:t>
            </w:r>
          </w:p>
        </w:tc>
        <w:tc>
          <w:tcPr>
            <w:tcW w:w="411" w:type="pct"/>
            <w:shd w:val="clear" w:color="auto" w:fill="auto"/>
          </w:tcPr>
          <w:p w:rsidR="006F2B49" w:rsidRPr="00456014" w:rsidRDefault="006F2B49" w:rsidP="00174A1C">
            <w:pPr>
              <w:spacing w:before="0" w:after="0"/>
              <w:jc w:val="center"/>
              <w:rPr>
                <w:rFonts w:eastAsia="Times New Roman"/>
              </w:rPr>
            </w:pPr>
            <w:r w:rsidRPr="00456014">
              <w:rPr>
                <w:rFonts w:eastAsia="Times New Roman"/>
              </w:rPr>
              <w:t>1.5</w:t>
            </w:r>
          </w:p>
        </w:tc>
        <w:tc>
          <w:tcPr>
            <w:tcW w:w="832" w:type="pct"/>
            <w:shd w:val="clear" w:color="auto" w:fill="auto"/>
          </w:tcPr>
          <w:p w:rsidR="006F2B49" w:rsidRPr="00456014" w:rsidRDefault="006F2B49" w:rsidP="00174A1C">
            <w:pPr>
              <w:spacing w:before="0" w:after="0"/>
              <w:jc w:val="center"/>
            </w:pPr>
            <w:r w:rsidRPr="00456014">
              <w:t>Low</w:t>
            </w:r>
          </w:p>
        </w:tc>
        <w:tc>
          <w:tcPr>
            <w:tcW w:w="424" w:type="pct"/>
            <w:shd w:val="clear" w:color="auto" w:fill="auto"/>
          </w:tcPr>
          <w:p w:rsidR="006F2B49" w:rsidRPr="00456014" w:rsidRDefault="001624C2" w:rsidP="00174A1C">
            <w:pPr>
              <w:spacing w:before="0" w:after="0"/>
              <w:jc w:val="center"/>
            </w:pPr>
            <w:r>
              <w:t>2</w:t>
            </w:r>
          </w:p>
        </w:tc>
        <w:tc>
          <w:tcPr>
            <w:tcW w:w="768" w:type="pct"/>
            <w:shd w:val="clear" w:color="auto" w:fill="auto"/>
          </w:tcPr>
          <w:p w:rsidR="006F2B49" w:rsidRPr="00456014" w:rsidRDefault="006F2B49" w:rsidP="00174A1C">
            <w:pPr>
              <w:spacing w:before="0" w:after="0"/>
              <w:jc w:val="center"/>
            </w:pPr>
            <w:r w:rsidRPr="00456014">
              <w:t>6</w:t>
            </w:r>
          </w:p>
        </w:tc>
        <w:tc>
          <w:tcPr>
            <w:tcW w:w="436" w:type="pct"/>
            <w:vMerge/>
            <w:shd w:val="clear" w:color="auto" w:fill="auto"/>
          </w:tcPr>
          <w:p w:rsidR="006F2B49" w:rsidRPr="00456014" w:rsidRDefault="006F2B49" w:rsidP="00174A1C">
            <w:pPr>
              <w:spacing w:before="0" w:after="0"/>
              <w:jc w:val="center"/>
            </w:pPr>
          </w:p>
        </w:tc>
      </w:tr>
      <w:tr w:rsidR="00BB3315" w:rsidRPr="00456014" w:rsidTr="00BB3315">
        <w:trPr>
          <w:trHeight w:val="324"/>
        </w:trPr>
        <w:tc>
          <w:tcPr>
            <w:tcW w:w="478" w:type="pct"/>
            <w:vMerge/>
            <w:tcBorders>
              <w:right w:val="single" w:sz="4" w:space="0" w:color="auto"/>
            </w:tcBorders>
            <w:shd w:val="clear" w:color="auto" w:fill="auto"/>
          </w:tcPr>
          <w:p w:rsidR="006F2B49" w:rsidRPr="00456014" w:rsidRDefault="006F2B49" w:rsidP="00174A1C">
            <w:pPr>
              <w:spacing w:before="0" w:after="0"/>
              <w:jc w:val="center"/>
              <w:rPr>
                <w:rFonts w:eastAsia="Times New Roman"/>
                <w:bCs/>
              </w:rPr>
            </w:pPr>
          </w:p>
        </w:tc>
        <w:tc>
          <w:tcPr>
            <w:tcW w:w="1180" w:type="pct"/>
            <w:tcBorders>
              <w:left w:val="single" w:sz="4" w:space="0" w:color="auto"/>
            </w:tcBorders>
            <w:shd w:val="clear" w:color="auto" w:fill="auto"/>
          </w:tcPr>
          <w:p w:rsidR="006F2B49" w:rsidRPr="00456014" w:rsidRDefault="006F2B49" w:rsidP="00174A1C">
            <w:pPr>
              <w:spacing w:before="0" w:after="0"/>
              <w:jc w:val="center"/>
              <w:rPr>
                <w:rFonts w:eastAsia="Times New Roman"/>
              </w:rPr>
            </w:pPr>
            <w:r w:rsidRPr="00456014">
              <w:rPr>
                <w:rFonts w:eastAsia="Times New Roman"/>
              </w:rPr>
              <w:t>Stream/Mid-slope drainage</w:t>
            </w:r>
          </w:p>
        </w:tc>
        <w:tc>
          <w:tcPr>
            <w:tcW w:w="470" w:type="pct"/>
            <w:shd w:val="clear" w:color="auto" w:fill="auto"/>
          </w:tcPr>
          <w:p w:rsidR="006F2B49" w:rsidRPr="00456014" w:rsidRDefault="006F2B49" w:rsidP="00174A1C">
            <w:pPr>
              <w:spacing w:before="0" w:after="0"/>
              <w:jc w:val="center"/>
              <w:rPr>
                <w:rFonts w:eastAsia="Times New Roman"/>
              </w:rPr>
            </w:pPr>
            <w:r w:rsidRPr="00456014">
              <w:rPr>
                <w:rFonts w:eastAsia="Times New Roman"/>
              </w:rPr>
              <w:t>413</w:t>
            </w:r>
          </w:p>
        </w:tc>
        <w:tc>
          <w:tcPr>
            <w:tcW w:w="411" w:type="pct"/>
            <w:shd w:val="clear" w:color="auto" w:fill="auto"/>
          </w:tcPr>
          <w:p w:rsidR="006F2B49" w:rsidRPr="00456014" w:rsidRDefault="006F2B49" w:rsidP="00174A1C">
            <w:pPr>
              <w:spacing w:before="0" w:after="0"/>
              <w:jc w:val="center"/>
              <w:rPr>
                <w:rFonts w:eastAsia="Times New Roman"/>
              </w:rPr>
            </w:pPr>
            <w:r w:rsidRPr="00456014">
              <w:rPr>
                <w:rFonts w:eastAsia="Times New Roman"/>
              </w:rPr>
              <w:t>9.5</w:t>
            </w:r>
          </w:p>
        </w:tc>
        <w:tc>
          <w:tcPr>
            <w:tcW w:w="832" w:type="pct"/>
            <w:shd w:val="clear" w:color="auto" w:fill="auto"/>
          </w:tcPr>
          <w:p w:rsidR="006F2B49" w:rsidRPr="00456014" w:rsidRDefault="006F2B49" w:rsidP="00174A1C">
            <w:pPr>
              <w:spacing w:before="0" w:after="0"/>
              <w:jc w:val="center"/>
            </w:pPr>
            <w:r w:rsidRPr="00456014">
              <w:t>Moderate</w:t>
            </w:r>
          </w:p>
        </w:tc>
        <w:tc>
          <w:tcPr>
            <w:tcW w:w="424" w:type="pct"/>
            <w:shd w:val="clear" w:color="auto" w:fill="auto"/>
          </w:tcPr>
          <w:p w:rsidR="006F2B49" w:rsidRPr="00456014" w:rsidRDefault="006F2B49" w:rsidP="00174A1C">
            <w:pPr>
              <w:spacing w:before="0" w:after="0"/>
              <w:jc w:val="center"/>
            </w:pPr>
            <w:r w:rsidRPr="00456014">
              <w:t>3</w:t>
            </w:r>
          </w:p>
        </w:tc>
        <w:tc>
          <w:tcPr>
            <w:tcW w:w="768" w:type="pct"/>
            <w:shd w:val="clear" w:color="auto" w:fill="auto"/>
          </w:tcPr>
          <w:p w:rsidR="006F2B49" w:rsidRPr="00456014" w:rsidRDefault="006F2B49" w:rsidP="00174A1C">
            <w:pPr>
              <w:spacing w:before="0" w:after="0"/>
              <w:jc w:val="center"/>
            </w:pPr>
            <w:r w:rsidRPr="00456014">
              <w:t>16</w:t>
            </w:r>
          </w:p>
        </w:tc>
        <w:tc>
          <w:tcPr>
            <w:tcW w:w="436" w:type="pct"/>
            <w:vMerge/>
            <w:shd w:val="clear" w:color="auto" w:fill="auto"/>
          </w:tcPr>
          <w:p w:rsidR="006F2B49" w:rsidRPr="00456014" w:rsidRDefault="006F2B49" w:rsidP="00174A1C">
            <w:pPr>
              <w:spacing w:before="0" w:after="0"/>
              <w:jc w:val="center"/>
            </w:pPr>
          </w:p>
        </w:tc>
      </w:tr>
      <w:tr w:rsidR="00BB3315" w:rsidRPr="00456014" w:rsidTr="00BB3315">
        <w:trPr>
          <w:trHeight w:val="50"/>
        </w:trPr>
        <w:tc>
          <w:tcPr>
            <w:tcW w:w="478" w:type="pct"/>
            <w:vMerge/>
            <w:tcBorders>
              <w:right w:val="single" w:sz="4" w:space="0" w:color="auto"/>
            </w:tcBorders>
            <w:shd w:val="clear" w:color="auto" w:fill="auto"/>
          </w:tcPr>
          <w:p w:rsidR="006F2B49" w:rsidRPr="00456014" w:rsidRDefault="006F2B49" w:rsidP="00174A1C">
            <w:pPr>
              <w:spacing w:before="0" w:after="0"/>
              <w:jc w:val="center"/>
              <w:rPr>
                <w:rFonts w:eastAsia="Times New Roman"/>
                <w:bCs/>
              </w:rPr>
            </w:pPr>
          </w:p>
        </w:tc>
        <w:tc>
          <w:tcPr>
            <w:tcW w:w="1180" w:type="pct"/>
            <w:tcBorders>
              <w:left w:val="single" w:sz="4" w:space="0" w:color="auto"/>
            </w:tcBorders>
            <w:shd w:val="clear" w:color="auto" w:fill="auto"/>
          </w:tcPr>
          <w:p w:rsidR="006F2B49" w:rsidRPr="00456014" w:rsidRDefault="006F2B49" w:rsidP="00174A1C">
            <w:pPr>
              <w:spacing w:before="0" w:after="0"/>
              <w:jc w:val="center"/>
              <w:rPr>
                <w:rFonts w:eastAsia="Times New Roman"/>
              </w:rPr>
            </w:pPr>
            <w:r w:rsidRPr="00456014">
              <w:rPr>
                <w:rFonts w:eastAsia="Times New Roman"/>
              </w:rPr>
              <w:t>Open slope/Upper slope</w:t>
            </w:r>
          </w:p>
        </w:tc>
        <w:tc>
          <w:tcPr>
            <w:tcW w:w="470" w:type="pct"/>
            <w:shd w:val="clear" w:color="auto" w:fill="auto"/>
          </w:tcPr>
          <w:p w:rsidR="006F2B49" w:rsidRPr="00456014" w:rsidRDefault="006F2B49" w:rsidP="00174A1C">
            <w:pPr>
              <w:spacing w:before="0" w:after="0"/>
              <w:jc w:val="center"/>
              <w:rPr>
                <w:rFonts w:eastAsia="Times New Roman"/>
              </w:rPr>
            </w:pPr>
            <w:r w:rsidRPr="00456014">
              <w:rPr>
                <w:rFonts w:eastAsia="Times New Roman"/>
              </w:rPr>
              <w:t>1555</w:t>
            </w:r>
          </w:p>
        </w:tc>
        <w:tc>
          <w:tcPr>
            <w:tcW w:w="411" w:type="pct"/>
            <w:shd w:val="clear" w:color="auto" w:fill="auto"/>
          </w:tcPr>
          <w:p w:rsidR="006F2B49" w:rsidRPr="00456014" w:rsidRDefault="006F2B49" w:rsidP="00174A1C">
            <w:pPr>
              <w:spacing w:before="0" w:after="0"/>
              <w:jc w:val="center"/>
              <w:rPr>
                <w:rFonts w:eastAsia="Times New Roman"/>
              </w:rPr>
            </w:pPr>
            <w:r w:rsidRPr="00456014">
              <w:rPr>
                <w:rFonts w:eastAsia="Times New Roman"/>
              </w:rPr>
              <w:t>35</w:t>
            </w:r>
          </w:p>
        </w:tc>
        <w:tc>
          <w:tcPr>
            <w:tcW w:w="832" w:type="pct"/>
            <w:shd w:val="clear" w:color="auto" w:fill="auto"/>
          </w:tcPr>
          <w:p w:rsidR="006F2B49" w:rsidRPr="00456014" w:rsidRDefault="006F2B49" w:rsidP="00174A1C">
            <w:pPr>
              <w:spacing w:before="0" w:after="0"/>
              <w:jc w:val="center"/>
            </w:pPr>
            <w:r w:rsidRPr="00456014">
              <w:t>High</w:t>
            </w:r>
          </w:p>
        </w:tc>
        <w:tc>
          <w:tcPr>
            <w:tcW w:w="424" w:type="pct"/>
            <w:shd w:val="clear" w:color="auto" w:fill="auto"/>
          </w:tcPr>
          <w:p w:rsidR="006F2B49" w:rsidRPr="00456014" w:rsidRDefault="001624C2" w:rsidP="00174A1C">
            <w:pPr>
              <w:spacing w:before="0" w:after="0"/>
              <w:jc w:val="center"/>
            </w:pPr>
            <w:r>
              <w:t>4</w:t>
            </w:r>
          </w:p>
        </w:tc>
        <w:tc>
          <w:tcPr>
            <w:tcW w:w="768" w:type="pct"/>
            <w:shd w:val="clear" w:color="auto" w:fill="auto"/>
          </w:tcPr>
          <w:p w:rsidR="006F2B49" w:rsidRPr="00456014" w:rsidRDefault="006F2B49" w:rsidP="00174A1C">
            <w:pPr>
              <w:spacing w:before="0" w:after="0"/>
              <w:jc w:val="center"/>
            </w:pPr>
            <w:r w:rsidRPr="00456014">
              <w:t>29</w:t>
            </w:r>
          </w:p>
        </w:tc>
        <w:tc>
          <w:tcPr>
            <w:tcW w:w="436" w:type="pct"/>
            <w:vMerge/>
            <w:shd w:val="clear" w:color="auto" w:fill="auto"/>
          </w:tcPr>
          <w:p w:rsidR="006F2B49" w:rsidRPr="00456014" w:rsidRDefault="006F2B49" w:rsidP="00174A1C">
            <w:pPr>
              <w:spacing w:before="0" w:after="0"/>
              <w:jc w:val="center"/>
            </w:pPr>
          </w:p>
        </w:tc>
      </w:tr>
      <w:tr w:rsidR="00BB3315" w:rsidRPr="00456014" w:rsidTr="00BB3315">
        <w:trPr>
          <w:trHeight w:val="50"/>
        </w:trPr>
        <w:tc>
          <w:tcPr>
            <w:tcW w:w="478" w:type="pct"/>
            <w:vMerge/>
            <w:tcBorders>
              <w:bottom w:val="single" w:sz="4" w:space="0" w:color="auto"/>
              <w:right w:val="single" w:sz="4" w:space="0" w:color="auto"/>
            </w:tcBorders>
            <w:shd w:val="clear" w:color="auto" w:fill="auto"/>
          </w:tcPr>
          <w:p w:rsidR="006F2B49" w:rsidRPr="00456014" w:rsidRDefault="006F2B49" w:rsidP="00174A1C">
            <w:pPr>
              <w:spacing w:before="0" w:after="0"/>
              <w:jc w:val="center"/>
              <w:rPr>
                <w:rFonts w:eastAsia="Times New Roman"/>
                <w:bCs/>
              </w:rPr>
            </w:pPr>
          </w:p>
        </w:tc>
        <w:tc>
          <w:tcPr>
            <w:tcW w:w="1180" w:type="pct"/>
            <w:tcBorders>
              <w:left w:val="single" w:sz="4" w:space="0" w:color="auto"/>
              <w:bottom w:val="single" w:sz="4" w:space="0" w:color="auto"/>
            </w:tcBorders>
            <w:shd w:val="clear" w:color="auto" w:fill="auto"/>
          </w:tcPr>
          <w:p w:rsidR="006F2B49" w:rsidRPr="00456014" w:rsidRDefault="006F2B49" w:rsidP="00174A1C">
            <w:pPr>
              <w:spacing w:before="0" w:after="0"/>
              <w:jc w:val="center"/>
              <w:rPr>
                <w:rFonts w:eastAsia="Times New Roman"/>
              </w:rPr>
            </w:pPr>
            <w:r w:rsidRPr="00456014">
              <w:rPr>
                <w:rFonts w:eastAsia="Times New Roman"/>
              </w:rPr>
              <w:t>Valley/Plain</w:t>
            </w:r>
          </w:p>
        </w:tc>
        <w:tc>
          <w:tcPr>
            <w:tcW w:w="470" w:type="pct"/>
            <w:tcBorders>
              <w:bottom w:val="single" w:sz="4" w:space="0" w:color="auto"/>
            </w:tcBorders>
            <w:shd w:val="clear" w:color="auto" w:fill="auto"/>
          </w:tcPr>
          <w:p w:rsidR="006F2B49" w:rsidRPr="00456014" w:rsidRDefault="006F2B49" w:rsidP="00174A1C">
            <w:pPr>
              <w:spacing w:before="0" w:after="0"/>
              <w:jc w:val="center"/>
              <w:rPr>
                <w:rFonts w:eastAsia="Times New Roman"/>
              </w:rPr>
            </w:pPr>
            <w:r w:rsidRPr="00456014">
              <w:rPr>
                <w:rFonts w:eastAsia="Times New Roman"/>
              </w:rPr>
              <w:t>1852</w:t>
            </w:r>
          </w:p>
        </w:tc>
        <w:tc>
          <w:tcPr>
            <w:tcW w:w="411" w:type="pct"/>
            <w:tcBorders>
              <w:bottom w:val="single" w:sz="4" w:space="0" w:color="auto"/>
            </w:tcBorders>
            <w:shd w:val="clear" w:color="auto" w:fill="auto"/>
          </w:tcPr>
          <w:p w:rsidR="006F2B49" w:rsidRPr="00456014" w:rsidRDefault="006F2B49" w:rsidP="00174A1C">
            <w:pPr>
              <w:spacing w:before="0" w:after="0"/>
              <w:jc w:val="center"/>
              <w:rPr>
                <w:rFonts w:eastAsia="Times New Roman"/>
              </w:rPr>
            </w:pPr>
            <w:r w:rsidRPr="00456014">
              <w:rPr>
                <w:rFonts w:eastAsia="Times New Roman"/>
              </w:rPr>
              <w:t>42</w:t>
            </w:r>
          </w:p>
        </w:tc>
        <w:tc>
          <w:tcPr>
            <w:tcW w:w="832" w:type="pct"/>
            <w:tcBorders>
              <w:bottom w:val="single" w:sz="4" w:space="0" w:color="auto"/>
            </w:tcBorders>
            <w:shd w:val="clear" w:color="auto" w:fill="auto"/>
          </w:tcPr>
          <w:p w:rsidR="006F2B49" w:rsidRPr="00456014" w:rsidRDefault="006F2B49" w:rsidP="00174A1C">
            <w:pPr>
              <w:spacing w:before="0" w:after="0"/>
              <w:jc w:val="center"/>
            </w:pPr>
            <w:r w:rsidRPr="00456014">
              <w:t>Very high</w:t>
            </w:r>
          </w:p>
        </w:tc>
        <w:tc>
          <w:tcPr>
            <w:tcW w:w="424" w:type="pct"/>
            <w:tcBorders>
              <w:bottom w:val="single" w:sz="4" w:space="0" w:color="auto"/>
            </w:tcBorders>
            <w:shd w:val="clear" w:color="auto" w:fill="auto"/>
          </w:tcPr>
          <w:p w:rsidR="006F2B49" w:rsidRPr="00456014" w:rsidRDefault="001624C2" w:rsidP="00174A1C">
            <w:pPr>
              <w:spacing w:before="0" w:after="0"/>
              <w:jc w:val="center"/>
            </w:pPr>
            <w:r>
              <w:t>5</w:t>
            </w:r>
          </w:p>
        </w:tc>
        <w:tc>
          <w:tcPr>
            <w:tcW w:w="768" w:type="pct"/>
            <w:tcBorders>
              <w:bottom w:val="single" w:sz="4" w:space="0" w:color="auto"/>
            </w:tcBorders>
            <w:shd w:val="clear" w:color="auto" w:fill="auto"/>
          </w:tcPr>
          <w:p w:rsidR="006F2B49" w:rsidRPr="00456014" w:rsidRDefault="006F2B49" w:rsidP="00174A1C">
            <w:pPr>
              <w:spacing w:before="0" w:after="0"/>
              <w:jc w:val="center"/>
            </w:pPr>
            <w:r w:rsidRPr="00456014">
              <w:t>45</w:t>
            </w:r>
          </w:p>
        </w:tc>
        <w:tc>
          <w:tcPr>
            <w:tcW w:w="436" w:type="pct"/>
            <w:vMerge/>
            <w:tcBorders>
              <w:bottom w:val="single" w:sz="4" w:space="0" w:color="auto"/>
            </w:tcBorders>
            <w:shd w:val="clear" w:color="auto" w:fill="auto"/>
          </w:tcPr>
          <w:p w:rsidR="006F2B49" w:rsidRPr="00456014" w:rsidRDefault="006F2B49" w:rsidP="00174A1C">
            <w:pPr>
              <w:spacing w:before="0" w:after="0"/>
              <w:jc w:val="center"/>
            </w:pPr>
          </w:p>
        </w:tc>
      </w:tr>
    </w:tbl>
    <w:p w:rsidR="00594EC4" w:rsidRPr="00456014" w:rsidRDefault="00F744C5" w:rsidP="00371695">
      <w:r>
        <w:rPr>
          <w:rStyle w:val="FootnoteReference"/>
        </w:rPr>
        <w:t xml:space="preserve">* </w:t>
      </w:r>
      <w:r>
        <w:t xml:space="preserve"> </w:t>
      </w:r>
      <w:r w:rsidR="00594EC4" w:rsidRPr="00F744C5">
        <w:rPr>
          <w:rStyle w:val="FootnoteReference"/>
        </w:rPr>
        <w:fldChar w:fldCharType="begin" w:fldLock="1"/>
      </w:r>
      <w:r w:rsidR="00A309A8" w:rsidRPr="00F744C5">
        <w:instrText>ADDIN CSL_CITATION {"citationItems":[{"id":"ITEM-1","itemData":{"author":[{"dropping-particle":"","family":"Jenness","given":"Jeff","non-dropping-particle":"","parse-names":false,"suffix":""}],"container-title":"Jenness Enterprises","id":"ITEM-1","issued":{"date-parts":[["2006"]]},"number":"extension for ArcView 3.x, v. 1.2.","page":"1-362","publisher-place":"Flagstaff, AZ 86004 USA","title":"Topography Position Index (TPI)","type":"article"},"uris":["http://www.mendeley.com/documents/?uuid=38cdbf9d-8b15-411e-b7fe-1c41e64e44f4","http://www.mendeley.com/documents/?uuid=e75d743d-44fc-4276-a2bf-3af40173abd7"]},{"id":"ITEM-2","itemData":{"author":[{"dropping-particle":"","family":"Kiflu","given":"Astatke","non-dropping-particle":"","parse-names":false,"suffix":""},{"dropping-particle":"","family":"Tafa","given":"Yosef","non-dropping-particle":"","parse-names":false,"suffix":""},{"dropping-particle":"","family":"Mulugeta","given":"Yonas","non-dropping-particle":"","parse-names":false,"suffix":""}],"id":"ITEM-2","issued":{"date-parts":[["2009"]]},"number-of-pages":"1-74","publisher-place":"Addis Abeba, Ethiopia","title":"Hydrogeological mapping of part of Asela map sheet (NB 37-3) South eastern high land of Ethiopia","type":"report"},"uris":["http://www.mendeley.com/documents/?uuid=00ac486c-3b45-4648-a467-648ee30a24fa","http://www.mendeley.com/documents/?uuid=b3043dd7-ee9c-4f47-9f3e-21b95483fb89"]},{"id":"ITEM-3","itemData":{"author":[{"dropping-particle":"","family":"Gebru","given":"Hindeya","non-dropping-particle":"","parse-names":false,"suffix":""},{"dropping-particle":"","family":"Gebreyohannes","given":"Tesfamichael","non-dropping-particle":"","parse-names":false,"suffix":""},{"dropping-particle":"","family":"Hagos","given":"Ermias","non-dropping-particle":"","parse-names":false,"suffix":""}],"container-title":"International journal of advanced Remote Sensing and GIS","id":"ITEM-3","issue":"1","issued":{"date-parts":[["2020"]]},"page":"3289-3311","title":"Identification of groundwater potential zones using Analytical Hierarchy Process (AHP) and GIS-Remote Sensing integration, the case of Golina River Basin, Northern Ethiopia","type":"article-journal","volume":"9"},"uris":["http://www.mendeley.com/documents/?uuid=3e225bc8-36b1-425b-83b4-94cfacfd37f8","http://www.mendeley.com/documents/?uuid=63c7fd8b-fe9b-4d39-8769-bb3519cffdbe","http://www.mendeley.com/documents/?uuid=41944ee5-445d-454a-a5f6-21833dc0858b"]}],"mendeley":{"formattedCitation":"(Gebru et al., 2020; Jenness, 2006; Kiflu et al., 2009)","plainTextFormattedCitation":"(Gebru et al., 2020; Jenness, 2006; Kiflu et al., 2009)","previouslyFormattedCitation":"(Gebru et al., 2020; Jenness, 2006; Kiflu et al., 2009)"},"properties":{"noteIndex":0},"schema":"https://github.com/citation-style-language/schema/raw/master/csl-citation.json"}</w:instrText>
      </w:r>
      <w:r w:rsidR="00594EC4" w:rsidRPr="00F744C5">
        <w:rPr>
          <w:rStyle w:val="FootnoteReference"/>
        </w:rPr>
        <w:fldChar w:fldCharType="separate"/>
      </w:r>
      <w:r w:rsidR="00F13A0C" w:rsidRPr="00F744C5">
        <w:rPr>
          <w:noProof/>
        </w:rPr>
        <w:t>(Gebru et al., 2020; Jenness, 2006; Kiflu et al., 2009)</w:t>
      </w:r>
      <w:r w:rsidR="00594EC4" w:rsidRPr="00F744C5">
        <w:rPr>
          <w:rStyle w:val="FootnoteReference"/>
        </w:rPr>
        <w:fldChar w:fldCharType="end"/>
      </w:r>
    </w:p>
    <w:p w:rsidR="003C798C" w:rsidRDefault="00F80E0E" w:rsidP="00F80E0E">
      <w:pPr>
        <w:jc w:val="center"/>
      </w:pPr>
      <w:r w:rsidRPr="00F80E0E">
        <w:rPr>
          <w:noProof/>
        </w:rPr>
        <w:drawing>
          <wp:inline distT="0" distB="0" distL="0" distR="0" wp14:anchorId="125B3C00" wp14:editId="51198432">
            <wp:extent cx="5510015" cy="3895812"/>
            <wp:effectExtent l="19050" t="19050" r="14605" b="28575"/>
            <wp:docPr id="13" name="Picture 13" descr="C:\Users\Abdul Gafar\Desktop\Report_MXD_JPEG\Geomorphology\Geom_Rec_FN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dul Gafar\Desktop\Report_MXD_JPEG\Geomorphology\Geom_Rec_FNL.bmp"/>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515671" cy="3899811"/>
                    </a:xfrm>
                    <a:prstGeom prst="rect">
                      <a:avLst/>
                    </a:prstGeom>
                    <a:noFill/>
                    <a:ln w="12700">
                      <a:solidFill>
                        <a:schemeClr val="tx1"/>
                      </a:solidFill>
                    </a:ln>
                  </pic:spPr>
                </pic:pic>
              </a:graphicData>
            </a:graphic>
          </wp:inline>
        </w:drawing>
      </w:r>
    </w:p>
    <w:p w:rsidR="003C798C" w:rsidRPr="00371695" w:rsidRDefault="003C798C" w:rsidP="00961DEE">
      <w:bookmarkStart w:id="168" w:name="_Toc68761620"/>
      <w:r w:rsidRPr="00371695">
        <w:t xml:space="preserve">Figure </w:t>
      </w:r>
      <w:r w:rsidR="00515F3B">
        <w:rPr>
          <w:noProof/>
        </w:rPr>
        <w:fldChar w:fldCharType="begin"/>
      </w:r>
      <w:r w:rsidR="00515F3B">
        <w:rPr>
          <w:noProof/>
        </w:rPr>
        <w:instrText xml:space="preserve"> STYLEREF 1 \s </w:instrText>
      </w:r>
      <w:r w:rsidR="00515F3B">
        <w:rPr>
          <w:noProof/>
        </w:rPr>
        <w:fldChar w:fldCharType="separate"/>
      </w:r>
      <w:r w:rsidR="00BD510E">
        <w:rPr>
          <w:noProof/>
        </w:rPr>
        <w:t>4</w:t>
      </w:r>
      <w:r w:rsidR="00515F3B">
        <w:rPr>
          <w:noProof/>
        </w:rPr>
        <w:fldChar w:fldCharType="end"/>
      </w:r>
      <w:r w:rsidR="001342E5">
        <w:t>.</w:t>
      </w:r>
      <w:r w:rsidR="00515F3B">
        <w:rPr>
          <w:noProof/>
        </w:rPr>
        <w:fldChar w:fldCharType="begin"/>
      </w:r>
      <w:r w:rsidR="00515F3B">
        <w:rPr>
          <w:noProof/>
        </w:rPr>
        <w:instrText xml:space="preserve"> SEQ Figure \* ARABIC \s 1 </w:instrText>
      </w:r>
      <w:r w:rsidR="00515F3B">
        <w:rPr>
          <w:noProof/>
        </w:rPr>
        <w:fldChar w:fldCharType="separate"/>
      </w:r>
      <w:r w:rsidR="00BD510E">
        <w:rPr>
          <w:noProof/>
        </w:rPr>
        <w:t>2</w:t>
      </w:r>
      <w:r w:rsidR="00515F3B">
        <w:rPr>
          <w:noProof/>
        </w:rPr>
        <w:fldChar w:fldCharType="end"/>
      </w:r>
      <w:r w:rsidRPr="00371695">
        <w:t>: The reclassified landforms of study area</w:t>
      </w:r>
      <w:bookmarkEnd w:id="168"/>
    </w:p>
    <w:p w:rsidR="00594EC4" w:rsidRPr="00456014" w:rsidRDefault="00594EC4" w:rsidP="008D3D8E">
      <w:pPr>
        <w:pStyle w:val="Heading3"/>
        <w:numPr>
          <w:ilvl w:val="2"/>
          <w:numId w:val="3"/>
        </w:numPr>
      </w:pPr>
      <w:bookmarkStart w:id="169" w:name="_Toc68025094"/>
      <w:bookmarkStart w:id="170" w:name="_Toc68761576"/>
      <w:r w:rsidRPr="00456014">
        <w:lastRenderedPageBreak/>
        <w:t xml:space="preserve">The </w:t>
      </w:r>
      <w:r w:rsidR="00705C30" w:rsidRPr="00456014">
        <w:t xml:space="preserve">Thematic </w:t>
      </w:r>
      <w:r w:rsidR="00B6550E" w:rsidRPr="00456014">
        <w:t xml:space="preserve">Map </w:t>
      </w:r>
      <w:r w:rsidRPr="00456014">
        <w:t xml:space="preserve">of </w:t>
      </w:r>
      <w:r w:rsidR="00B6550E" w:rsidRPr="00456014">
        <w:t>Lineament Density</w:t>
      </w:r>
      <w:bookmarkEnd w:id="169"/>
      <w:bookmarkEnd w:id="170"/>
      <w:r w:rsidR="00B6550E" w:rsidRPr="00456014">
        <w:t xml:space="preserve"> </w:t>
      </w:r>
    </w:p>
    <w:p w:rsidR="002C286F" w:rsidRPr="00E42C14" w:rsidRDefault="009C6143" w:rsidP="002C286F">
      <w:pPr>
        <w:pStyle w:val="Caption"/>
        <w:keepNext/>
        <w:spacing w:before="120" w:after="120" w:line="360" w:lineRule="auto"/>
      </w:pPr>
      <w:r w:rsidRPr="00456014">
        <w:rPr>
          <w:i w:val="0"/>
          <w:iCs w:val="0"/>
          <w:color w:val="auto"/>
          <w:sz w:val="24"/>
          <w:szCs w:val="24"/>
        </w:rPr>
        <w:t xml:space="preserve">In order to cluster the linear features in the study area the lineament density of </w:t>
      </w:r>
      <w:r w:rsidR="00C3557F">
        <w:rPr>
          <w:i w:val="0"/>
          <w:iCs w:val="0"/>
          <w:color w:val="auto"/>
          <w:sz w:val="24"/>
          <w:szCs w:val="24"/>
        </w:rPr>
        <w:t xml:space="preserve">the extracted </w:t>
      </w:r>
      <w:r w:rsidR="00763573">
        <w:rPr>
          <w:i w:val="0"/>
          <w:iCs w:val="0"/>
          <w:color w:val="auto"/>
          <w:sz w:val="24"/>
          <w:szCs w:val="24"/>
        </w:rPr>
        <w:t xml:space="preserve">lineament </w:t>
      </w:r>
      <w:r w:rsidR="00EB3E0E">
        <w:rPr>
          <w:i w:val="0"/>
          <w:iCs w:val="0"/>
          <w:color w:val="auto"/>
          <w:sz w:val="24"/>
          <w:szCs w:val="24"/>
        </w:rPr>
        <w:t xml:space="preserve">map </w:t>
      </w:r>
      <w:r w:rsidR="00763573">
        <w:rPr>
          <w:i w:val="0"/>
          <w:iCs w:val="0"/>
          <w:color w:val="auto"/>
          <w:sz w:val="24"/>
          <w:szCs w:val="24"/>
        </w:rPr>
        <w:t>was used (Figure 4.3</w:t>
      </w:r>
      <w:r w:rsidRPr="00456014">
        <w:rPr>
          <w:i w:val="0"/>
          <w:iCs w:val="0"/>
          <w:color w:val="auto"/>
          <w:sz w:val="24"/>
          <w:szCs w:val="24"/>
        </w:rPr>
        <w:t>). The lineament density of Weyib Sub-basin is varying from 0.02 to 3.8 km/km</w:t>
      </w:r>
      <w:r w:rsidRPr="00DF5E62">
        <w:rPr>
          <w:i w:val="0"/>
          <w:iCs w:val="0"/>
          <w:color w:val="auto"/>
          <w:sz w:val="24"/>
          <w:szCs w:val="24"/>
          <w:vertAlign w:val="superscript"/>
        </w:rPr>
        <w:t>2</w:t>
      </w:r>
      <w:r w:rsidR="004970BC">
        <w:rPr>
          <w:i w:val="0"/>
          <w:iCs w:val="0"/>
          <w:color w:val="auto"/>
          <w:sz w:val="24"/>
          <w:szCs w:val="24"/>
        </w:rPr>
        <w:t xml:space="preserve"> (Figure 4.4).</w:t>
      </w:r>
      <w:r w:rsidRPr="00456014">
        <w:rPr>
          <w:i w:val="0"/>
          <w:iCs w:val="0"/>
          <w:color w:val="auto"/>
          <w:sz w:val="24"/>
          <w:szCs w:val="24"/>
        </w:rPr>
        <w:t xml:space="preserve"> </w:t>
      </w:r>
      <w:r w:rsidR="002C286F" w:rsidRPr="00456014">
        <w:rPr>
          <w:i w:val="0"/>
          <w:iCs w:val="0"/>
          <w:color w:val="auto"/>
          <w:sz w:val="24"/>
          <w:szCs w:val="24"/>
        </w:rPr>
        <w:t>The relative weight of e</w:t>
      </w:r>
      <w:r w:rsidR="002C286F">
        <w:rPr>
          <w:i w:val="0"/>
          <w:iCs w:val="0"/>
          <w:color w:val="auto"/>
          <w:sz w:val="24"/>
          <w:szCs w:val="24"/>
        </w:rPr>
        <w:t xml:space="preserve">ach class, CR and scale value were </w:t>
      </w:r>
      <w:r w:rsidR="002C286F" w:rsidRPr="00456014">
        <w:rPr>
          <w:i w:val="0"/>
          <w:iCs w:val="0"/>
          <w:color w:val="auto"/>
          <w:sz w:val="24"/>
          <w:szCs w:val="24"/>
        </w:rPr>
        <w:t>computed by AHP (</w:t>
      </w:r>
      <w:r w:rsidR="002C286F">
        <w:rPr>
          <w:i w:val="0"/>
          <w:iCs w:val="0"/>
          <w:color w:val="auto"/>
          <w:sz w:val="24"/>
          <w:szCs w:val="24"/>
        </w:rPr>
        <w:t>Table: 4.2</w:t>
      </w:r>
      <w:r w:rsidR="002C286F" w:rsidRPr="00456014">
        <w:rPr>
          <w:i w:val="0"/>
          <w:iCs w:val="0"/>
          <w:color w:val="auto"/>
          <w:sz w:val="24"/>
          <w:szCs w:val="24"/>
        </w:rPr>
        <w:t xml:space="preserve">). </w:t>
      </w:r>
      <w:r w:rsidR="002C286F">
        <w:rPr>
          <w:i w:val="0"/>
          <w:iCs w:val="0"/>
          <w:color w:val="auto"/>
          <w:sz w:val="24"/>
          <w:szCs w:val="24"/>
        </w:rPr>
        <w:t>Since,</w:t>
      </w:r>
      <w:r w:rsidR="002C286F" w:rsidRPr="00456014">
        <w:rPr>
          <w:i w:val="0"/>
          <w:iCs w:val="0"/>
          <w:color w:val="auto"/>
          <w:sz w:val="24"/>
          <w:szCs w:val="24"/>
        </w:rPr>
        <w:t xml:space="preserve"> </w:t>
      </w:r>
      <w:r w:rsidR="002C286F">
        <w:rPr>
          <w:i w:val="0"/>
          <w:iCs w:val="0"/>
          <w:color w:val="auto"/>
          <w:sz w:val="24"/>
          <w:szCs w:val="24"/>
        </w:rPr>
        <w:t xml:space="preserve">the </w:t>
      </w:r>
      <w:r w:rsidR="002C286F" w:rsidRPr="00456014">
        <w:rPr>
          <w:i w:val="0"/>
          <w:iCs w:val="0"/>
          <w:color w:val="auto"/>
          <w:sz w:val="24"/>
          <w:szCs w:val="24"/>
        </w:rPr>
        <w:t xml:space="preserve">computed consistency ratio </w:t>
      </w:r>
      <w:r w:rsidR="002C286F">
        <w:rPr>
          <w:i w:val="0"/>
          <w:iCs w:val="0"/>
          <w:color w:val="auto"/>
          <w:sz w:val="24"/>
          <w:szCs w:val="24"/>
        </w:rPr>
        <w:t xml:space="preserve">0.024 is less than 0.1 </w:t>
      </w:r>
      <w:r w:rsidR="002C286F" w:rsidRPr="00456014">
        <w:rPr>
          <w:i w:val="0"/>
          <w:iCs w:val="0"/>
          <w:color w:val="auto"/>
          <w:sz w:val="24"/>
          <w:szCs w:val="24"/>
        </w:rPr>
        <w:t xml:space="preserve">the </w:t>
      </w:r>
      <w:r w:rsidR="002C286F">
        <w:rPr>
          <w:i w:val="0"/>
          <w:iCs w:val="0"/>
          <w:color w:val="auto"/>
          <w:sz w:val="24"/>
          <w:szCs w:val="24"/>
        </w:rPr>
        <w:t xml:space="preserve">pairwise comparison </w:t>
      </w:r>
      <w:r w:rsidR="002C286F" w:rsidRPr="00456014">
        <w:rPr>
          <w:i w:val="0"/>
          <w:iCs w:val="0"/>
          <w:color w:val="auto"/>
          <w:sz w:val="24"/>
          <w:szCs w:val="24"/>
        </w:rPr>
        <w:t xml:space="preserve">matrix </w:t>
      </w:r>
      <w:r w:rsidR="002C286F">
        <w:rPr>
          <w:i w:val="0"/>
          <w:iCs w:val="0"/>
          <w:color w:val="auto"/>
          <w:sz w:val="24"/>
          <w:szCs w:val="24"/>
        </w:rPr>
        <w:t xml:space="preserve">of classes </w:t>
      </w:r>
      <w:r w:rsidR="002C286F" w:rsidRPr="00456014">
        <w:rPr>
          <w:i w:val="0"/>
          <w:iCs w:val="0"/>
          <w:color w:val="auto"/>
          <w:sz w:val="24"/>
          <w:szCs w:val="24"/>
        </w:rPr>
        <w:t>is reasonably consistent.</w:t>
      </w:r>
      <w:r w:rsidR="002C286F">
        <w:rPr>
          <w:i w:val="0"/>
          <w:iCs w:val="0"/>
          <w:color w:val="auto"/>
          <w:sz w:val="24"/>
          <w:szCs w:val="24"/>
        </w:rPr>
        <w:t xml:space="preserve"> Finally, </w:t>
      </w:r>
      <w:r w:rsidR="002C286F" w:rsidRPr="00D37368">
        <w:rPr>
          <w:i w:val="0"/>
          <w:iCs w:val="0"/>
          <w:color w:val="auto"/>
          <w:sz w:val="24"/>
          <w:szCs w:val="24"/>
        </w:rPr>
        <w:t>the lineament density map was reclassified</w:t>
      </w:r>
      <w:r w:rsidR="002C286F">
        <w:rPr>
          <w:i w:val="0"/>
          <w:iCs w:val="0"/>
          <w:color w:val="auto"/>
          <w:sz w:val="24"/>
          <w:szCs w:val="24"/>
        </w:rPr>
        <w:t xml:space="preserve"> into five classes of varying groundwater contribution (Figure 4.5).</w:t>
      </w:r>
    </w:p>
    <w:p w:rsidR="00A17720" w:rsidRPr="00907BFB" w:rsidRDefault="00907BFB" w:rsidP="00907BFB">
      <w:pPr>
        <w:spacing w:after="0"/>
        <w:jc w:val="center"/>
      </w:pPr>
      <w:r w:rsidRPr="00907BFB">
        <w:rPr>
          <w:noProof/>
        </w:rPr>
        <w:drawing>
          <wp:inline distT="0" distB="0" distL="0" distR="0" wp14:anchorId="5AF154D8" wp14:editId="7750C4C6">
            <wp:extent cx="5325250" cy="3765177"/>
            <wp:effectExtent l="19050" t="19050" r="27940" b="26035"/>
            <wp:docPr id="19" name="Picture 19" descr="C:\Users\Abdul Gafar\Desktop\Report_MXD_JPEG\Lineamnt\LIneament_FNL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bdul Gafar\Desktop\Report_MXD_JPEG\Lineamnt\LIneament_FNL1.bmp"/>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349039" cy="3781997"/>
                    </a:xfrm>
                    <a:prstGeom prst="rect">
                      <a:avLst/>
                    </a:prstGeom>
                    <a:noFill/>
                    <a:ln w="12700">
                      <a:solidFill>
                        <a:schemeClr val="tx1"/>
                      </a:solidFill>
                    </a:ln>
                  </pic:spPr>
                </pic:pic>
              </a:graphicData>
            </a:graphic>
          </wp:inline>
        </w:drawing>
      </w:r>
    </w:p>
    <w:p w:rsidR="00594EC4" w:rsidRDefault="00C267B4" w:rsidP="00961DEE">
      <w:pPr>
        <w:rPr>
          <w:szCs w:val="36"/>
        </w:rPr>
      </w:pPr>
      <w:bookmarkStart w:id="171" w:name="_Toc68761621"/>
      <w:r w:rsidRPr="00456014">
        <w:t>Figure</w:t>
      </w:r>
      <w:r w:rsidR="00594EC4" w:rsidRPr="00456014">
        <w:t xml:space="preserve"> </w:t>
      </w:r>
      <w:r w:rsidR="00515F3B">
        <w:rPr>
          <w:noProof/>
        </w:rPr>
        <w:fldChar w:fldCharType="begin"/>
      </w:r>
      <w:r w:rsidR="00515F3B">
        <w:rPr>
          <w:noProof/>
        </w:rPr>
        <w:instrText xml:space="preserve"> STYLEREF 1 \s </w:instrText>
      </w:r>
      <w:r w:rsidR="00515F3B">
        <w:rPr>
          <w:noProof/>
        </w:rPr>
        <w:fldChar w:fldCharType="separate"/>
      </w:r>
      <w:r w:rsidR="00BD510E">
        <w:rPr>
          <w:noProof/>
        </w:rPr>
        <w:t>4</w:t>
      </w:r>
      <w:r w:rsidR="00515F3B">
        <w:rPr>
          <w:noProof/>
        </w:rPr>
        <w:fldChar w:fldCharType="end"/>
      </w:r>
      <w:r w:rsidR="001342E5">
        <w:t>.</w:t>
      </w:r>
      <w:r w:rsidR="00515F3B">
        <w:rPr>
          <w:noProof/>
        </w:rPr>
        <w:fldChar w:fldCharType="begin"/>
      </w:r>
      <w:r w:rsidR="00515F3B">
        <w:rPr>
          <w:noProof/>
        </w:rPr>
        <w:instrText xml:space="preserve"> SEQ Figure \* ARABIC \s 1 </w:instrText>
      </w:r>
      <w:r w:rsidR="00515F3B">
        <w:rPr>
          <w:noProof/>
        </w:rPr>
        <w:fldChar w:fldCharType="separate"/>
      </w:r>
      <w:r w:rsidR="00BD510E">
        <w:rPr>
          <w:noProof/>
        </w:rPr>
        <w:t>3</w:t>
      </w:r>
      <w:r w:rsidR="00515F3B">
        <w:rPr>
          <w:noProof/>
        </w:rPr>
        <w:fldChar w:fldCharType="end"/>
      </w:r>
      <w:r w:rsidR="00594EC4" w:rsidRPr="00456014">
        <w:t xml:space="preserve">: </w:t>
      </w:r>
      <w:r w:rsidR="003D768E" w:rsidRPr="00456014">
        <w:rPr>
          <w:szCs w:val="36"/>
        </w:rPr>
        <w:t>Lineament map of Weyib S</w:t>
      </w:r>
      <w:r w:rsidR="00594EC4" w:rsidRPr="00456014">
        <w:rPr>
          <w:szCs w:val="36"/>
        </w:rPr>
        <w:t>ub-basin</w:t>
      </w:r>
      <w:bookmarkEnd w:id="171"/>
    </w:p>
    <w:p w:rsidR="002714C3" w:rsidRDefault="002714C3" w:rsidP="00961DEE">
      <w:pPr>
        <w:rPr>
          <w:szCs w:val="36"/>
        </w:rPr>
      </w:pPr>
      <w:r w:rsidRPr="00456014">
        <w:t xml:space="preserve">Several wells drilled on the same aquifer unit (e.g. on </w:t>
      </w:r>
      <w:r>
        <w:t xml:space="preserve">Ginnir basalt </w:t>
      </w:r>
      <w:r w:rsidRPr="00456014">
        <w:t>plateaus and the surrounding area) shows varying yield.</w:t>
      </w:r>
      <w:r>
        <w:t xml:space="preserve"> </w:t>
      </w:r>
      <w:r w:rsidRPr="00456014">
        <w:t>These indicate the yield of wells depend on the intensity of local lineaments</w:t>
      </w:r>
      <w:r>
        <w:t xml:space="preserve"> </w:t>
      </w:r>
      <w:r w:rsidRPr="00456014">
        <w:fldChar w:fldCharType="begin" w:fldLock="1"/>
      </w:r>
      <w:r w:rsidR="00A309A8">
        <w:instrText>ADDIN CSL_CITATION {"citationItems":[{"id":"ITEM-1","itemData":{"abstract":"Hydrogeological mapping of Ginner map sheet is carried out on the upper Wabi Shebele and some part of upper Genale Dawa river shades which is situated about 530 km east of Addis Ababa at the eastern part of Ethiopia. Considerable elevation difference (500-2685 m.a.s.l) and physiographic diversities such as highlands, lowlands and rugged areas, river valleys, deep gorges and plateaus characterize the area. Though the duration, amount and spatial distribution of the rain fall varies in the plateaus and low lands, bi- modal type of rain fall regime is generally observed. The annual mean rainfall in the low lands and high lands vary between 300 – 1200 mm and Potential evapotranspiration (PET) is estimated empirically 3.9 mm/day for the area. Rock units of the area are Tertiary and Quaternary Volcanics such as; Ginner Basalt, Arsi-Bale basalts and lower flood basalt and Mesozoic sedimentary formations such as: Amba Aradam, Korahe, Gabredare, Urandab and Hamanle formations successively under lain from young to old. In addition, superficial deposits and weathering remnants such as alluvium and elluvium cover the area. Nearly NE–SW and NW– SE trending faults and lineaments affect the area. The aquifer systems are defined based on hydrogeological characteristics /aquifer productivity and permeability/ of the lithological units. Seven hydrogeological units /aquifers systems/ are identified in the map sheet and then hydrogeological map at a scale 1:250,000 is produced. The chemical analysis result of water samples in the study area shows that bicarbonate and transitional and basic water type is predominant. The general trend of EC and TDS increases from relatively highland plateau to lowland where rain fall is low and evapotranspiration is high. Groundwater of the study area is generally suitable for Drinking water supply and irrigation. Generally, the area has ground water resources thus intensive sustainable water resources development is recommended by drilling deeper wells more than 150m depth on the lowlands and Springs development on the high land plateaus. Productive wells can also be drilled at the high land plateaus along faults and lineaments. In addition to water supply, large scale irrigation can be possible at the plateaus by using ground water resource.","author":[{"dropping-particle":"","family":"Mulugeta","given":"Yonas","non-dropping-particle":"","parse-names":false,"suffix":""},{"dropping-particle":"","family":"Tafa","given":"Yosef","non-dropping-particle":"","parse-names":false,"suffix":""}],"id":"ITEM-1","issued":{"date-parts":[["2010"]]},"number-of-pages":"1-84","publisher-place":"Addis Abeba, Ethiopia","title":"Integrated hydrogeological mapping of Ginnir map sheet (NB-37-4) South Eastern low land and adjacent high land of Ethiopia","type":"report"},"uris":["http://www.mendeley.com/documents/?uuid=e9c5b3e5-3d16-4cb5-a46e-712fee7da124","http://www.mendeley.com/documents/?uuid=1b87b89f-6151-4701-b983-9da2e8363ad4"]}],"mendeley":{"formattedCitation":"(Mulugeta &amp; Tafa, 2010)","manualFormatting":"(Mulugeta and Tafa, 2010)","plainTextFormattedCitation":"(Mulugeta &amp; Tafa, 2010)","previouslyFormattedCitation":"(Mulugeta &amp; Tafa, 2010)"},"properties":{"noteIndex":0},"schema":"https://github.com/citation-style-language/schema/raw/master/csl-citation.json"}</w:instrText>
      </w:r>
      <w:r w:rsidRPr="00456014">
        <w:fldChar w:fldCharType="separate"/>
      </w:r>
      <w:r w:rsidRPr="00456014">
        <w:rPr>
          <w:noProof/>
        </w:rPr>
        <w:t xml:space="preserve">(Mulugeta </w:t>
      </w:r>
      <w:r>
        <w:rPr>
          <w:noProof/>
        </w:rPr>
        <w:t>and</w:t>
      </w:r>
      <w:r w:rsidRPr="00456014">
        <w:rPr>
          <w:noProof/>
        </w:rPr>
        <w:t xml:space="preserve"> Tafa, 2010)</w:t>
      </w:r>
      <w:r w:rsidRPr="00456014">
        <w:fldChar w:fldCharType="end"/>
      </w:r>
      <w:r w:rsidRPr="00456014">
        <w:t>.</w:t>
      </w:r>
      <w:r>
        <w:t xml:space="preserve"> The directional analysis of rose diagram </w:t>
      </w:r>
      <w:r w:rsidRPr="00456014">
        <w:t>indicates</w:t>
      </w:r>
      <w:r w:rsidRPr="00E21C54">
        <w:t xml:space="preserve"> </w:t>
      </w:r>
      <w:r w:rsidR="00246702">
        <w:t>NE–SW and NW–</w:t>
      </w:r>
      <w:r>
        <w:t>SE orientation</w:t>
      </w:r>
      <w:r w:rsidRPr="00456014">
        <w:t xml:space="preserve"> </w:t>
      </w:r>
      <w:r>
        <w:t xml:space="preserve">trending </w:t>
      </w:r>
      <w:r w:rsidRPr="00456014">
        <w:t>lineaments</w:t>
      </w:r>
      <w:r>
        <w:t xml:space="preserve">. </w:t>
      </w:r>
      <w:r w:rsidRPr="00456014">
        <w:t xml:space="preserve">From hydrogeological point of view, </w:t>
      </w:r>
      <w:r>
        <w:t xml:space="preserve">the </w:t>
      </w:r>
      <w:r w:rsidRPr="00456014">
        <w:t xml:space="preserve">groundwater flow direction follows the orientation of lineament direction </w:t>
      </w:r>
      <w:r w:rsidRPr="00456014">
        <w:fldChar w:fldCharType="begin" w:fldLock="1"/>
      </w:r>
      <w:r w:rsidR="00A309A8">
        <w:instrText>ADDIN CSL_CITATION {"citationItems":[{"id":"ITEM-1","itemData":{"DOI":"10.1007/s12517-018-3412-y","author":[{"dropping-particle":"","family":"Takorabt","given":"Mebarka","non-dropping-particle":"","parse-names":false,"suffix":""},{"dropping-particle":"","family":"Toubal","given":"Ahmed Cherif","non-dropping-particle":"","parse-names":false,"suffix":""},{"dropping-particle":"","family":"Haddoum","given":"Hamid","non-dropping-particle":"","parse-names":false,"suffix":""},{"dropping-particle":"","family":"Zerrouk","given":"Siham","non-dropping-particle":"","parse-names":false,"suffix":""}],"container-title":"Arabian Journal of Geosciences","id":"ITEM-1","issued":{"date-parts":[["2018"]]},"page":"76","title":"Determining the role of lineaments in underground hydrodynamics using Landsat 7 ETM+ data, case of the Chott El Gharbi Basin (western Algeria)","type":"article-journal","volume":"11"},"uris":["http://www.mendeley.com/documents/?uuid=8cff8351-5438-4283-99a0-06a5d45d5b06","http://www.mendeley.com/documents/?uuid=47e038fa-d461-4123-a24b-db4387f0ed93"]},{"id":"ITEM-2","itemData":{"author":[{"dropping-particle":"","family":"Doyo","given":"Diriba Worku","non-dropping-particle":"","parse-names":false,"suffix":""}],"id":"ITEM-2","issued":{"date-parts":[["2020"]]},"number-of-pages":"1-84","publisher":"Hawassa University","title":"Groundwater potential mapping using remote sensing and GIS techniques: the case of Meki watershed, Central Rift valley, Ethiopia","type":"thesis"},"uris":["http://www.mendeley.com/documents/?uuid=2751595d-7581-4867-a4a6-8a89444e1e59","http://www.mendeley.com/documents/?uuid=de24f4fb-afa8-4ca2-b379-e72af14d232b"]}],"mendeley":{"formattedCitation":"(Doyo, 2020; Takorabt et al., 2018)","plainTextFormattedCitation":"(Doyo, 2020; Takorabt et al., 2018)","previouslyFormattedCitation":"(Doyo, 2020; Takorabt et al., 2018)"},"properties":{"noteIndex":0},"schema":"https://github.com/citation-style-language/schema/raw/master/csl-citation.json"}</w:instrText>
      </w:r>
      <w:r w:rsidRPr="00456014">
        <w:fldChar w:fldCharType="separate"/>
      </w:r>
      <w:r w:rsidRPr="0096701E">
        <w:rPr>
          <w:noProof/>
        </w:rPr>
        <w:t>(Doyo, 2020; Takorabt et al., 2018)</w:t>
      </w:r>
      <w:r w:rsidRPr="00456014">
        <w:fldChar w:fldCharType="end"/>
      </w:r>
      <w:r w:rsidRPr="00456014">
        <w:t>. Therefore, NE–SW regions were expected to have high groundwater potential.</w:t>
      </w:r>
    </w:p>
    <w:p w:rsidR="00E37FB1" w:rsidRDefault="002017FC" w:rsidP="00E37FB1">
      <w:pPr>
        <w:jc w:val="center"/>
      </w:pPr>
      <w:r w:rsidRPr="002017FC">
        <w:rPr>
          <w:noProof/>
        </w:rPr>
        <w:lastRenderedPageBreak/>
        <w:drawing>
          <wp:inline distT="0" distB="0" distL="0" distR="0" wp14:anchorId="7099C5C1" wp14:editId="5644779F">
            <wp:extent cx="5200650" cy="3677078"/>
            <wp:effectExtent l="19050" t="19050" r="19050" b="19050"/>
            <wp:docPr id="4" name="Picture 4" descr="C:\Users\Abdul Gafar\Desktop\Report_MXD_JPEG\Lineamnt\LIneament_den_FN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bdul Gafar\Desktop\Report_MXD_JPEG\Lineamnt\LIneament_den_FNL.bmp"/>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228711" cy="3696918"/>
                    </a:xfrm>
                    <a:prstGeom prst="rect">
                      <a:avLst/>
                    </a:prstGeom>
                    <a:noFill/>
                    <a:ln w="12700">
                      <a:solidFill>
                        <a:schemeClr val="tx1"/>
                      </a:solidFill>
                    </a:ln>
                  </pic:spPr>
                </pic:pic>
              </a:graphicData>
            </a:graphic>
          </wp:inline>
        </w:drawing>
      </w:r>
    </w:p>
    <w:p w:rsidR="009F4AED" w:rsidRDefault="00756209" w:rsidP="00756209">
      <w:pPr>
        <w:rPr>
          <w:iCs/>
        </w:rPr>
      </w:pPr>
      <w:bookmarkStart w:id="172" w:name="_Toc68761622"/>
      <w:r w:rsidRPr="00456014">
        <w:rPr>
          <w:iCs/>
        </w:rPr>
        <w:t xml:space="preserve">Figure </w:t>
      </w:r>
      <w:r w:rsidR="001342E5">
        <w:rPr>
          <w:iCs/>
        </w:rPr>
        <w:fldChar w:fldCharType="begin"/>
      </w:r>
      <w:r w:rsidR="001342E5">
        <w:rPr>
          <w:iCs/>
        </w:rPr>
        <w:instrText xml:space="preserve"> STYLEREF 1 \s </w:instrText>
      </w:r>
      <w:r w:rsidR="001342E5">
        <w:rPr>
          <w:iCs/>
        </w:rPr>
        <w:fldChar w:fldCharType="separate"/>
      </w:r>
      <w:r w:rsidR="00BD510E">
        <w:rPr>
          <w:iCs/>
          <w:noProof/>
        </w:rPr>
        <w:t>4</w:t>
      </w:r>
      <w:r w:rsidR="001342E5">
        <w:rPr>
          <w:iCs/>
        </w:rPr>
        <w:fldChar w:fldCharType="end"/>
      </w:r>
      <w:r w:rsidR="001342E5">
        <w:rPr>
          <w:iCs/>
        </w:rPr>
        <w:t>.</w:t>
      </w:r>
      <w:r w:rsidR="001342E5">
        <w:rPr>
          <w:iCs/>
        </w:rPr>
        <w:fldChar w:fldCharType="begin"/>
      </w:r>
      <w:r w:rsidR="001342E5">
        <w:rPr>
          <w:iCs/>
        </w:rPr>
        <w:instrText xml:space="preserve"> SEQ Figure \* ARABIC \s 1 </w:instrText>
      </w:r>
      <w:r w:rsidR="001342E5">
        <w:rPr>
          <w:iCs/>
        </w:rPr>
        <w:fldChar w:fldCharType="separate"/>
      </w:r>
      <w:r w:rsidR="00BD510E">
        <w:rPr>
          <w:iCs/>
          <w:noProof/>
        </w:rPr>
        <w:t>4</w:t>
      </w:r>
      <w:r w:rsidR="001342E5">
        <w:rPr>
          <w:iCs/>
        </w:rPr>
        <w:fldChar w:fldCharType="end"/>
      </w:r>
      <w:r>
        <w:rPr>
          <w:iCs/>
        </w:rPr>
        <w:t>: The l</w:t>
      </w:r>
      <w:r w:rsidRPr="00456014">
        <w:rPr>
          <w:iCs/>
        </w:rPr>
        <w:t xml:space="preserve">ineament density </w:t>
      </w:r>
      <w:r>
        <w:rPr>
          <w:iCs/>
        </w:rPr>
        <w:t xml:space="preserve">map </w:t>
      </w:r>
      <w:r w:rsidRPr="00456014">
        <w:rPr>
          <w:iCs/>
        </w:rPr>
        <w:t>of Weyib Sub-basin</w:t>
      </w:r>
      <w:bookmarkEnd w:id="172"/>
    </w:p>
    <w:p w:rsidR="009C1976" w:rsidRPr="00413246" w:rsidRDefault="00413246" w:rsidP="00413246">
      <w:pPr>
        <w:jc w:val="center"/>
        <w:rPr>
          <w:iCs/>
          <w:szCs w:val="36"/>
        </w:rPr>
      </w:pPr>
      <w:r w:rsidRPr="00413246">
        <w:rPr>
          <w:iCs/>
          <w:noProof/>
          <w:szCs w:val="36"/>
        </w:rPr>
        <w:drawing>
          <wp:inline distT="0" distB="0" distL="0" distR="0" wp14:anchorId="1BADE801" wp14:editId="79AA2EA6">
            <wp:extent cx="5200045" cy="3676650"/>
            <wp:effectExtent l="19050" t="19050" r="19685" b="19050"/>
            <wp:docPr id="9" name="Picture 9" descr="C:\Users\Abdul Gafar\Desktop\Report_MXD_JPEG\Lineamnt\LIneament_den_REC_FN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bdul Gafar\Desktop\Report_MXD_JPEG\Lineamnt\LIneament_den_REC_FNL.bmp"/>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234350" cy="3700905"/>
                    </a:xfrm>
                    <a:prstGeom prst="rect">
                      <a:avLst/>
                    </a:prstGeom>
                    <a:noFill/>
                    <a:ln w="12700">
                      <a:solidFill>
                        <a:schemeClr val="tx1"/>
                      </a:solidFill>
                    </a:ln>
                  </pic:spPr>
                </pic:pic>
              </a:graphicData>
            </a:graphic>
          </wp:inline>
        </w:drawing>
      </w:r>
    </w:p>
    <w:p w:rsidR="00594EC4" w:rsidRPr="00174A1C" w:rsidRDefault="00C267B4" w:rsidP="00174A1C">
      <w:pPr>
        <w:rPr>
          <w:iCs/>
        </w:rPr>
      </w:pPr>
      <w:bookmarkStart w:id="173" w:name="_Toc68761623"/>
      <w:r w:rsidRPr="00174A1C">
        <w:rPr>
          <w:iCs/>
        </w:rPr>
        <w:t>Figure</w:t>
      </w:r>
      <w:r w:rsidR="00594EC4" w:rsidRPr="00174A1C">
        <w:rPr>
          <w:iCs/>
        </w:rPr>
        <w:t xml:space="preserve"> </w:t>
      </w:r>
      <w:r w:rsidR="001342E5">
        <w:rPr>
          <w:iCs/>
        </w:rPr>
        <w:fldChar w:fldCharType="begin"/>
      </w:r>
      <w:r w:rsidR="001342E5">
        <w:rPr>
          <w:iCs/>
        </w:rPr>
        <w:instrText xml:space="preserve"> STYLEREF 1 \s </w:instrText>
      </w:r>
      <w:r w:rsidR="001342E5">
        <w:rPr>
          <w:iCs/>
        </w:rPr>
        <w:fldChar w:fldCharType="separate"/>
      </w:r>
      <w:r w:rsidR="00BD510E">
        <w:rPr>
          <w:iCs/>
          <w:noProof/>
        </w:rPr>
        <w:t>4</w:t>
      </w:r>
      <w:r w:rsidR="001342E5">
        <w:rPr>
          <w:iCs/>
        </w:rPr>
        <w:fldChar w:fldCharType="end"/>
      </w:r>
      <w:r w:rsidR="001342E5">
        <w:rPr>
          <w:iCs/>
        </w:rPr>
        <w:t>.</w:t>
      </w:r>
      <w:r w:rsidR="001342E5">
        <w:rPr>
          <w:iCs/>
        </w:rPr>
        <w:fldChar w:fldCharType="begin"/>
      </w:r>
      <w:r w:rsidR="001342E5">
        <w:rPr>
          <w:iCs/>
        </w:rPr>
        <w:instrText xml:space="preserve"> SEQ Figure \* ARABIC \s 1 </w:instrText>
      </w:r>
      <w:r w:rsidR="001342E5">
        <w:rPr>
          <w:iCs/>
        </w:rPr>
        <w:fldChar w:fldCharType="separate"/>
      </w:r>
      <w:r w:rsidR="00BD510E">
        <w:rPr>
          <w:iCs/>
          <w:noProof/>
        </w:rPr>
        <w:t>5</w:t>
      </w:r>
      <w:r w:rsidR="001342E5">
        <w:rPr>
          <w:iCs/>
        </w:rPr>
        <w:fldChar w:fldCharType="end"/>
      </w:r>
      <w:r w:rsidR="00594EC4" w:rsidRPr="00174A1C">
        <w:rPr>
          <w:iCs/>
        </w:rPr>
        <w:t xml:space="preserve">: </w:t>
      </w:r>
      <w:r w:rsidR="00756209" w:rsidRPr="00174A1C">
        <w:rPr>
          <w:iCs/>
        </w:rPr>
        <w:t>The reclassified l</w:t>
      </w:r>
      <w:r w:rsidR="00594EC4" w:rsidRPr="00174A1C">
        <w:rPr>
          <w:iCs/>
        </w:rPr>
        <w:t xml:space="preserve">ineament density </w:t>
      </w:r>
      <w:r w:rsidR="00756209" w:rsidRPr="00174A1C">
        <w:rPr>
          <w:iCs/>
        </w:rPr>
        <w:t xml:space="preserve">map </w:t>
      </w:r>
      <w:r w:rsidR="00594EC4" w:rsidRPr="00174A1C">
        <w:rPr>
          <w:iCs/>
        </w:rPr>
        <w:t xml:space="preserve">of </w:t>
      </w:r>
      <w:r w:rsidR="00B75010" w:rsidRPr="00174A1C">
        <w:rPr>
          <w:iCs/>
        </w:rPr>
        <w:t>study area</w:t>
      </w:r>
      <w:bookmarkEnd w:id="173"/>
    </w:p>
    <w:p w:rsidR="0091153D" w:rsidRPr="00174A1C" w:rsidRDefault="0091153D" w:rsidP="00174A1C">
      <w:pPr>
        <w:pStyle w:val="Caption"/>
        <w:keepNext/>
        <w:spacing w:before="120" w:after="120" w:line="360" w:lineRule="auto"/>
        <w:rPr>
          <w:i w:val="0"/>
          <w:iCs w:val="0"/>
          <w:color w:val="auto"/>
          <w:sz w:val="24"/>
          <w:szCs w:val="24"/>
        </w:rPr>
      </w:pPr>
      <w:bookmarkStart w:id="174" w:name="_Toc68761596"/>
      <w:r w:rsidRPr="00174A1C">
        <w:rPr>
          <w:i w:val="0"/>
          <w:iCs w:val="0"/>
          <w:color w:val="auto"/>
          <w:sz w:val="24"/>
          <w:szCs w:val="24"/>
        </w:rPr>
        <w:lastRenderedPageBreak/>
        <w:t xml:space="preserve">Table </w:t>
      </w:r>
      <w:r w:rsidRPr="00174A1C">
        <w:rPr>
          <w:i w:val="0"/>
          <w:iCs w:val="0"/>
          <w:color w:val="auto"/>
          <w:sz w:val="24"/>
          <w:szCs w:val="24"/>
        </w:rPr>
        <w:fldChar w:fldCharType="begin"/>
      </w:r>
      <w:r w:rsidRPr="00174A1C">
        <w:rPr>
          <w:i w:val="0"/>
          <w:iCs w:val="0"/>
          <w:color w:val="auto"/>
          <w:sz w:val="24"/>
          <w:szCs w:val="24"/>
        </w:rPr>
        <w:instrText xml:space="preserve"> STYLEREF 1 \s </w:instrText>
      </w:r>
      <w:r w:rsidRPr="00174A1C">
        <w:rPr>
          <w:i w:val="0"/>
          <w:iCs w:val="0"/>
          <w:color w:val="auto"/>
          <w:sz w:val="24"/>
          <w:szCs w:val="24"/>
        </w:rPr>
        <w:fldChar w:fldCharType="separate"/>
      </w:r>
      <w:r w:rsidR="00BD510E">
        <w:rPr>
          <w:i w:val="0"/>
          <w:iCs w:val="0"/>
          <w:noProof/>
          <w:color w:val="auto"/>
          <w:sz w:val="24"/>
          <w:szCs w:val="24"/>
        </w:rPr>
        <w:t>4</w:t>
      </w:r>
      <w:r w:rsidRPr="00174A1C">
        <w:rPr>
          <w:i w:val="0"/>
          <w:iCs w:val="0"/>
          <w:color w:val="auto"/>
          <w:sz w:val="24"/>
          <w:szCs w:val="24"/>
        </w:rPr>
        <w:fldChar w:fldCharType="end"/>
      </w:r>
      <w:r w:rsidRPr="00174A1C">
        <w:rPr>
          <w:i w:val="0"/>
          <w:iCs w:val="0"/>
          <w:color w:val="auto"/>
          <w:sz w:val="24"/>
          <w:szCs w:val="24"/>
        </w:rPr>
        <w:t>.</w:t>
      </w:r>
      <w:r w:rsidRPr="00174A1C">
        <w:rPr>
          <w:i w:val="0"/>
          <w:iCs w:val="0"/>
          <w:color w:val="auto"/>
          <w:sz w:val="24"/>
          <w:szCs w:val="24"/>
        </w:rPr>
        <w:fldChar w:fldCharType="begin"/>
      </w:r>
      <w:r w:rsidRPr="00174A1C">
        <w:rPr>
          <w:i w:val="0"/>
          <w:iCs w:val="0"/>
          <w:color w:val="auto"/>
          <w:sz w:val="24"/>
          <w:szCs w:val="24"/>
        </w:rPr>
        <w:instrText xml:space="preserve"> SEQ Table \* ARABIC \s 1 </w:instrText>
      </w:r>
      <w:r w:rsidRPr="00174A1C">
        <w:rPr>
          <w:i w:val="0"/>
          <w:iCs w:val="0"/>
          <w:color w:val="auto"/>
          <w:sz w:val="24"/>
          <w:szCs w:val="24"/>
        </w:rPr>
        <w:fldChar w:fldCharType="separate"/>
      </w:r>
      <w:r w:rsidR="00BD510E">
        <w:rPr>
          <w:i w:val="0"/>
          <w:iCs w:val="0"/>
          <w:noProof/>
          <w:color w:val="auto"/>
          <w:sz w:val="24"/>
          <w:szCs w:val="24"/>
        </w:rPr>
        <w:t>2</w:t>
      </w:r>
      <w:r w:rsidRPr="00174A1C">
        <w:rPr>
          <w:i w:val="0"/>
          <w:iCs w:val="0"/>
          <w:color w:val="auto"/>
          <w:sz w:val="24"/>
          <w:szCs w:val="24"/>
        </w:rPr>
        <w:fldChar w:fldCharType="end"/>
      </w:r>
      <w:r w:rsidRPr="00174A1C">
        <w:rPr>
          <w:i w:val="0"/>
          <w:iCs w:val="0"/>
          <w:color w:val="auto"/>
          <w:sz w:val="24"/>
          <w:szCs w:val="24"/>
        </w:rPr>
        <w:t>: Lineament density and relative weight as per suitability for GWPZ</w:t>
      </w:r>
      <w:bookmarkEnd w:id="174"/>
    </w:p>
    <w:tbl>
      <w:tblPr>
        <w:tblW w:w="5000" w:type="pct"/>
        <w:tblBorders>
          <w:top w:val="single" w:sz="4" w:space="0" w:color="auto"/>
          <w:bottom w:val="single" w:sz="4" w:space="0" w:color="auto"/>
          <w:insideH w:val="single" w:sz="4" w:space="0" w:color="7F7F7F"/>
        </w:tblBorders>
        <w:tblLook w:val="04A0" w:firstRow="1" w:lastRow="0" w:firstColumn="1" w:lastColumn="0" w:noHBand="0" w:noVBand="1"/>
      </w:tblPr>
      <w:tblGrid>
        <w:gridCol w:w="1508"/>
        <w:gridCol w:w="860"/>
        <w:gridCol w:w="1824"/>
        <w:gridCol w:w="1523"/>
        <w:gridCol w:w="834"/>
        <w:gridCol w:w="1695"/>
        <w:gridCol w:w="756"/>
      </w:tblGrid>
      <w:tr w:rsidR="0091153D" w:rsidRPr="00174A1C" w:rsidTr="00096002">
        <w:trPr>
          <w:trHeight w:val="217"/>
        </w:trPr>
        <w:tc>
          <w:tcPr>
            <w:tcW w:w="842" w:type="pct"/>
            <w:tcBorders>
              <w:top w:val="single" w:sz="4" w:space="0" w:color="auto"/>
              <w:bottom w:val="single" w:sz="4" w:space="0" w:color="auto"/>
            </w:tcBorders>
            <w:shd w:val="clear" w:color="auto" w:fill="auto"/>
          </w:tcPr>
          <w:p w:rsidR="0091153D" w:rsidRPr="00174A1C" w:rsidRDefault="0091153D" w:rsidP="00174A1C">
            <w:pPr>
              <w:spacing w:before="0" w:after="0"/>
              <w:rPr>
                <w:rFonts w:eastAsia="Times New Roman"/>
                <w:bCs/>
                <w:lang w:val="en-GB"/>
              </w:rPr>
            </w:pPr>
            <w:bookmarkStart w:id="175" w:name="_Hlk47894731"/>
            <w:r w:rsidRPr="00174A1C">
              <w:rPr>
                <w:rFonts w:eastAsia="Times New Roman"/>
                <w:bCs/>
                <w:lang w:val="en-GB"/>
              </w:rPr>
              <w:t>Factor</w:t>
            </w:r>
          </w:p>
        </w:tc>
        <w:tc>
          <w:tcPr>
            <w:tcW w:w="482" w:type="pct"/>
            <w:tcBorders>
              <w:top w:val="single" w:sz="4" w:space="0" w:color="auto"/>
              <w:bottom w:val="single" w:sz="4" w:space="0" w:color="auto"/>
            </w:tcBorders>
            <w:shd w:val="clear" w:color="auto" w:fill="auto"/>
          </w:tcPr>
          <w:p w:rsidR="0091153D" w:rsidRPr="00174A1C" w:rsidRDefault="0091153D" w:rsidP="00174A1C">
            <w:pPr>
              <w:spacing w:before="0" w:after="0"/>
              <w:rPr>
                <w:rFonts w:eastAsia="Times New Roman"/>
                <w:bCs/>
              </w:rPr>
            </w:pPr>
            <w:r w:rsidRPr="00174A1C">
              <w:rPr>
                <w:rFonts w:eastAsia="Times New Roman"/>
                <w:bCs/>
                <w:lang w:val="en-GB"/>
              </w:rPr>
              <w:t>S. No.</w:t>
            </w:r>
          </w:p>
        </w:tc>
        <w:tc>
          <w:tcPr>
            <w:tcW w:w="1018" w:type="pct"/>
            <w:tcBorders>
              <w:top w:val="single" w:sz="4" w:space="0" w:color="auto"/>
              <w:bottom w:val="single" w:sz="4" w:space="0" w:color="auto"/>
            </w:tcBorders>
            <w:shd w:val="clear" w:color="auto" w:fill="auto"/>
            <w:noWrap/>
            <w:hideMark/>
          </w:tcPr>
          <w:p w:rsidR="0091153D" w:rsidRPr="00174A1C" w:rsidRDefault="0091153D" w:rsidP="00174A1C">
            <w:pPr>
              <w:spacing w:before="0" w:after="0"/>
              <w:rPr>
                <w:rFonts w:eastAsia="Times New Roman"/>
                <w:bCs/>
              </w:rPr>
            </w:pPr>
            <w:r w:rsidRPr="00174A1C">
              <w:rPr>
                <w:rFonts w:eastAsia="Times New Roman"/>
                <w:bCs/>
                <w:lang w:val="en-GB"/>
              </w:rPr>
              <w:t>Value (km/km</w:t>
            </w:r>
            <w:r w:rsidRPr="00174A1C">
              <w:rPr>
                <w:rFonts w:eastAsia="Times New Roman"/>
                <w:bCs/>
                <w:vertAlign w:val="superscript"/>
                <w:lang w:val="en-GB"/>
              </w:rPr>
              <w:t>2</w:t>
            </w:r>
            <w:r w:rsidRPr="00174A1C">
              <w:rPr>
                <w:rFonts w:eastAsia="Times New Roman"/>
                <w:bCs/>
                <w:lang w:val="en-GB"/>
              </w:rPr>
              <w:t>)</w:t>
            </w:r>
          </w:p>
        </w:tc>
        <w:tc>
          <w:tcPr>
            <w:tcW w:w="824" w:type="pct"/>
            <w:tcBorders>
              <w:top w:val="single" w:sz="4" w:space="0" w:color="auto"/>
              <w:bottom w:val="single" w:sz="4" w:space="0" w:color="auto"/>
            </w:tcBorders>
            <w:shd w:val="clear" w:color="auto" w:fill="auto"/>
            <w:noWrap/>
            <w:hideMark/>
          </w:tcPr>
          <w:p w:rsidR="0091153D" w:rsidRPr="00817BEB" w:rsidRDefault="0091153D" w:rsidP="00174A1C">
            <w:pPr>
              <w:spacing w:before="0" w:after="0"/>
              <w:rPr>
                <w:rFonts w:eastAsia="Times New Roman"/>
                <w:bCs/>
                <w:vertAlign w:val="superscript"/>
              </w:rPr>
            </w:pPr>
            <w:r w:rsidRPr="00174A1C">
              <w:rPr>
                <w:rFonts w:eastAsia="Times New Roman"/>
                <w:bCs/>
                <w:lang w:val="en-GB"/>
              </w:rPr>
              <w:t>Contribution</w:t>
            </w:r>
            <w:r w:rsidR="00817BEB">
              <w:rPr>
                <w:rFonts w:eastAsia="Times New Roman"/>
                <w:bCs/>
                <w:vertAlign w:val="superscript"/>
                <w:lang w:val="en-GB"/>
              </w:rPr>
              <w:t>*</w:t>
            </w:r>
          </w:p>
        </w:tc>
        <w:tc>
          <w:tcPr>
            <w:tcW w:w="468" w:type="pct"/>
            <w:tcBorders>
              <w:top w:val="single" w:sz="4" w:space="0" w:color="auto"/>
              <w:bottom w:val="single" w:sz="4" w:space="0" w:color="auto"/>
            </w:tcBorders>
            <w:shd w:val="clear" w:color="auto" w:fill="auto"/>
          </w:tcPr>
          <w:p w:rsidR="0091153D" w:rsidRPr="00174A1C" w:rsidRDefault="0091153D" w:rsidP="00174A1C">
            <w:pPr>
              <w:spacing w:before="0" w:after="0"/>
              <w:rPr>
                <w:bCs/>
              </w:rPr>
            </w:pPr>
            <w:r w:rsidRPr="00174A1C">
              <w:rPr>
                <w:bCs/>
              </w:rPr>
              <w:t xml:space="preserve">Scale value </w:t>
            </w:r>
          </w:p>
        </w:tc>
        <w:tc>
          <w:tcPr>
            <w:tcW w:w="946" w:type="pct"/>
            <w:tcBorders>
              <w:top w:val="single" w:sz="4" w:space="0" w:color="auto"/>
              <w:bottom w:val="single" w:sz="4" w:space="0" w:color="auto"/>
            </w:tcBorders>
            <w:shd w:val="clear" w:color="auto" w:fill="auto"/>
          </w:tcPr>
          <w:p w:rsidR="0091153D" w:rsidRPr="00174A1C" w:rsidRDefault="0091153D" w:rsidP="00174A1C">
            <w:pPr>
              <w:spacing w:before="0" w:after="0"/>
              <w:rPr>
                <w:bCs/>
              </w:rPr>
            </w:pPr>
            <w:r w:rsidRPr="00174A1C">
              <w:rPr>
                <w:bCs/>
              </w:rPr>
              <w:t>Relative weight</w:t>
            </w:r>
          </w:p>
        </w:tc>
        <w:tc>
          <w:tcPr>
            <w:tcW w:w="419" w:type="pct"/>
            <w:tcBorders>
              <w:top w:val="single" w:sz="4" w:space="0" w:color="auto"/>
              <w:bottom w:val="single" w:sz="4" w:space="0" w:color="auto"/>
            </w:tcBorders>
            <w:shd w:val="clear" w:color="auto" w:fill="auto"/>
          </w:tcPr>
          <w:p w:rsidR="0091153D" w:rsidRPr="00174A1C" w:rsidRDefault="0091153D" w:rsidP="00174A1C">
            <w:pPr>
              <w:spacing w:before="0" w:after="0"/>
              <w:jc w:val="left"/>
              <w:rPr>
                <w:bCs/>
              </w:rPr>
            </w:pPr>
            <w:r w:rsidRPr="00174A1C">
              <w:rPr>
                <w:bCs/>
              </w:rPr>
              <w:t>CR</w:t>
            </w:r>
          </w:p>
        </w:tc>
      </w:tr>
      <w:tr w:rsidR="0091153D" w:rsidRPr="00174A1C" w:rsidTr="00096002">
        <w:trPr>
          <w:trHeight w:val="350"/>
        </w:trPr>
        <w:tc>
          <w:tcPr>
            <w:tcW w:w="842" w:type="pct"/>
            <w:vMerge w:val="restart"/>
            <w:tcBorders>
              <w:top w:val="single" w:sz="4" w:space="0" w:color="auto"/>
            </w:tcBorders>
            <w:shd w:val="clear" w:color="auto" w:fill="auto"/>
            <w:textDirection w:val="btLr"/>
            <w:vAlign w:val="center"/>
          </w:tcPr>
          <w:p w:rsidR="0091153D" w:rsidRPr="00174A1C" w:rsidRDefault="0091153D" w:rsidP="00096002">
            <w:pPr>
              <w:spacing w:before="0" w:after="0"/>
              <w:ind w:left="113" w:right="113"/>
              <w:jc w:val="center"/>
              <w:rPr>
                <w:bCs/>
              </w:rPr>
            </w:pPr>
            <w:r w:rsidRPr="00174A1C">
              <w:rPr>
                <w:rFonts w:eastAsia="Times New Roman"/>
                <w:bCs/>
                <w:lang w:val="en-GB"/>
              </w:rPr>
              <w:t>Lineament</w:t>
            </w:r>
          </w:p>
        </w:tc>
        <w:tc>
          <w:tcPr>
            <w:tcW w:w="482" w:type="pct"/>
            <w:tcBorders>
              <w:top w:val="single" w:sz="4" w:space="0" w:color="auto"/>
              <w:bottom w:val="nil"/>
            </w:tcBorders>
            <w:shd w:val="clear" w:color="auto" w:fill="auto"/>
          </w:tcPr>
          <w:p w:rsidR="0091153D" w:rsidRPr="00174A1C" w:rsidRDefault="0091153D" w:rsidP="00174A1C">
            <w:pPr>
              <w:spacing w:before="0" w:after="0"/>
              <w:rPr>
                <w:rFonts w:eastAsia="Times New Roman"/>
              </w:rPr>
            </w:pPr>
            <w:r w:rsidRPr="00174A1C">
              <w:rPr>
                <w:rFonts w:eastAsia="Times New Roman"/>
                <w:lang w:val="en-GB"/>
              </w:rPr>
              <w:t>1</w:t>
            </w:r>
          </w:p>
        </w:tc>
        <w:tc>
          <w:tcPr>
            <w:tcW w:w="1018" w:type="pct"/>
            <w:tcBorders>
              <w:top w:val="single" w:sz="4" w:space="0" w:color="auto"/>
              <w:bottom w:val="nil"/>
            </w:tcBorders>
            <w:shd w:val="clear" w:color="auto" w:fill="auto"/>
            <w:noWrap/>
            <w:hideMark/>
          </w:tcPr>
          <w:p w:rsidR="0091153D" w:rsidRPr="00174A1C" w:rsidRDefault="0091153D" w:rsidP="00174A1C">
            <w:pPr>
              <w:spacing w:before="0" w:after="0"/>
              <w:rPr>
                <w:rFonts w:eastAsia="Times New Roman"/>
              </w:rPr>
            </w:pPr>
            <w:r w:rsidRPr="00174A1C">
              <w:rPr>
                <w:rFonts w:eastAsia="Times New Roman"/>
              </w:rPr>
              <w:t>3.8-2.79</w:t>
            </w:r>
          </w:p>
        </w:tc>
        <w:tc>
          <w:tcPr>
            <w:tcW w:w="824" w:type="pct"/>
            <w:tcBorders>
              <w:top w:val="single" w:sz="4" w:space="0" w:color="auto"/>
              <w:bottom w:val="nil"/>
            </w:tcBorders>
            <w:shd w:val="clear" w:color="auto" w:fill="auto"/>
            <w:noWrap/>
            <w:hideMark/>
          </w:tcPr>
          <w:p w:rsidR="0091153D" w:rsidRPr="00174A1C" w:rsidRDefault="0091153D" w:rsidP="00174A1C">
            <w:pPr>
              <w:spacing w:before="0" w:after="0"/>
              <w:rPr>
                <w:rFonts w:eastAsia="Times New Roman"/>
              </w:rPr>
            </w:pPr>
            <w:r w:rsidRPr="00174A1C">
              <w:rPr>
                <w:rFonts w:eastAsia="Times New Roman"/>
              </w:rPr>
              <w:t>Very high</w:t>
            </w:r>
          </w:p>
        </w:tc>
        <w:tc>
          <w:tcPr>
            <w:tcW w:w="468" w:type="pct"/>
            <w:tcBorders>
              <w:top w:val="single" w:sz="4" w:space="0" w:color="auto"/>
              <w:bottom w:val="nil"/>
            </w:tcBorders>
            <w:shd w:val="clear" w:color="auto" w:fill="auto"/>
          </w:tcPr>
          <w:p w:rsidR="0091153D" w:rsidRPr="00174A1C" w:rsidRDefault="0091153D" w:rsidP="00174A1C">
            <w:pPr>
              <w:spacing w:before="0" w:after="0"/>
            </w:pPr>
            <w:r w:rsidRPr="00174A1C">
              <w:t>5</w:t>
            </w:r>
          </w:p>
        </w:tc>
        <w:tc>
          <w:tcPr>
            <w:tcW w:w="946" w:type="pct"/>
            <w:tcBorders>
              <w:top w:val="single" w:sz="4" w:space="0" w:color="auto"/>
              <w:bottom w:val="nil"/>
            </w:tcBorders>
            <w:shd w:val="clear" w:color="auto" w:fill="auto"/>
          </w:tcPr>
          <w:p w:rsidR="0091153D" w:rsidRPr="00174A1C" w:rsidRDefault="0091153D" w:rsidP="00174A1C">
            <w:pPr>
              <w:spacing w:before="0" w:after="0"/>
            </w:pPr>
            <w:r w:rsidRPr="00174A1C">
              <w:t>43</w:t>
            </w:r>
          </w:p>
        </w:tc>
        <w:tc>
          <w:tcPr>
            <w:tcW w:w="419" w:type="pct"/>
            <w:vMerge w:val="restart"/>
            <w:tcBorders>
              <w:top w:val="single" w:sz="4" w:space="0" w:color="auto"/>
              <w:bottom w:val="nil"/>
              <w:right w:val="nil"/>
            </w:tcBorders>
            <w:shd w:val="clear" w:color="auto" w:fill="auto"/>
          </w:tcPr>
          <w:p w:rsidR="0091153D" w:rsidRPr="00174A1C" w:rsidRDefault="0091153D" w:rsidP="00174A1C">
            <w:pPr>
              <w:spacing w:before="0" w:after="0"/>
              <w:jc w:val="left"/>
            </w:pPr>
            <w:r w:rsidRPr="00174A1C">
              <w:t>0.024</w:t>
            </w:r>
          </w:p>
        </w:tc>
      </w:tr>
      <w:tr w:rsidR="0091153D" w:rsidRPr="00174A1C" w:rsidTr="00096002">
        <w:trPr>
          <w:trHeight w:val="311"/>
        </w:trPr>
        <w:tc>
          <w:tcPr>
            <w:tcW w:w="842" w:type="pct"/>
            <w:vMerge/>
            <w:shd w:val="clear" w:color="auto" w:fill="auto"/>
          </w:tcPr>
          <w:p w:rsidR="0091153D" w:rsidRPr="00174A1C" w:rsidRDefault="0091153D" w:rsidP="00174A1C">
            <w:pPr>
              <w:spacing w:before="0" w:after="0"/>
              <w:rPr>
                <w:bCs/>
              </w:rPr>
            </w:pPr>
          </w:p>
        </w:tc>
        <w:tc>
          <w:tcPr>
            <w:tcW w:w="482" w:type="pct"/>
            <w:tcBorders>
              <w:top w:val="nil"/>
              <w:bottom w:val="nil"/>
            </w:tcBorders>
            <w:shd w:val="clear" w:color="auto" w:fill="auto"/>
          </w:tcPr>
          <w:p w:rsidR="0091153D" w:rsidRPr="00174A1C" w:rsidRDefault="0091153D" w:rsidP="00174A1C">
            <w:pPr>
              <w:spacing w:before="0" w:after="0"/>
              <w:rPr>
                <w:rFonts w:eastAsia="Times New Roman"/>
              </w:rPr>
            </w:pPr>
            <w:r w:rsidRPr="00174A1C">
              <w:rPr>
                <w:rFonts w:eastAsia="Times New Roman"/>
                <w:lang w:val="en-GB"/>
              </w:rPr>
              <w:t>2</w:t>
            </w:r>
          </w:p>
        </w:tc>
        <w:tc>
          <w:tcPr>
            <w:tcW w:w="1018" w:type="pct"/>
            <w:tcBorders>
              <w:top w:val="nil"/>
              <w:bottom w:val="nil"/>
            </w:tcBorders>
            <w:shd w:val="clear" w:color="auto" w:fill="auto"/>
            <w:noWrap/>
          </w:tcPr>
          <w:p w:rsidR="0091153D" w:rsidRPr="00174A1C" w:rsidRDefault="0091153D" w:rsidP="00174A1C">
            <w:pPr>
              <w:spacing w:before="0" w:after="0"/>
              <w:rPr>
                <w:rFonts w:eastAsia="Times New Roman"/>
              </w:rPr>
            </w:pPr>
            <w:r w:rsidRPr="00174A1C">
              <w:t xml:space="preserve">2.79-1.79 </w:t>
            </w:r>
          </w:p>
        </w:tc>
        <w:tc>
          <w:tcPr>
            <w:tcW w:w="824" w:type="pct"/>
            <w:tcBorders>
              <w:top w:val="nil"/>
              <w:bottom w:val="nil"/>
            </w:tcBorders>
            <w:shd w:val="clear" w:color="auto" w:fill="auto"/>
            <w:noWrap/>
            <w:hideMark/>
          </w:tcPr>
          <w:p w:rsidR="0091153D" w:rsidRPr="00174A1C" w:rsidRDefault="0091153D" w:rsidP="00174A1C">
            <w:pPr>
              <w:spacing w:before="0" w:after="0"/>
              <w:rPr>
                <w:rFonts w:eastAsia="Times New Roman"/>
              </w:rPr>
            </w:pPr>
            <w:r w:rsidRPr="00174A1C">
              <w:rPr>
                <w:rFonts w:eastAsia="Times New Roman"/>
                <w:lang w:val="en-GB"/>
              </w:rPr>
              <w:t>High</w:t>
            </w:r>
          </w:p>
        </w:tc>
        <w:tc>
          <w:tcPr>
            <w:tcW w:w="468" w:type="pct"/>
            <w:tcBorders>
              <w:top w:val="nil"/>
              <w:bottom w:val="nil"/>
            </w:tcBorders>
            <w:shd w:val="clear" w:color="auto" w:fill="auto"/>
          </w:tcPr>
          <w:p w:rsidR="0091153D" w:rsidRPr="00174A1C" w:rsidRDefault="0091153D" w:rsidP="00174A1C">
            <w:pPr>
              <w:spacing w:before="0" w:after="0"/>
            </w:pPr>
            <w:r w:rsidRPr="00174A1C">
              <w:t>4</w:t>
            </w:r>
          </w:p>
        </w:tc>
        <w:tc>
          <w:tcPr>
            <w:tcW w:w="946" w:type="pct"/>
            <w:tcBorders>
              <w:top w:val="nil"/>
              <w:bottom w:val="nil"/>
            </w:tcBorders>
            <w:shd w:val="clear" w:color="auto" w:fill="auto"/>
          </w:tcPr>
          <w:p w:rsidR="0091153D" w:rsidRPr="00174A1C" w:rsidRDefault="0091153D" w:rsidP="00174A1C">
            <w:pPr>
              <w:spacing w:before="0" w:after="0"/>
            </w:pPr>
            <w:r w:rsidRPr="00174A1C">
              <w:t>28</w:t>
            </w:r>
          </w:p>
        </w:tc>
        <w:tc>
          <w:tcPr>
            <w:tcW w:w="419" w:type="pct"/>
            <w:vMerge/>
            <w:tcBorders>
              <w:top w:val="nil"/>
              <w:bottom w:val="nil"/>
              <w:right w:val="nil"/>
            </w:tcBorders>
            <w:shd w:val="clear" w:color="auto" w:fill="auto"/>
          </w:tcPr>
          <w:p w:rsidR="0091153D" w:rsidRPr="00174A1C" w:rsidRDefault="0091153D" w:rsidP="00174A1C">
            <w:pPr>
              <w:spacing w:before="0" w:after="0"/>
            </w:pPr>
          </w:p>
        </w:tc>
      </w:tr>
      <w:tr w:rsidR="0091153D" w:rsidRPr="00174A1C" w:rsidTr="00096002">
        <w:trPr>
          <w:trHeight w:val="311"/>
        </w:trPr>
        <w:tc>
          <w:tcPr>
            <w:tcW w:w="842" w:type="pct"/>
            <w:vMerge/>
            <w:shd w:val="clear" w:color="auto" w:fill="auto"/>
          </w:tcPr>
          <w:p w:rsidR="0091153D" w:rsidRPr="00174A1C" w:rsidRDefault="0091153D" w:rsidP="00174A1C">
            <w:pPr>
              <w:spacing w:before="0" w:after="0"/>
              <w:rPr>
                <w:bCs/>
              </w:rPr>
            </w:pPr>
          </w:p>
        </w:tc>
        <w:tc>
          <w:tcPr>
            <w:tcW w:w="482" w:type="pct"/>
            <w:tcBorders>
              <w:top w:val="nil"/>
              <w:bottom w:val="nil"/>
            </w:tcBorders>
            <w:shd w:val="clear" w:color="auto" w:fill="auto"/>
          </w:tcPr>
          <w:p w:rsidR="0091153D" w:rsidRPr="00174A1C" w:rsidRDefault="0091153D" w:rsidP="00174A1C">
            <w:pPr>
              <w:spacing w:before="0" w:after="0"/>
              <w:rPr>
                <w:rFonts w:eastAsia="Times New Roman"/>
              </w:rPr>
            </w:pPr>
            <w:r w:rsidRPr="00174A1C">
              <w:rPr>
                <w:rFonts w:eastAsia="Times New Roman"/>
                <w:lang w:val="en-GB"/>
              </w:rPr>
              <w:t>3</w:t>
            </w:r>
          </w:p>
        </w:tc>
        <w:tc>
          <w:tcPr>
            <w:tcW w:w="1018" w:type="pct"/>
            <w:tcBorders>
              <w:top w:val="nil"/>
              <w:bottom w:val="nil"/>
            </w:tcBorders>
            <w:shd w:val="clear" w:color="auto" w:fill="auto"/>
            <w:noWrap/>
          </w:tcPr>
          <w:p w:rsidR="0091153D" w:rsidRPr="00174A1C" w:rsidRDefault="0091153D" w:rsidP="00174A1C">
            <w:pPr>
              <w:spacing w:before="0" w:after="0"/>
              <w:rPr>
                <w:rFonts w:eastAsia="Times New Roman"/>
              </w:rPr>
            </w:pPr>
            <w:r w:rsidRPr="00174A1C">
              <w:t>1.79-0.79</w:t>
            </w:r>
          </w:p>
        </w:tc>
        <w:tc>
          <w:tcPr>
            <w:tcW w:w="824" w:type="pct"/>
            <w:tcBorders>
              <w:top w:val="nil"/>
              <w:bottom w:val="nil"/>
            </w:tcBorders>
            <w:shd w:val="clear" w:color="auto" w:fill="auto"/>
            <w:noWrap/>
            <w:hideMark/>
          </w:tcPr>
          <w:p w:rsidR="0091153D" w:rsidRPr="00174A1C" w:rsidRDefault="0091153D" w:rsidP="00174A1C">
            <w:pPr>
              <w:spacing w:before="0" w:after="0"/>
              <w:rPr>
                <w:rFonts w:eastAsia="Times New Roman"/>
              </w:rPr>
            </w:pPr>
            <w:r w:rsidRPr="00174A1C">
              <w:rPr>
                <w:rFonts w:eastAsia="Times New Roman"/>
                <w:lang w:val="en-GB"/>
              </w:rPr>
              <w:t>Moderate</w:t>
            </w:r>
          </w:p>
        </w:tc>
        <w:tc>
          <w:tcPr>
            <w:tcW w:w="468" w:type="pct"/>
            <w:tcBorders>
              <w:top w:val="nil"/>
              <w:bottom w:val="nil"/>
            </w:tcBorders>
            <w:shd w:val="clear" w:color="auto" w:fill="auto"/>
          </w:tcPr>
          <w:p w:rsidR="0091153D" w:rsidRPr="00174A1C" w:rsidRDefault="0091153D" w:rsidP="00174A1C">
            <w:pPr>
              <w:spacing w:before="0" w:after="0"/>
            </w:pPr>
            <w:r w:rsidRPr="00174A1C">
              <w:t>3</w:t>
            </w:r>
          </w:p>
        </w:tc>
        <w:tc>
          <w:tcPr>
            <w:tcW w:w="946" w:type="pct"/>
            <w:tcBorders>
              <w:top w:val="nil"/>
              <w:bottom w:val="nil"/>
            </w:tcBorders>
            <w:shd w:val="clear" w:color="auto" w:fill="auto"/>
          </w:tcPr>
          <w:p w:rsidR="0091153D" w:rsidRPr="00174A1C" w:rsidRDefault="0091153D" w:rsidP="00174A1C">
            <w:pPr>
              <w:spacing w:before="0" w:after="0"/>
            </w:pPr>
            <w:r w:rsidRPr="00174A1C">
              <w:t>17</w:t>
            </w:r>
          </w:p>
        </w:tc>
        <w:tc>
          <w:tcPr>
            <w:tcW w:w="419" w:type="pct"/>
            <w:vMerge/>
            <w:tcBorders>
              <w:top w:val="nil"/>
              <w:bottom w:val="nil"/>
              <w:right w:val="nil"/>
            </w:tcBorders>
            <w:shd w:val="clear" w:color="auto" w:fill="auto"/>
          </w:tcPr>
          <w:p w:rsidR="0091153D" w:rsidRPr="00174A1C" w:rsidRDefault="0091153D" w:rsidP="00174A1C">
            <w:pPr>
              <w:spacing w:before="0" w:after="0"/>
            </w:pPr>
          </w:p>
        </w:tc>
      </w:tr>
      <w:tr w:rsidR="0091153D" w:rsidRPr="00174A1C" w:rsidTr="00096002">
        <w:trPr>
          <w:trHeight w:val="311"/>
        </w:trPr>
        <w:tc>
          <w:tcPr>
            <w:tcW w:w="842" w:type="pct"/>
            <w:vMerge/>
            <w:shd w:val="clear" w:color="auto" w:fill="auto"/>
          </w:tcPr>
          <w:p w:rsidR="0091153D" w:rsidRPr="00174A1C" w:rsidRDefault="0091153D" w:rsidP="00174A1C">
            <w:pPr>
              <w:spacing w:before="0" w:after="0"/>
              <w:rPr>
                <w:bCs/>
              </w:rPr>
            </w:pPr>
          </w:p>
        </w:tc>
        <w:tc>
          <w:tcPr>
            <w:tcW w:w="482" w:type="pct"/>
            <w:tcBorders>
              <w:top w:val="nil"/>
              <w:bottom w:val="nil"/>
            </w:tcBorders>
            <w:shd w:val="clear" w:color="auto" w:fill="auto"/>
          </w:tcPr>
          <w:p w:rsidR="0091153D" w:rsidRPr="00174A1C" w:rsidRDefault="0091153D" w:rsidP="00174A1C">
            <w:pPr>
              <w:spacing w:before="0" w:after="0"/>
              <w:rPr>
                <w:rFonts w:eastAsia="Times New Roman"/>
              </w:rPr>
            </w:pPr>
            <w:r w:rsidRPr="00174A1C">
              <w:rPr>
                <w:rFonts w:eastAsia="Times New Roman"/>
                <w:lang w:val="en-GB"/>
              </w:rPr>
              <w:t>4</w:t>
            </w:r>
          </w:p>
        </w:tc>
        <w:tc>
          <w:tcPr>
            <w:tcW w:w="1018" w:type="pct"/>
            <w:tcBorders>
              <w:top w:val="nil"/>
              <w:bottom w:val="nil"/>
            </w:tcBorders>
            <w:shd w:val="clear" w:color="auto" w:fill="auto"/>
            <w:noWrap/>
          </w:tcPr>
          <w:p w:rsidR="0091153D" w:rsidRPr="00174A1C" w:rsidRDefault="0091153D" w:rsidP="00174A1C">
            <w:pPr>
              <w:spacing w:before="0" w:after="0"/>
              <w:rPr>
                <w:rFonts w:eastAsia="Times New Roman"/>
              </w:rPr>
            </w:pPr>
            <w:r w:rsidRPr="00174A1C">
              <w:t>0.79-0.28</w:t>
            </w:r>
          </w:p>
        </w:tc>
        <w:tc>
          <w:tcPr>
            <w:tcW w:w="824" w:type="pct"/>
            <w:tcBorders>
              <w:top w:val="nil"/>
              <w:bottom w:val="nil"/>
            </w:tcBorders>
            <w:shd w:val="clear" w:color="auto" w:fill="auto"/>
            <w:noWrap/>
            <w:hideMark/>
          </w:tcPr>
          <w:p w:rsidR="0091153D" w:rsidRPr="00174A1C" w:rsidRDefault="0091153D" w:rsidP="00174A1C">
            <w:pPr>
              <w:spacing w:before="0" w:after="0"/>
              <w:rPr>
                <w:rFonts w:eastAsia="Times New Roman"/>
              </w:rPr>
            </w:pPr>
            <w:r w:rsidRPr="00174A1C">
              <w:rPr>
                <w:rFonts w:eastAsia="Times New Roman"/>
                <w:lang w:val="en-GB"/>
              </w:rPr>
              <w:t>Low</w:t>
            </w:r>
          </w:p>
        </w:tc>
        <w:tc>
          <w:tcPr>
            <w:tcW w:w="468" w:type="pct"/>
            <w:tcBorders>
              <w:top w:val="nil"/>
              <w:bottom w:val="nil"/>
            </w:tcBorders>
            <w:shd w:val="clear" w:color="auto" w:fill="auto"/>
          </w:tcPr>
          <w:p w:rsidR="0091153D" w:rsidRPr="00174A1C" w:rsidRDefault="0091153D" w:rsidP="00174A1C">
            <w:pPr>
              <w:spacing w:before="0" w:after="0"/>
            </w:pPr>
            <w:r w:rsidRPr="00174A1C">
              <w:t>2</w:t>
            </w:r>
          </w:p>
        </w:tc>
        <w:tc>
          <w:tcPr>
            <w:tcW w:w="946" w:type="pct"/>
            <w:tcBorders>
              <w:top w:val="nil"/>
              <w:bottom w:val="nil"/>
            </w:tcBorders>
            <w:shd w:val="clear" w:color="auto" w:fill="auto"/>
          </w:tcPr>
          <w:p w:rsidR="0091153D" w:rsidRPr="00174A1C" w:rsidRDefault="0091153D" w:rsidP="00174A1C">
            <w:pPr>
              <w:spacing w:before="0" w:after="0"/>
            </w:pPr>
            <w:r w:rsidRPr="00174A1C">
              <w:t>8</w:t>
            </w:r>
          </w:p>
        </w:tc>
        <w:tc>
          <w:tcPr>
            <w:tcW w:w="419" w:type="pct"/>
            <w:vMerge/>
            <w:tcBorders>
              <w:top w:val="nil"/>
              <w:bottom w:val="nil"/>
              <w:right w:val="nil"/>
            </w:tcBorders>
            <w:shd w:val="clear" w:color="auto" w:fill="auto"/>
          </w:tcPr>
          <w:p w:rsidR="0091153D" w:rsidRPr="00174A1C" w:rsidRDefault="0091153D" w:rsidP="00174A1C">
            <w:pPr>
              <w:spacing w:before="0" w:after="0"/>
            </w:pPr>
          </w:p>
        </w:tc>
      </w:tr>
      <w:tr w:rsidR="0091153D" w:rsidRPr="00174A1C" w:rsidTr="00096002">
        <w:trPr>
          <w:trHeight w:val="311"/>
        </w:trPr>
        <w:tc>
          <w:tcPr>
            <w:tcW w:w="842" w:type="pct"/>
            <w:vMerge/>
            <w:tcBorders>
              <w:bottom w:val="single" w:sz="4" w:space="0" w:color="auto"/>
            </w:tcBorders>
            <w:shd w:val="clear" w:color="auto" w:fill="auto"/>
          </w:tcPr>
          <w:p w:rsidR="0091153D" w:rsidRPr="00174A1C" w:rsidRDefault="0091153D" w:rsidP="00174A1C">
            <w:pPr>
              <w:spacing w:before="0" w:after="0"/>
              <w:rPr>
                <w:bCs/>
              </w:rPr>
            </w:pPr>
          </w:p>
        </w:tc>
        <w:tc>
          <w:tcPr>
            <w:tcW w:w="482" w:type="pct"/>
            <w:tcBorders>
              <w:top w:val="nil"/>
              <w:bottom w:val="single" w:sz="4" w:space="0" w:color="auto"/>
            </w:tcBorders>
            <w:shd w:val="clear" w:color="auto" w:fill="auto"/>
          </w:tcPr>
          <w:p w:rsidR="0091153D" w:rsidRPr="00174A1C" w:rsidRDefault="0091153D" w:rsidP="00174A1C">
            <w:pPr>
              <w:spacing w:before="0" w:after="0"/>
              <w:rPr>
                <w:rFonts w:eastAsia="Times New Roman"/>
              </w:rPr>
            </w:pPr>
            <w:r w:rsidRPr="00174A1C">
              <w:rPr>
                <w:rFonts w:eastAsia="Times New Roman"/>
              </w:rPr>
              <w:t>5</w:t>
            </w:r>
          </w:p>
        </w:tc>
        <w:tc>
          <w:tcPr>
            <w:tcW w:w="1018" w:type="pct"/>
            <w:tcBorders>
              <w:top w:val="nil"/>
              <w:bottom w:val="single" w:sz="4" w:space="0" w:color="auto"/>
            </w:tcBorders>
            <w:shd w:val="clear" w:color="auto" w:fill="auto"/>
            <w:noWrap/>
          </w:tcPr>
          <w:p w:rsidR="0091153D" w:rsidRPr="00174A1C" w:rsidRDefault="0091153D" w:rsidP="00174A1C">
            <w:pPr>
              <w:spacing w:before="0" w:after="0"/>
              <w:rPr>
                <w:rFonts w:eastAsia="Times New Roman"/>
              </w:rPr>
            </w:pPr>
            <w:r w:rsidRPr="00174A1C">
              <w:t>0.28-0</w:t>
            </w:r>
          </w:p>
        </w:tc>
        <w:tc>
          <w:tcPr>
            <w:tcW w:w="824" w:type="pct"/>
            <w:tcBorders>
              <w:top w:val="nil"/>
              <w:bottom w:val="single" w:sz="4" w:space="0" w:color="auto"/>
            </w:tcBorders>
            <w:shd w:val="clear" w:color="auto" w:fill="auto"/>
            <w:noWrap/>
            <w:hideMark/>
          </w:tcPr>
          <w:p w:rsidR="0091153D" w:rsidRPr="00174A1C" w:rsidRDefault="0091153D" w:rsidP="00174A1C">
            <w:pPr>
              <w:spacing w:before="0" w:after="0"/>
              <w:rPr>
                <w:rFonts w:eastAsia="Times New Roman"/>
              </w:rPr>
            </w:pPr>
            <w:r w:rsidRPr="00174A1C">
              <w:rPr>
                <w:rFonts w:eastAsia="Times New Roman"/>
                <w:lang w:val="en-GB"/>
              </w:rPr>
              <w:t>Very low</w:t>
            </w:r>
          </w:p>
        </w:tc>
        <w:tc>
          <w:tcPr>
            <w:tcW w:w="468" w:type="pct"/>
            <w:tcBorders>
              <w:top w:val="nil"/>
              <w:bottom w:val="single" w:sz="4" w:space="0" w:color="auto"/>
            </w:tcBorders>
            <w:shd w:val="clear" w:color="auto" w:fill="auto"/>
          </w:tcPr>
          <w:p w:rsidR="0091153D" w:rsidRPr="00174A1C" w:rsidRDefault="0091153D" w:rsidP="00174A1C">
            <w:pPr>
              <w:spacing w:before="0" w:after="0"/>
            </w:pPr>
            <w:r w:rsidRPr="00174A1C">
              <w:t>1</w:t>
            </w:r>
          </w:p>
        </w:tc>
        <w:tc>
          <w:tcPr>
            <w:tcW w:w="946" w:type="pct"/>
            <w:tcBorders>
              <w:top w:val="nil"/>
              <w:bottom w:val="single" w:sz="4" w:space="0" w:color="auto"/>
            </w:tcBorders>
            <w:shd w:val="clear" w:color="auto" w:fill="auto"/>
          </w:tcPr>
          <w:p w:rsidR="0091153D" w:rsidRPr="00174A1C" w:rsidRDefault="0091153D" w:rsidP="00174A1C">
            <w:pPr>
              <w:spacing w:before="0" w:after="0"/>
            </w:pPr>
            <w:r w:rsidRPr="00174A1C">
              <w:t>4</w:t>
            </w:r>
          </w:p>
        </w:tc>
        <w:tc>
          <w:tcPr>
            <w:tcW w:w="419" w:type="pct"/>
            <w:vMerge/>
            <w:tcBorders>
              <w:top w:val="nil"/>
              <w:bottom w:val="single" w:sz="4" w:space="0" w:color="auto"/>
              <w:right w:val="nil"/>
            </w:tcBorders>
            <w:shd w:val="clear" w:color="auto" w:fill="auto"/>
          </w:tcPr>
          <w:p w:rsidR="0091153D" w:rsidRPr="00174A1C" w:rsidRDefault="0091153D" w:rsidP="00174A1C">
            <w:pPr>
              <w:spacing w:before="0" w:after="0"/>
            </w:pPr>
          </w:p>
        </w:tc>
      </w:tr>
    </w:tbl>
    <w:bookmarkEnd w:id="175"/>
    <w:p w:rsidR="0091153D" w:rsidRPr="00174A1C" w:rsidRDefault="00B30AFC" w:rsidP="00174A1C">
      <w:r>
        <w:t xml:space="preserve">* </w:t>
      </w:r>
      <w:r w:rsidR="0091153D" w:rsidRPr="00174A1C">
        <w:rPr>
          <w:rStyle w:val="FootnoteReference"/>
        </w:rPr>
        <w:fldChar w:fldCharType="begin" w:fldLock="1"/>
      </w:r>
      <w:r w:rsidR="00A309A8">
        <w:instrText>ADDIN CSL_CITATION {"citationItems":[{"id":"ITEM-1","itemData":{"author":[{"dropping-particle":"","family":"Behzad","given":"Hamid M.","non-dropping-particle":"","parse-names":false,"suffix":""},{"dropping-particle":"","family":"Charchi","given":"Abbas","non-dropping-particle":"","parse-names":false,"suffix":""},{"dropping-particle":"","family":"Kalantari","given":"Nasrolah","non-dropping-particle":"","parse-names":false,"suffix":""},{"dropping-particle":"","family":"Vadanjani","given":"Hossein Karimi","non-dropping-particle":"","parse-names":false,"suffix":""}],"container-title":"Carbonates and Evaporites","id":"ITEM-1","issue":"2","issued":{"date-parts":[["2017"]]},"title":"Delineation of groundwater potential zones using remote sensing (RS), geographical information system (GIS) and analytic hierarchy process (AHP) techniques: a case study in the Leylia–Keynow watershed, southwest of Iran","type":"article-journal","volume":"7"},"uris":["http://www.mendeley.com/documents/?uuid=e3fb4327-9f62-4633-aa24-9c41d5d64459","http://www.mendeley.com/documents/?uuid=22296d5a-0699-4fe6-b39e-e43e3e8e7846"]},{"id":"ITEM-2","itemData":{"author":[{"dropping-particle":"","family":"Lemecha","given":"Gezahegn","non-dropping-particle":"","parse-names":false,"suffix":""}],"id":"ITEM-2","issued":{"date-parts":[["2007"]]},"number-of-pages":"1-86","publisher":"Addis Abeba University","title":"Delineation of groundwater potential zones of Upper Tumet Catchment, Menge Area, Western Ethiopia Using Remote Sensing and GIS","type":"thesis"},"uris":["http://www.mendeley.com/documents/?uuid=1b5e709a-39ed-4f7d-80c7-c1cbbcc5381f","http://www.mendeley.com/documents/?uuid=7047ed10-9882-4fab-8df4-a92aac27a5a9"]},{"id":"ITEM-3","itemData":{"author":[{"dropping-particle":"","family":"Waikar","given":"M L","non-dropping-particle":"","parse-names":false,"suffix":""},{"dropping-particle":"","family":"Nilawar","given":"Aditya P","non-dropping-particle":"","parse-names":false,"suffix":""}],"id":"ITEM-3","issue":"5","issued":{"date-parts":[["2014"]]},"page":"12163-12174","title":"Identification of Groundwater Potential Zone using Remote Sensing and GIS Technique","type":"article-journal","volume":"3"},"uris":["http://www.mendeley.com/documents/?uuid=51c5ad64-5f50-46bb-a9dd-8718cab47c42"]}],"mendeley":{"formattedCitation":"(Behzad et al., 2017; Lemecha, 2007; Waikar &amp; Nilawar, 2014)","manualFormatting":"(Behzad et al., 2017; Lemecha, 2007; Waikar and Nilawar, 2014)","plainTextFormattedCitation":"(Behzad et al., 2017; Lemecha, 2007; Waikar &amp; Nilawar, 2014)","previouslyFormattedCitation":"(Behzad et al., 2017; Lemecha, 2007; Waikar &amp; Nilawar, 2014)"},"properties":{"noteIndex":0},"schema":"https://github.com/citation-style-language/schema/raw/master/csl-citation.json"}</w:instrText>
      </w:r>
      <w:r w:rsidR="0091153D" w:rsidRPr="00174A1C">
        <w:rPr>
          <w:rStyle w:val="FootnoteReference"/>
        </w:rPr>
        <w:fldChar w:fldCharType="separate"/>
      </w:r>
      <w:r w:rsidR="0091153D" w:rsidRPr="00174A1C">
        <w:rPr>
          <w:noProof/>
        </w:rPr>
        <w:t>(Behzad et al., 2017; Lemecha, 2007; Waikar and Nilawar, 2014)</w:t>
      </w:r>
      <w:r w:rsidR="0091153D" w:rsidRPr="00174A1C">
        <w:rPr>
          <w:rStyle w:val="FootnoteReference"/>
        </w:rPr>
        <w:fldChar w:fldCharType="end"/>
      </w:r>
    </w:p>
    <w:p w:rsidR="00602E62" w:rsidRPr="001465FE" w:rsidRDefault="000D34CE" w:rsidP="00174A1C">
      <w:r w:rsidRPr="00174A1C">
        <w:t xml:space="preserve">Similarly, the </w:t>
      </w:r>
      <w:r w:rsidR="00897865" w:rsidRPr="00174A1C">
        <w:t>drainage line and major lineaments are almost following the same pattern. This suggests that the direction of aquifers mostly tends to be aligned with s</w:t>
      </w:r>
      <w:r w:rsidR="00446A0E" w:rsidRPr="00174A1C">
        <w:t>urface water</w:t>
      </w:r>
      <w:r w:rsidR="00446A0E">
        <w:t xml:space="preserve"> bodies (Figure 4.6</w:t>
      </w:r>
      <w:r w:rsidR="00897865" w:rsidRPr="00456014">
        <w:t xml:space="preserve">) </w:t>
      </w:r>
      <w:r w:rsidR="005267EA" w:rsidRPr="00456014">
        <w:fldChar w:fldCharType="begin" w:fldLock="1"/>
      </w:r>
      <w:r w:rsidR="00A309A8">
        <w:instrText>ADDIN CSL_CITATION {"citationItems":[{"id":"ITEM-1","itemData":{"author":[{"dropping-particle":"","family":"Banti","given":"Bane Lammesa","non-dropping-particle":"","parse-names":false,"suffix":""}],"id":"ITEM-1","issued":{"date-parts":[["2017"]]},"number-of-pages":"1-66","publisher":"Addis Ababa University","title":"Groundwater potential and Recharge zone mapping by using GIS and Remote sensing Techniques in the case of Middle Awash River Basins, Ethiopia","type":"thesis"},"uris":["http://www.mendeley.com/documents/?uuid=85aca65d-bd3b-40c0-b3a3-985d9655a5bf","http://www.mendeley.com/documents/?uuid=ea6e7cb4-9f80-466b-b132-58c638a0accb"]}],"mendeley":{"formattedCitation":"(Banti, 2017)","plainTextFormattedCitation":"(Banti, 2017)","previouslyFormattedCitation":"(Banti, 2017)"},"properties":{"noteIndex":0},"schema":"https://github.com/citation-style-language/schema/raw/master/csl-citation.json"}</w:instrText>
      </w:r>
      <w:r w:rsidR="005267EA" w:rsidRPr="00456014">
        <w:fldChar w:fldCharType="separate"/>
      </w:r>
      <w:r w:rsidR="005267EA" w:rsidRPr="00456014">
        <w:rPr>
          <w:noProof/>
        </w:rPr>
        <w:t>(Banti, 2017)</w:t>
      </w:r>
      <w:r w:rsidR="005267EA" w:rsidRPr="00456014">
        <w:fldChar w:fldCharType="end"/>
      </w:r>
      <w:r w:rsidR="005267EA" w:rsidRPr="00456014">
        <w:t xml:space="preserve">. </w:t>
      </w:r>
      <w:r w:rsidR="00897865" w:rsidRPr="00456014">
        <w:t xml:space="preserve">The major tributaries of Weyib River (e.g. Shaya and Togona River) follow </w:t>
      </w:r>
      <w:r w:rsidR="00F20027" w:rsidRPr="00456014">
        <w:t xml:space="preserve">the </w:t>
      </w:r>
      <w:r w:rsidR="004C74F0">
        <w:t>NW</w:t>
      </w:r>
      <w:r w:rsidR="0060006D">
        <w:t>-</w:t>
      </w:r>
      <w:r w:rsidR="004C74F0">
        <w:t>SE</w:t>
      </w:r>
      <w:r w:rsidR="00897865" w:rsidRPr="00456014">
        <w:t xml:space="preserve"> trend. In the mapped area all trending ele</w:t>
      </w:r>
      <w:r w:rsidR="0060006D">
        <w:t xml:space="preserve">ments never cross the </w:t>
      </w:r>
      <w:r w:rsidR="0095655A">
        <w:t>NE</w:t>
      </w:r>
      <w:r w:rsidR="00F20027" w:rsidRPr="00456014">
        <w:t>-</w:t>
      </w:r>
      <w:r w:rsidR="0095655A">
        <w:t>SE</w:t>
      </w:r>
      <w:r w:rsidR="00897865" w:rsidRPr="00456014">
        <w:t xml:space="preserve"> trending lin</w:t>
      </w:r>
      <w:r w:rsidR="0095655A">
        <w:t xml:space="preserve">e of Weyib River. </w:t>
      </w:r>
      <w:r w:rsidR="00897865" w:rsidRPr="00456014">
        <w:t xml:space="preserve">Thus, the NW trending lineaments control the flow direction of Rivers in the area. </w:t>
      </w:r>
    </w:p>
    <w:p w:rsidR="00100BD1" w:rsidRPr="00100BD1" w:rsidRDefault="00100BD1" w:rsidP="00174A1C">
      <w:pPr>
        <w:jc w:val="center"/>
      </w:pPr>
      <w:r>
        <w:rPr>
          <w:noProof/>
        </w:rPr>
        <mc:AlternateContent>
          <mc:Choice Requires="wps">
            <w:drawing>
              <wp:anchor distT="0" distB="0" distL="114300" distR="114300" simplePos="0" relativeHeight="251654144" behindDoc="0" locked="0" layoutInCell="1" allowOverlap="1" wp14:anchorId="10CC90AA" wp14:editId="12D69510">
                <wp:simplePos x="0" y="0"/>
                <wp:positionH relativeFrom="column">
                  <wp:posOffset>4171875</wp:posOffset>
                </wp:positionH>
                <wp:positionV relativeFrom="paragraph">
                  <wp:posOffset>346710</wp:posOffset>
                </wp:positionV>
                <wp:extent cx="1065116" cy="1001864"/>
                <wp:effectExtent l="0" t="0" r="1905" b="8255"/>
                <wp:wrapNone/>
                <wp:docPr id="41" name="Text Box 41"/>
                <wp:cNvGraphicFramePr/>
                <a:graphic xmlns:a="http://schemas.openxmlformats.org/drawingml/2006/main">
                  <a:graphicData uri="http://schemas.microsoft.com/office/word/2010/wordprocessingShape">
                    <wps:wsp>
                      <wps:cNvSpPr txBox="1"/>
                      <wps:spPr>
                        <a:xfrm>
                          <a:off x="0" y="0"/>
                          <a:ext cx="1065116" cy="1001864"/>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B24F7C" w:rsidRDefault="00B24F7C">
                            <w:r w:rsidRPr="00466884">
                              <w:rPr>
                                <w:noProof/>
                              </w:rPr>
                              <w:drawing>
                                <wp:inline distT="0" distB="0" distL="0" distR="0" wp14:anchorId="51B00E4C" wp14:editId="6A214835">
                                  <wp:extent cx="901065" cy="100965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955486" cy="1070629"/>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0CC90AA" id="Text Box 41" o:spid="_x0000_s1153" type="#_x0000_t202" style="position:absolute;left:0;text-align:left;margin-left:328.5pt;margin-top:27.3pt;width:83.85pt;height:78.9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" fillcolor="white [3201]" stroked="f" strokeweight=".5pt">
                <v:textbox>
                  <w:txbxContent>
                    <w:p w:rsidR="00B24F7C" w:rsidRDefault="00B24F7C">
                      <w:r w:rsidRPr="00466884">
                        <w:rPr>
                          <w:noProof/>
                        </w:rPr>
                        <w:drawing>
                          <wp:inline distT="0" distB="0" distL="0" distR="0" wp14:anchorId="51B00E4C" wp14:editId="6A214835">
                            <wp:extent cx="901065" cy="100965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955486" cy="1070629"/>
                                    </a:xfrm>
                                    <a:prstGeom prst="rect">
                                      <a:avLst/>
                                    </a:prstGeom>
                                    <a:noFill/>
                                    <a:ln>
                                      <a:noFill/>
                                    </a:ln>
                                  </pic:spPr>
                                </pic:pic>
                              </a:graphicData>
                            </a:graphic>
                          </wp:inline>
                        </w:drawing>
                      </w:r>
                    </w:p>
                  </w:txbxContent>
                </v:textbox>
              </v:shape>
            </w:pict>
          </mc:Fallback>
        </mc:AlternateContent>
      </w:r>
      <w:r w:rsidRPr="00100BD1">
        <w:rPr>
          <w:noProof/>
        </w:rPr>
        <w:drawing>
          <wp:inline distT="0" distB="0" distL="0" distR="0" wp14:anchorId="4D214F58" wp14:editId="11EDB638">
            <wp:extent cx="5325252" cy="3765177"/>
            <wp:effectExtent l="19050" t="19050" r="27940" b="26035"/>
            <wp:docPr id="39" name="Picture 39" descr="C:\Users\Abdul Gafar\Desktop\Report_MXD_JPEG\Drainge_Linmnt\Mjr_Lnm_Net_FNL1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bdul Gafar\Desktop\Report_MXD_JPEG\Drainge_Linmnt\Mjr_Lnm_Net_FNL11.bmp"/>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350374" cy="3782939"/>
                    </a:xfrm>
                    <a:prstGeom prst="rect">
                      <a:avLst/>
                    </a:prstGeom>
                    <a:noFill/>
                    <a:ln w="12700">
                      <a:solidFill>
                        <a:schemeClr val="tx1"/>
                      </a:solidFill>
                    </a:ln>
                  </pic:spPr>
                </pic:pic>
              </a:graphicData>
            </a:graphic>
          </wp:inline>
        </w:drawing>
      </w:r>
    </w:p>
    <w:p w:rsidR="00E42C14" w:rsidRDefault="00C267B4" w:rsidP="00174A1C">
      <w:pPr>
        <w:pStyle w:val="Caption"/>
        <w:spacing w:before="120" w:after="120" w:line="360" w:lineRule="auto"/>
        <w:rPr>
          <w:i w:val="0"/>
          <w:iCs w:val="0"/>
          <w:color w:val="auto"/>
          <w:sz w:val="24"/>
          <w:szCs w:val="24"/>
        </w:rPr>
      </w:pPr>
      <w:bookmarkStart w:id="176" w:name="_Toc68761624"/>
      <w:r w:rsidRPr="00456014">
        <w:rPr>
          <w:i w:val="0"/>
          <w:iCs w:val="0"/>
          <w:color w:val="auto"/>
          <w:sz w:val="24"/>
          <w:szCs w:val="24"/>
        </w:rPr>
        <w:t>Figure</w:t>
      </w:r>
      <w:r w:rsidR="00594EC4" w:rsidRPr="00456014">
        <w:rPr>
          <w:i w:val="0"/>
          <w:iCs w:val="0"/>
          <w:color w:val="auto"/>
          <w:sz w:val="24"/>
          <w:szCs w:val="24"/>
        </w:rPr>
        <w:t xml:space="preserve"> </w:t>
      </w:r>
      <w:r w:rsidR="001342E5">
        <w:rPr>
          <w:i w:val="0"/>
          <w:iCs w:val="0"/>
          <w:color w:val="auto"/>
          <w:sz w:val="24"/>
          <w:szCs w:val="24"/>
        </w:rPr>
        <w:fldChar w:fldCharType="begin"/>
      </w:r>
      <w:r w:rsidR="001342E5">
        <w:rPr>
          <w:i w:val="0"/>
          <w:iCs w:val="0"/>
          <w:color w:val="auto"/>
          <w:sz w:val="24"/>
          <w:szCs w:val="24"/>
        </w:rPr>
        <w:instrText xml:space="preserve"> STYLEREF 1 \s </w:instrText>
      </w:r>
      <w:r w:rsidR="001342E5">
        <w:rPr>
          <w:i w:val="0"/>
          <w:iCs w:val="0"/>
          <w:color w:val="auto"/>
          <w:sz w:val="24"/>
          <w:szCs w:val="24"/>
        </w:rPr>
        <w:fldChar w:fldCharType="separate"/>
      </w:r>
      <w:r w:rsidR="00BD510E">
        <w:rPr>
          <w:i w:val="0"/>
          <w:iCs w:val="0"/>
          <w:noProof/>
          <w:color w:val="auto"/>
          <w:sz w:val="24"/>
          <w:szCs w:val="24"/>
        </w:rPr>
        <w:t>4</w:t>
      </w:r>
      <w:r w:rsidR="001342E5">
        <w:rPr>
          <w:i w:val="0"/>
          <w:iCs w:val="0"/>
          <w:color w:val="auto"/>
          <w:sz w:val="24"/>
          <w:szCs w:val="24"/>
        </w:rPr>
        <w:fldChar w:fldCharType="end"/>
      </w:r>
      <w:r w:rsidR="001342E5">
        <w:rPr>
          <w:i w:val="0"/>
          <w:iCs w:val="0"/>
          <w:color w:val="auto"/>
          <w:sz w:val="24"/>
          <w:szCs w:val="24"/>
        </w:rPr>
        <w:t>.</w:t>
      </w:r>
      <w:r w:rsidR="001342E5">
        <w:rPr>
          <w:i w:val="0"/>
          <w:iCs w:val="0"/>
          <w:color w:val="auto"/>
          <w:sz w:val="24"/>
          <w:szCs w:val="24"/>
        </w:rPr>
        <w:fldChar w:fldCharType="begin"/>
      </w:r>
      <w:r w:rsidR="001342E5">
        <w:rPr>
          <w:i w:val="0"/>
          <w:iCs w:val="0"/>
          <w:color w:val="auto"/>
          <w:sz w:val="24"/>
          <w:szCs w:val="24"/>
        </w:rPr>
        <w:instrText xml:space="preserve"> SEQ Figure \* ARABIC \s 1 </w:instrText>
      </w:r>
      <w:r w:rsidR="001342E5">
        <w:rPr>
          <w:i w:val="0"/>
          <w:iCs w:val="0"/>
          <w:color w:val="auto"/>
          <w:sz w:val="24"/>
          <w:szCs w:val="24"/>
        </w:rPr>
        <w:fldChar w:fldCharType="separate"/>
      </w:r>
      <w:r w:rsidR="00BD510E">
        <w:rPr>
          <w:i w:val="0"/>
          <w:iCs w:val="0"/>
          <w:noProof/>
          <w:color w:val="auto"/>
          <w:sz w:val="24"/>
          <w:szCs w:val="24"/>
        </w:rPr>
        <w:t>6</w:t>
      </w:r>
      <w:r w:rsidR="001342E5">
        <w:rPr>
          <w:i w:val="0"/>
          <w:iCs w:val="0"/>
          <w:color w:val="auto"/>
          <w:sz w:val="24"/>
          <w:szCs w:val="24"/>
        </w:rPr>
        <w:fldChar w:fldCharType="end"/>
      </w:r>
      <w:r w:rsidR="00594EC4" w:rsidRPr="00456014">
        <w:rPr>
          <w:i w:val="0"/>
          <w:iCs w:val="0"/>
          <w:color w:val="auto"/>
          <w:sz w:val="24"/>
          <w:szCs w:val="24"/>
        </w:rPr>
        <w:t xml:space="preserve">: </w:t>
      </w:r>
      <w:r w:rsidR="00594EC4" w:rsidRPr="00F31FC4">
        <w:rPr>
          <w:i w:val="0"/>
          <w:iCs w:val="0"/>
          <w:color w:val="auto"/>
          <w:sz w:val="24"/>
          <w:szCs w:val="24"/>
        </w:rPr>
        <w:t>Major lineament superimpos</w:t>
      </w:r>
      <w:r w:rsidR="00A017B8" w:rsidRPr="00F31FC4">
        <w:rPr>
          <w:i w:val="0"/>
          <w:iCs w:val="0"/>
          <w:color w:val="auto"/>
          <w:sz w:val="24"/>
          <w:szCs w:val="24"/>
        </w:rPr>
        <w:t>ed over the main</w:t>
      </w:r>
      <w:r w:rsidR="00594EC4" w:rsidRPr="00F31FC4">
        <w:rPr>
          <w:i w:val="0"/>
          <w:iCs w:val="0"/>
          <w:color w:val="auto"/>
          <w:sz w:val="24"/>
          <w:szCs w:val="24"/>
        </w:rPr>
        <w:t>stream</w:t>
      </w:r>
      <w:bookmarkEnd w:id="176"/>
    </w:p>
    <w:p w:rsidR="00753478" w:rsidRPr="00F31FC4" w:rsidRDefault="00C233C0" w:rsidP="008D3D8E">
      <w:pPr>
        <w:pStyle w:val="Heading3"/>
        <w:numPr>
          <w:ilvl w:val="2"/>
          <w:numId w:val="3"/>
        </w:numPr>
        <w:rPr>
          <w:rFonts w:eastAsia="Calibri"/>
        </w:rPr>
      </w:pPr>
      <w:bookmarkStart w:id="177" w:name="_Toc68025095"/>
      <w:bookmarkStart w:id="178" w:name="_Toc68761577"/>
      <w:r w:rsidRPr="00F31FC4">
        <w:rPr>
          <w:rFonts w:eastAsia="Calibri"/>
        </w:rPr>
        <w:lastRenderedPageBreak/>
        <w:t xml:space="preserve">The </w:t>
      </w:r>
      <w:r w:rsidR="00705C30" w:rsidRPr="00F31FC4">
        <w:rPr>
          <w:rFonts w:eastAsia="Calibri"/>
        </w:rPr>
        <w:t xml:space="preserve">Thematic Map </w:t>
      </w:r>
      <w:r w:rsidR="00753478" w:rsidRPr="00F31FC4">
        <w:rPr>
          <w:rFonts w:eastAsia="Calibri"/>
        </w:rPr>
        <w:t xml:space="preserve">of </w:t>
      </w:r>
      <w:r w:rsidR="00705C30" w:rsidRPr="00F31FC4">
        <w:rPr>
          <w:rFonts w:eastAsia="Calibri"/>
        </w:rPr>
        <w:t>Geological Formation</w:t>
      </w:r>
      <w:bookmarkEnd w:id="177"/>
      <w:bookmarkEnd w:id="178"/>
    </w:p>
    <w:p w:rsidR="000D6270" w:rsidRPr="00456014" w:rsidRDefault="00753478" w:rsidP="00174A1C">
      <w:bookmarkStart w:id="179" w:name="_Hlk50117881"/>
      <w:r w:rsidRPr="00F31FC4">
        <w:t xml:space="preserve">The geology of </w:t>
      </w:r>
      <w:r w:rsidR="00B34DF5">
        <w:t xml:space="preserve">study area is mainly </w:t>
      </w:r>
      <w:r w:rsidR="0060006D">
        <w:t>plateau volcanism belonging to S</w:t>
      </w:r>
      <w:r w:rsidRPr="00F31FC4">
        <w:t>outheastern Ethiopia and associated lowlands. The volcanism crop-out t</w:t>
      </w:r>
      <w:r w:rsidR="00906D25">
        <w:t xml:space="preserve">hroughout the area except </w:t>
      </w:r>
      <w:r w:rsidRPr="00F31FC4">
        <w:t xml:space="preserve">the Eastern </w:t>
      </w:r>
      <w:r w:rsidR="00145F75">
        <w:t xml:space="preserve">parts </w:t>
      </w:r>
      <w:r w:rsidR="002E01F8">
        <w:t xml:space="preserve">of sub-basin </w:t>
      </w:r>
      <w:r w:rsidRPr="00F31FC4">
        <w:t>which is covered by sedimentary units. The geomorphology that is formed by the volcanic rocks is favorable for the emergence of groundwater as springs along</w:t>
      </w:r>
      <w:r w:rsidRPr="00456014">
        <w:t xml:space="preserve"> the foothills of the volcanic shields.</w:t>
      </w:r>
      <w:bookmarkEnd w:id="179"/>
      <w:r w:rsidR="00BD6C67">
        <w:t xml:space="preserve"> </w:t>
      </w:r>
    </w:p>
    <w:p w:rsidR="009701CA" w:rsidRDefault="000D6270" w:rsidP="00174A1C">
      <w:pPr>
        <w:jc w:val="center"/>
        <w:rPr>
          <w:noProof/>
        </w:rPr>
      </w:pPr>
      <w:r w:rsidRPr="000D6270">
        <w:rPr>
          <w:noProof/>
        </w:rPr>
        <w:drawing>
          <wp:inline distT="0" distB="0" distL="0" distR="0" wp14:anchorId="67742E40" wp14:editId="6F1F3805">
            <wp:extent cx="5518298" cy="3901667"/>
            <wp:effectExtent l="19050" t="19050" r="25400" b="22860"/>
            <wp:docPr id="16" name="Picture 16" descr="C:\Users\Abdul Gafar\Desktop\Report_MXD_JPEG\Geology\Geology_FN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Abdul Gafar\Desktop\Report_MXD_JPEG\Geology\Geology_FN1.bmp"/>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537111" cy="3914969"/>
                    </a:xfrm>
                    <a:prstGeom prst="rect">
                      <a:avLst/>
                    </a:prstGeom>
                    <a:noFill/>
                    <a:ln w="12700">
                      <a:solidFill>
                        <a:schemeClr val="tx1"/>
                      </a:solidFill>
                    </a:ln>
                  </pic:spPr>
                </pic:pic>
              </a:graphicData>
            </a:graphic>
          </wp:inline>
        </w:drawing>
      </w:r>
    </w:p>
    <w:p w:rsidR="00BD6C67" w:rsidRDefault="00BD6C67" w:rsidP="00174A1C">
      <w:pPr>
        <w:rPr>
          <w:rFonts w:eastAsia="Times New Roman"/>
          <w:iCs/>
        </w:rPr>
      </w:pPr>
      <w:bookmarkStart w:id="180" w:name="_Toc68761625"/>
      <w:r w:rsidRPr="00456014">
        <w:t xml:space="preserve">Figure </w:t>
      </w:r>
      <w:r w:rsidR="00515F3B">
        <w:rPr>
          <w:noProof/>
        </w:rPr>
        <w:fldChar w:fldCharType="begin"/>
      </w:r>
      <w:r w:rsidR="00515F3B">
        <w:rPr>
          <w:noProof/>
        </w:rPr>
        <w:instrText xml:space="preserve"> STYLEREF 1 \s </w:instrText>
      </w:r>
      <w:r w:rsidR="00515F3B">
        <w:rPr>
          <w:noProof/>
        </w:rPr>
        <w:fldChar w:fldCharType="separate"/>
      </w:r>
      <w:r w:rsidR="00BD510E">
        <w:rPr>
          <w:noProof/>
        </w:rPr>
        <w:t>4</w:t>
      </w:r>
      <w:r w:rsidR="00515F3B">
        <w:rPr>
          <w:noProof/>
        </w:rPr>
        <w:fldChar w:fldCharType="end"/>
      </w:r>
      <w:r w:rsidR="001342E5">
        <w:t>.</w:t>
      </w:r>
      <w:r w:rsidR="00515F3B">
        <w:rPr>
          <w:noProof/>
        </w:rPr>
        <w:fldChar w:fldCharType="begin"/>
      </w:r>
      <w:r w:rsidR="00515F3B">
        <w:rPr>
          <w:noProof/>
        </w:rPr>
        <w:instrText xml:space="preserve"> SEQ Figure \* ARABIC \s 1 </w:instrText>
      </w:r>
      <w:r w:rsidR="00515F3B">
        <w:rPr>
          <w:noProof/>
        </w:rPr>
        <w:fldChar w:fldCharType="separate"/>
      </w:r>
      <w:r w:rsidR="00BD510E">
        <w:rPr>
          <w:noProof/>
        </w:rPr>
        <w:t>7</w:t>
      </w:r>
      <w:r w:rsidR="00515F3B">
        <w:rPr>
          <w:noProof/>
        </w:rPr>
        <w:fldChar w:fldCharType="end"/>
      </w:r>
      <w:r w:rsidRPr="00456014">
        <w:t>:</w:t>
      </w:r>
      <w:r w:rsidRPr="00456014">
        <w:rPr>
          <w:iCs/>
        </w:rPr>
        <w:t xml:space="preserve"> </w:t>
      </w:r>
      <w:r w:rsidR="007D04EF">
        <w:rPr>
          <w:iCs/>
        </w:rPr>
        <w:t>The g</w:t>
      </w:r>
      <w:r>
        <w:rPr>
          <w:rFonts w:eastAsia="Times New Roman"/>
          <w:iCs/>
        </w:rPr>
        <w:t xml:space="preserve">eologic map of </w:t>
      </w:r>
      <w:r w:rsidRPr="00456014">
        <w:rPr>
          <w:rFonts w:eastAsia="Times New Roman"/>
          <w:iCs/>
        </w:rPr>
        <w:t>study area</w:t>
      </w:r>
      <w:bookmarkEnd w:id="180"/>
    </w:p>
    <w:p w:rsidR="00842DFF" w:rsidRDefault="00CA042D" w:rsidP="00174A1C">
      <w:r w:rsidRPr="00456014">
        <w:t xml:space="preserve">The lithological units exposed in the study area </w:t>
      </w:r>
      <w:r>
        <w:t>includes;</w:t>
      </w:r>
      <w:r w:rsidRPr="00456014">
        <w:t xml:space="preserve"> Quaternary eluvium (Qe), Ginner Basalt (Qg), Nazret group (Nn), Alkali trachyte flows (PNa2), Alkali trachyte and basalt flows (PNa3), Aphyric basalt (Nmt), Lower flood basalt (PNb), Lower Korahe formation (Kg1) and Upper Gabredarre formations (Jg)</w:t>
      </w:r>
      <w:r>
        <w:t xml:space="preserve"> (Figure 4.7). The short description</w:t>
      </w:r>
      <w:r w:rsidRPr="00456014">
        <w:t xml:space="preserve"> </w:t>
      </w:r>
      <w:r>
        <w:t xml:space="preserve">of </w:t>
      </w:r>
      <w:r w:rsidRPr="00456014">
        <w:t>exposed geological formation</w:t>
      </w:r>
      <w:r>
        <w:t xml:space="preserve"> is </w:t>
      </w:r>
      <w:r w:rsidRPr="00456014">
        <w:t xml:space="preserve">described in Appendix table </w:t>
      </w:r>
      <w:r>
        <w:t xml:space="preserve">6. </w:t>
      </w:r>
      <w:r w:rsidR="00044F41" w:rsidRPr="00456014">
        <w:t xml:space="preserve">The relative weight, </w:t>
      </w:r>
      <w:r w:rsidR="00565425">
        <w:t xml:space="preserve">scale </w:t>
      </w:r>
      <w:r w:rsidR="00020BB6">
        <w:t xml:space="preserve">value </w:t>
      </w:r>
      <w:r w:rsidR="00044F41" w:rsidRPr="00456014">
        <w:t xml:space="preserve">and CR </w:t>
      </w:r>
      <w:r w:rsidR="005F23B7">
        <w:t>were</w:t>
      </w:r>
      <w:r w:rsidR="00565425">
        <w:t xml:space="preserve"> </w:t>
      </w:r>
      <w:r w:rsidR="00044F41" w:rsidRPr="00456014">
        <w:t>d</w:t>
      </w:r>
      <w:r w:rsidR="003D659D">
        <w:t>etermined through AHP (Table 4.3</w:t>
      </w:r>
      <w:r w:rsidR="00145F75">
        <w:t>). T</w:t>
      </w:r>
      <w:r w:rsidR="00565425">
        <w:t>he</w:t>
      </w:r>
      <w:r w:rsidR="00842DFF">
        <w:t xml:space="preserve"> computed CR </w:t>
      </w:r>
      <w:r w:rsidR="00565425">
        <w:t>value</w:t>
      </w:r>
      <w:r w:rsidR="00842DFF">
        <w:t xml:space="preserve"> 0.05</w:t>
      </w:r>
      <w:r w:rsidR="005F23B7">
        <w:t xml:space="preserve"> confirm the consistency of geological </w:t>
      </w:r>
      <w:r w:rsidR="002B7B46">
        <w:t>unit’s</w:t>
      </w:r>
      <w:r w:rsidR="005F23B7">
        <w:t xml:space="preserve"> pairwise </w:t>
      </w:r>
      <w:r w:rsidR="00145F75">
        <w:t>comparison</w:t>
      </w:r>
      <w:r w:rsidR="00044F41" w:rsidRPr="00456014">
        <w:t>.</w:t>
      </w:r>
    </w:p>
    <w:p w:rsidR="00174A1C" w:rsidRPr="00456014" w:rsidRDefault="00174A1C" w:rsidP="00F13B95">
      <w:pPr>
        <w:jc w:val="center"/>
      </w:pPr>
      <w:r w:rsidRPr="00FD4D97">
        <w:rPr>
          <w:noProof/>
        </w:rPr>
        <w:lastRenderedPageBreak/>
        <w:drawing>
          <wp:inline distT="0" distB="0" distL="0" distR="0" wp14:anchorId="1BB511CD" wp14:editId="0C78B43A">
            <wp:extent cx="5577840" cy="3945051"/>
            <wp:effectExtent l="19050" t="19050" r="22860" b="17780"/>
            <wp:docPr id="15" name="Picture 15" descr="C:\Users\Abdul Gafar\Desktop\Report_MXD_JPEG\Geol_rec\Geology_rec__FNL_Rprt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dul Gafar\Desktop\Report_MXD_JPEG\Geol_rec\Geology_rec__FNL_Rprt1.bmp"/>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577840" cy="3945051"/>
                    </a:xfrm>
                    <a:prstGeom prst="rect">
                      <a:avLst/>
                    </a:prstGeom>
                    <a:noFill/>
                    <a:ln w="12700">
                      <a:solidFill>
                        <a:schemeClr val="tx1"/>
                      </a:solidFill>
                    </a:ln>
                  </pic:spPr>
                </pic:pic>
              </a:graphicData>
            </a:graphic>
          </wp:inline>
        </w:drawing>
      </w:r>
    </w:p>
    <w:p w:rsidR="00174A1C" w:rsidRPr="00456014" w:rsidRDefault="00174A1C" w:rsidP="00F13B95">
      <w:pPr>
        <w:rPr>
          <w:noProof/>
        </w:rPr>
      </w:pPr>
      <w:bookmarkStart w:id="181" w:name="_Toc68761626"/>
      <w:r w:rsidRPr="00456014">
        <w:t xml:space="preserve">Figure </w:t>
      </w:r>
      <w:r w:rsidR="00515F3B">
        <w:rPr>
          <w:noProof/>
        </w:rPr>
        <w:fldChar w:fldCharType="begin"/>
      </w:r>
      <w:r w:rsidR="00515F3B">
        <w:rPr>
          <w:noProof/>
        </w:rPr>
        <w:instrText xml:space="preserve"> STYLEREF 1 \s </w:instrText>
      </w:r>
      <w:r w:rsidR="00515F3B">
        <w:rPr>
          <w:noProof/>
        </w:rPr>
        <w:fldChar w:fldCharType="separate"/>
      </w:r>
      <w:r w:rsidR="00BD510E">
        <w:rPr>
          <w:noProof/>
        </w:rPr>
        <w:t>4</w:t>
      </w:r>
      <w:r w:rsidR="00515F3B">
        <w:rPr>
          <w:noProof/>
        </w:rPr>
        <w:fldChar w:fldCharType="end"/>
      </w:r>
      <w:r w:rsidR="001342E5">
        <w:t>.</w:t>
      </w:r>
      <w:r w:rsidR="00515F3B">
        <w:rPr>
          <w:noProof/>
        </w:rPr>
        <w:fldChar w:fldCharType="begin"/>
      </w:r>
      <w:r w:rsidR="00515F3B">
        <w:rPr>
          <w:noProof/>
        </w:rPr>
        <w:instrText xml:space="preserve"> SEQ Figure \* ARABIC \s 1 </w:instrText>
      </w:r>
      <w:r w:rsidR="00515F3B">
        <w:rPr>
          <w:noProof/>
        </w:rPr>
        <w:fldChar w:fldCharType="separate"/>
      </w:r>
      <w:r w:rsidR="00BD510E">
        <w:rPr>
          <w:noProof/>
        </w:rPr>
        <w:t>8</w:t>
      </w:r>
      <w:r w:rsidR="00515F3B">
        <w:rPr>
          <w:noProof/>
        </w:rPr>
        <w:fldChar w:fldCharType="end"/>
      </w:r>
      <w:r w:rsidRPr="00456014">
        <w:t>:</w:t>
      </w:r>
      <w:r w:rsidRPr="00456014">
        <w:rPr>
          <w:iCs/>
        </w:rPr>
        <w:t xml:space="preserve"> </w:t>
      </w:r>
      <w:r>
        <w:rPr>
          <w:iCs/>
        </w:rPr>
        <w:t>T</w:t>
      </w:r>
      <w:r w:rsidRPr="00456014">
        <w:rPr>
          <w:iCs/>
        </w:rPr>
        <w:t xml:space="preserve">he reclassified </w:t>
      </w:r>
      <w:r>
        <w:rPr>
          <w:rFonts w:eastAsia="Times New Roman"/>
          <w:iCs/>
        </w:rPr>
        <w:t xml:space="preserve">geological map </w:t>
      </w:r>
      <w:r w:rsidRPr="00456014">
        <w:rPr>
          <w:rFonts w:eastAsia="Times New Roman"/>
          <w:iCs/>
        </w:rPr>
        <w:t>of study area</w:t>
      </w:r>
      <w:bookmarkEnd w:id="181"/>
    </w:p>
    <w:p w:rsidR="00044F41" w:rsidRDefault="00044F41" w:rsidP="00F13B95">
      <w:pPr>
        <w:pStyle w:val="Caption"/>
        <w:keepNext/>
        <w:spacing w:before="120" w:after="120" w:line="360" w:lineRule="auto"/>
        <w:jc w:val="left"/>
        <w:rPr>
          <w:i w:val="0"/>
          <w:iCs w:val="0"/>
          <w:color w:val="auto"/>
          <w:sz w:val="24"/>
          <w:szCs w:val="36"/>
        </w:rPr>
      </w:pPr>
      <w:bookmarkStart w:id="182" w:name="_Toc68761597"/>
      <w:r w:rsidRPr="00456014">
        <w:rPr>
          <w:i w:val="0"/>
          <w:iCs w:val="0"/>
          <w:color w:val="auto"/>
          <w:sz w:val="24"/>
          <w:szCs w:val="24"/>
        </w:rPr>
        <w:t xml:space="preserve">Table </w:t>
      </w:r>
      <w:r w:rsidRPr="00456014">
        <w:rPr>
          <w:i w:val="0"/>
          <w:iCs w:val="0"/>
          <w:color w:val="auto"/>
          <w:sz w:val="24"/>
          <w:szCs w:val="24"/>
        </w:rPr>
        <w:fldChar w:fldCharType="begin"/>
      </w:r>
      <w:r w:rsidRPr="00456014">
        <w:rPr>
          <w:i w:val="0"/>
          <w:iCs w:val="0"/>
          <w:color w:val="auto"/>
          <w:sz w:val="24"/>
          <w:szCs w:val="24"/>
        </w:rPr>
        <w:instrText xml:space="preserve"> STYLEREF 1 \s </w:instrText>
      </w:r>
      <w:r w:rsidRPr="00456014">
        <w:rPr>
          <w:i w:val="0"/>
          <w:iCs w:val="0"/>
          <w:color w:val="auto"/>
          <w:sz w:val="24"/>
          <w:szCs w:val="24"/>
        </w:rPr>
        <w:fldChar w:fldCharType="separate"/>
      </w:r>
      <w:r w:rsidR="00BD510E">
        <w:rPr>
          <w:i w:val="0"/>
          <w:iCs w:val="0"/>
          <w:noProof/>
          <w:color w:val="auto"/>
          <w:sz w:val="24"/>
          <w:szCs w:val="24"/>
        </w:rPr>
        <w:t>4</w:t>
      </w:r>
      <w:r w:rsidRPr="00456014">
        <w:rPr>
          <w:i w:val="0"/>
          <w:iCs w:val="0"/>
          <w:color w:val="auto"/>
          <w:sz w:val="24"/>
          <w:szCs w:val="24"/>
        </w:rPr>
        <w:fldChar w:fldCharType="end"/>
      </w:r>
      <w:r w:rsidRPr="00456014">
        <w:rPr>
          <w:i w:val="0"/>
          <w:iCs w:val="0"/>
          <w:color w:val="auto"/>
          <w:sz w:val="24"/>
          <w:szCs w:val="24"/>
        </w:rPr>
        <w:t>.</w:t>
      </w:r>
      <w:r w:rsidRPr="00456014">
        <w:rPr>
          <w:i w:val="0"/>
          <w:iCs w:val="0"/>
          <w:color w:val="auto"/>
          <w:sz w:val="24"/>
          <w:szCs w:val="24"/>
        </w:rPr>
        <w:fldChar w:fldCharType="begin"/>
      </w:r>
      <w:r w:rsidRPr="00456014">
        <w:rPr>
          <w:i w:val="0"/>
          <w:iCs w:val="0"/>
          <w:color w:val="auto"/>
          <w:sz w:val="24"/>
          <w:szCs w:val="24"/>
        </w:rPr>
        <w:instrText xml:space="preserve"> SEQ Table \* ARABIC \s 1 </w:instrText>
      </w:r>
      <w:r w:rsidRPr="00456014">
        <w:rPr>
          <w:i w:val="0"/>
          <w:iCs w:val="0"/>
          <w:color w:val="auto"/>
          <w:sz w:val="24"/>
          <w:szCs w:val="24"/>
        </w:rPr>
        <w:fldChar w:fldCharType="separate"/>
      </w:r>
      <w:r w:rsidR="00BD510E">
        <w:rPr>
          <w:i w:val="0"/>
          <w:iCs w:val="0"/>
          <w:noProof/>
          <w:color w:val="auto"/>
          <w:sz w:val="24"/>
          <w:szCs w:val="24"/>
        </w:rPr>
        <w:t>3</w:t>
      </w:r>
      <w:r w:rsidRPr="00456014">
        <w:rPr>
          <w:i w:val="0"/>
          <w:iCs w:val="0"/>
          <w:color w:val="auto"/>
          <w:sz w:val="24"/>
          <w:szCs w:val="24"/>
        </w:rPr>
        <w:fldChar w:fldCharType="end"/>
      </w:r>
      <w:r w:rsidRPr="00456014">
        <w:rPr>
          <w:i w:val="0"/>
          <w:iCs w:val="0"/>
          <w:color w:val="auto"/>
          <w:sz w:val="24"/>
          <w:szCs w:val="24"/>
        </w:rPr>
        <w:t xml:space="preserve">: </w:t>
      </w:r>
      <w:r w:rsidRPr="00456014">
        <w:rPr>
          <w:i w:val="0"/>
          <w:iCs w:val="0"/>
          <w:color w:val="auto"/>
          <w:sz w:val="24"/>
          <w:szCs w:val="36"/>
        </w:rPr>
        <w:t>Geologic formation and their relative weights</w:t>
      </w:r>
      <w:bookmarkEnd w:id="182"/>
    </w:p>
    <w:tbl>
      <w:tblPr>
        <w:tblStyle w:val="TableGrid"/>
        <w:tblW w:w="5000" w:type="pct"/>
        <w:jc w:val="center"/>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1673"/>
        <w:gridCol w:w="1400"/>
        <w:gridCol w:w="1501"/>
        <w:gridCol w:w="1523"/>
        <w:gridCol w:w="788"/>
        <w:gridCol w:w="1343"/>
        <w:gridCol w:w="772"/>
      </w:tblGrid>
      <w:tr w:rsidR="00125477" w:rsidRPr="007D3880" w:rsidTr="00125477">
        <w:trPr>
          <w:trHeight w:val="300"/>
          <w:jc w:val="center"/>
        </w:trPr>
        <w:tc>
          <w:tcPr>
            <w:tcW w:w="988" w:type="pct"/>
            <w:tcBorders>
              <w:top w:val="single" w:sz="4" w:space="0" w:color="auto"/>
              <w:bottom w:val="single" w:sz="4" w:space="0" w:color="auto"/>
            </w:tcBorders>
            <w:noWrap/>
            <w:hideMark/>
          </w:tcPr>
          <w:p w:rsidR="00125477" w:rsidRDefault="00125477" w:rsidP="001766CF">
            <w:pPr>
              <w:spacing w:before="0" w:after="0"/>
              <w:rPr>
                <w:bCs/>
              </w:rPr>
            </w:pPr>
            <w:r w:rsidRPr="007D3880">
              <w:rPr>
                <w:bCs/>
              </w:rPr>
              <w:t>Geological</w:t>
            </w:r>
          </w:p>
          <w:p w:rsidR="00125477" w:rsidRPr="007D3880" w:rsidRDefault="00125477" w:rsidP="001766CF">
            <w:pPr>
              <w:spacing w:before="0" w:after="0"/>
            </w:pPr>
            <w:r w:rsidRPr="007D3880">
              <w:rPr>
                <w:bCs/>
              </w:rPr>
              <w:t xml:space="preserve"> unit</w:t>
            </w:r>
          </w:p>
        </w:tc>
        <w:tc>
          <w:tcPr>
            <w:tcW w:w="836" w:type="pct"/>
            <w:tcBorders>
              <w:top w:val="single" w:sz="4" w:space="0" w:color="auto"/>
              <w:bottom w:val="single" w:sz="4" w:space="0" w:color="auto"/>
            </w:tcBorders>
            <w:noWrap/>
            <w:hideMark/>
          </w:tcPr>
          <w:p w:rsidR="00125477" w:rsidRDefault="00125477" w:rsidP="001766CF">
            <w:pPr>
              <w:spacing w:before="0" w:after="0"/>
              <w:rPr>
                <w:bCs/>
              </w:rPr>
            </w:pPr>
            <w:r w:rsidRPr="007D3880">
              <w:rPr>
                <w:bCs/>
              </w:rPr>
              <w:t xml:space="preserve">Area </w:t>
            </w:r>
          </w:p>
          <w:p w:rsidR="00125477" w:rsidRPr="007D3880" w:rsidRDefault="00125477" w:rsidP="001766CF">
            <w:pPr>
              <w:spacing w:before="0" w:after="0"/>
            </w:pPr>
            <w:r w:rsidRPr="007D3880">
              <w:rPr>
                <w:bCs/>
              </w:rPr>
              <w:t>(km</w:t>
            </w:r>
            <w:r w:rsidRPr="007D3880">
              <w:rPr>
                <w:bCs/>
                <w:vertAlign w:val="superscript"/>
              </w:rPr>
              <w:t>2</w:t>
            </w:r>
            <w:r w:rsidRPr="007D3880">
              <w:rPr>
                <w:bCs/>
              </w:rPr>
              <w:t>)</w:t>
            </w:r>
          </w:p>
        </w:tc>
        <w:tc>
          <w:tcPr>
            <w:tcW w:w="892" w:type="pct"/>
            <w:tcBorders>
              <w:top w:val="single" w:sz="4" w:space="0" w:color="auto"/>
              <w:bottom w:val="single" w:sz="4" w:space="0" w:color="auto"/>
            </w:tcBorders>
            <w:noWrap/>
            <w:hideMark/>
          </w:tcPr>
          <w:p w:rsidR="00125477" w:rsidRDefault="00125477" w:rsidP="001766CF">
            <w:pPr>
              <w:spacing w:before="0" w:after="0"/>
              <w:rPr>
                <w:bCs/>
              </w:rPr>
            </w:pPr>
            <w:r w:rsidRPr="007D3880">
              <w:rPr>
                <w:bCs/>
              </w:rPr>
              <w:t xml:space="preserve">Area </w:t>
            </w:r>
          </w:p>
          <w:p w:rsidR="00125477" w:rsidRPr="007D3880" w:rsidRDefault="00125477" w:rsidP="001766CF">
            <w:pPr>
              <w:spacing w:before="0" w:after="0"/>
            </w:pPr>
            <w:r w:rsidRPr="007D3880">
              <w:rPr>
                <w:bCs/>
              </w:rPr>
              <w:t>(%)</w:t>
            </w:r>
          </w:p>
        </w:tc>
        <w:tc>
          <w:tcPr>
            <w:tcW w:w="496" w:type="pct"/>
            <w:tcBorders>
              <w:top w:val="single" w:sz="4" w:space="0" w:color="auto"/>
              <w:bottom w:val="single" w:sz="4" w:space="0" w:color="auto"/>
            </w:tcBorders>
          </w:tcPr>
          <w:p w:rsidR="00125477" w:rsidRPr="00E53866" w:rsidRDefault="00125477" w:rsidP="001766CF">
            <w:pPr>
              <w:spacing w:before="0" w:after="0"/>
              <w:rPr>
                <w:bCs/>
                <w:vertAlign w:val="superscript"/>
              </w:rPr>
            </w:pPr>
            <w:r>
              <w:rPr>
                <w:bCs/>
              </w:rPr>
              <w:t>Contribution</w:t>
            </w:r>
            <w:r w:rsidR="00E53866">
              <w:rPr>
                <w:bCs/>
                <w:vertAlign w:val="superscript"/>
              </w:rPr>
              <w:t>*</w:t>
            </w:r>
          </w:p>
        </w:tc>
        <w:tc>
          <w:tcPr>
            <w:tcW w:w="496" w:type="pct"/>
            <w:tcBorders>
              <w:top w:val="single" w:sz="4" w:space="0" w:color="auto"/>
              <w:bottom w:val="single" w:sz="4" w:space="0" w:color="auto"/>
            </w:tcBorders>
            <w:noWrap/>
            <w:hideMark/>
          </w:tcPr>
          <w:p w:rsidR="00125477" w:rsidRDefault="00125477" w:rsidP="001766CF">
            <w:pPr>
              <w:spacing w:before="0" w:after="0"/>
              <w:rPr>
                <w:bCs/>
              </w:rPr>
            </w:pPr>
            <w:r>
              <w:rPr>
                <w:bCs/>
              </w:rPr>
              <w:t>Scale</w:t>
            </w:r>
          </w:p>
          <w:p w:rsidR="00125477" w:rsidRPr="007D3880" w:rsidRDefault="00125477" w:rsidP="001766CF">
            <w:pPr>
              <w:spacing w:before="0" w:after="0"/>
            </w:pPr>
            <w:r w:rsidRPr="007D3880">
              <w:rPr>
                <w:bCs/>
              </w:rPr>
              <w:t>value</w:t>
            </w:r>
          </w:p>
        </w:tc>
        <w:tc>
          <w:tcPr>
            <w:tcW w:w="778" w:type="pct"/>
            <w:tcBorders>
              <w:top w:val="single" w:sz="4" w:space="0" w:color="auto"/>
              <w:bottom w:val="single" w:sz="4" w:space="0" w:color="auto"/>
            </w:tcBorders>
            <w:noWrap/>
            <w:hideMark/>
          </w:tcPr>
          <w:p w:rsidR="00125477" w:rsidRPr="007D3880" w:rsidRDefault="00125477" w:rsidP="001766CF">
            <w:pPr>
              <w:spacing w:before="0" w:after="0"/>
              <w:rPr>
                <w:bCs/>
              </w:rPr>
            </w:pPr>
            <w:r w:rsidRPr="007D3880">
              <w:rPr>
                <w:bCs/>
              </w:rPr>
              <w:t>Relative</w:t>
            </w:r>
          </w:p>
          <w:p w:rsidR="00125477" w:rsidRPr="007D3880" w:rsidRDefault="00125477" w:rsidP="001766CF">
            <w:pPr>
              <w:spacing w:before="0" w:after="0"/>
            </w:pPr>
            <w:r w:rsidRPr="007D3880">
              <w:rPr>
                <w:bCs/>
              </w:rPr>
              <w:t>Weight (%)</w:t>
            </w:r>
          </w:p>
        </w:tc>
        <w:tc>
          <w:tcPr>
            <w:tcW w:w="514" w:type="pct"/>
            <w:tcBorders>
              <w:top w:val="single" w:sz="4" w:space="0" w:color="auto"/>
              <w:bottom w:val="single" w:sz="4" w:space="0" w:color="auto"/>
            </w:tcBorders>
            <w:noWrap/>
            <w:hideMark/>
          </w:tcPr>
          <w:p w:rsidR="00125477" w:rsidRPr="007D3880" w:rsidRDefault="00125477" w:rsidP="009D434A">
            <w:pPr>
              <w:spacing w:before="0" w:after="0"/>
            </w:pPr>
            <w:r w:rsidRPr="007D3880">
              <w:t>CR</w:t>
            </w:r>
          </w:p>
        </w:tc>
      </w:tr>
      <w:tr w:rsidR="00125477" w:rsidRPr="007D3880" w:rsidTr="00125477">
        <w:trPr>
          <w:trHeight w:val="300"/>
          <w:jc w:val="center"/>
        </w:trPr>
        <w:tc>
          <w:tcPr>
            <w:tcW w:w="988" w:type="pct"/>
            <w:tcBorders>
              <w:top w:val="single" w:sz="4" w:space="0" w:color="auto"/>
              <w:bottom w:val="nil"/>
            </w:tcBorders>
            <w:noWrap/>
            <w:hideMark/>
          </w:tcPr>
          <w:p w:rsidR="00125477" w:rsidRPr="007D3880" w:rsidRDefault="00125477" w:rsidP="001766CF">
            <w:pPr>
              <w:spacing w:before="0" w:after="0"/>
            </w:pPr>
            <w:r w:rsidRPr="007D3880">
              <w:t>PNa2/Kg1</w:t>
            </w:r>
          </w:p>
        </w:tc>
        <w:tc>
          <w:tcPr>
            <w:tcW w:w="836" w:type="pct"/>
            <w:tcBorders>
              <w:top w:val="single" w:sz="4" w:space="0" w:color="auto"/>
              <w:bottom w:val="nil"/>
            </w:tcBorders>
            <w:noWrap/>
            <w:hideMark/>
          </w:tcPr>
          <w:p w:rsidR="00125477" w:rsidRPr="007D3880" w:rsidRDefault="00125477" w:rsidP="001766CF">
            <w:pPr>
              <w:spacing w:before="0" w:after="0"/>
            </w:pPr>
            <w:r w:rsidRPr="007D3880">
              <w:t>609.9</w:t>
            </w:r>
          </w:p>
        </w:tc>
        <w:tc>
          <w:tcPr>
            <w:tcW w:w="892" w:type="pct"/>
            <w:tcBorders>
              <w:top w:val="single" w:sz="4" w:space="0" w:color="auto"/>
              <w:bottom w:val="nil"/>
            </w:tcBorders>
            <w:noWrap/>
            <w:hideMark/>
          </w:tcPr>
          <w:p w:rsidR="00125477" w:rsidRPr="007D3880" w:rsidRDefault="00125477" w:rsidP="001766CF">
            <w:pPr>
              <w:spacing w:before="0" w:after="0"/>
            </w:pPr>
            <w:r w:rsidRPr="007D3880">
              <w:t>13.8</w:t>
            </w:r>
          </w:p>
        </w:tc>
        <w:tc>
          <w:tcPr>
            <w:tcW w:w="496" w:type="pct"/>
            <w:tcBorders>
              <w:top w:val="single" w:sz="4" w:space="0" w:color="auto"/>
              <w:bottom w:val="nil"/>
            </w:tcBorders>
          </w:tcPr>
          <w:p w:rsidR="00125477" w:rsidRPr="007D3880" w:rsidRDefault="00125477" w:rsidP="001766CF">
            <w:pPr>
              <w:spacing w:before="0" w:after="0"/>
            </w:pPr>
            <w:r>
              <w:t xml:space="preserve">Very low </w:t>
            </w:r>
          </w:p>
        </w:tc>
        <w:tc>
          <w:tcPr>
            <w:tcW w:w="496" w:type="pct"/>
            <w:tcBorders>
              <w:top w:val="single" w:sz="4" w:space="0" w:color="auto"/>
              <w:bottom w:val="nil"/>
            </w:tcBorders>
            <w:noWrap/>
            <w:hideMark/>
          </w:tcPr>
          <w:p w:rsidR="00125477" w:rsidRPr="007D3880" w:rsidRDefault="00125477" w:rsidP="001766CF">
            <w:pPr>
              <w:spacing w:before="0" w:after="0"/>
            </w:pPr>
            <w:r w:rsidRPr="007D3880">
              <w:t>1</w:t>
            </w:r>
          </w:p>
        </w:tc>
        <w:tc>
          <w:tcPr>
            <w:tcW w:w="778" w:type="pct"/>
            <w:tcBorders>
              <w:top w:val="single" w:sz="4" w:space="0" w:color="auto"/>
              <w:left w:val="nil"/>
              <w:bottom w:val="nil"/>
              <w:right w:val="nil"/>
            </w:tcBorders>
            <w:shd w:val="clear" w:color="auto" w:fill="auto"/>
            <w:noWrap/>
            <w:vAlign w:val="bottom"/>
            <w:hideMark/>
          </w:tcPr>
          <w:p w:rsidR="00125477" w:rsidRDefault="00125477" w:rsidP="001766CF">
            <w:pPr>
              <w:spacing w:before="0" w:after="0"/>
              <w:rPr>
                <w:color w:val="000000"/>
              </w:rPr>
            </w:pPr>
            <w:r>
              <w:rPr>
                <w:color w:val="000000"/>
              </w:rPr>
              <w:t>5</w:t>
            </w:r>
          </w:p>
        </w:tc>
        <w:tc>
          <w:tcPr>
            <w:tcW w:w="514" w:type="pct"/>
            <w:vMerge w:val="restart"/>
            <w:tcBorders>
              <w:top w:val="single" w:sz="4" w:space="0" w:color="auto"/>
              <w:bottom w:val="nil"/>
            </w:tcBorders>
            <w:noWrap/>
            <w:hideMark/>
          </w:tcPr>
          <w:p w:rsidR="00125477" w:rsidRPr="007D3880" w:rsidRDefault="00125477" w:rsidP="009D434A">
            <w:pPr>
              <w:spacing w:before="0" w:after="0"/>
            </w:pPr>
            <w:r>
              <w:t>0.05</w:t>
            </w:r>
          </w:p>
        </w:tc>
      </w:tr>
      <w:tr w:rsidR="00125477" w:rsidRPr="007D3880" w:rsidTr="00125477">
        <w:trPr>
          <w:trHeight w:val="300"/>
          <w:jc w:val="center"/>
        </w:trPr>
        <w:tc>
          <w:tcPr>
            <w:tcW w:w="988" w:type="pct"/>
            <w:tcBorders>
              <w:top w:val="nil"/>
              <w:bottom w:val="nil"/>
            </w:tcBorders>
            <w:noWrap/>
            <w:hideMark/>
          </w:tcPr>
          <w:p w:rsidR="00125477" w:rsidRPr="007D3880" w:rsidRDefault="00125477" w:rsidP="001766CF">
            <w:pPr>
              <w:spacing w:before="0" w:after="0"/>
            </w:pPr>
            <w:r>
              <w:t>Qe/J</w:t>
            </w:r>
            <w:r w:rsidRPr="007D3880">
              <w:t>g</w:t>
            </w:r>
          </w:p>
        </w:tc>
        <w:tc>
          <w:tcPr>
            <w:tcW w:w="836" w:type="pct"/>
            <w:tcBorders>
              <w:top w:val="nil"/>
              <w:bottom w:val="nil"/>
            </w:tcBorders>
            <w:noWrap/>
            <w:hideMark/>
          </w:tcPr>
          <w:p w:rsidR="00125477" w:rsidRPr="007D3880" w:rsidRDefault="00125477" w:rsidP="001766CF">
            <w:pPr>
              <w:spacing w:before="0" w:after="0"/>
            </w:pPr>
            <w:r w:rsidRPr="007D3880">
              <w:t>16.3</w:t>
            </w:r>
          </w:p>
        </w:tc>
        <w:tc>
          <w:tcPr>
            <w:tcW w:w="892" w:type="pct"/>
            <w:tcBorders>
              <w:top w:val="nil"/>
              <w:bottom w:val="nil"/>
            </w:tcBorders>
            <w:noWrap/>
            <w:hideMark/>
          </w:tcPr>
          <w:p w:rsidR="00125477" w:rsidRPr="007D3880" w:rsidRDefault="00125477" w:rsidP="001766CF">
            <w:pPr>
              <w:spacing w:before="0" w:after="0"/>
            </w:pPr>
            <w:r w:rsidRPr="007D3880">
              <w:t>0.4</w:t>
            </w:r>
          </w:p>
        </w:tc>
        <w:tc>
          <w:tcPr>
            <w:tcW w:w="496" w:type="pct"/>
            <w:tcBorders>
              <w:top w:val="nil"/>
              <w:bottom w:val="nil"/>
            </w:tcBorders>
          </w:tcPr>
          <w:p w:rsidR="00125477" w:rsidRPr="007D3880" w:rsidRDefault="00125477" w:rsidP="00125477">
            <w:pPr>
              <w:spacing w:before="0" w:after="0"/>
            </w:pPr>
            <w:r>
              <w:t xml:space="preserve">Low </w:t>
            </w:r>
          </w:p>
        </w:tc>
        <w:tc>
          <w:tcPr>
            <w:tcW w:w="496" w:type="pct"/>
            <w:tcBorders>
              <w:top w:val="nil"/>
              <w:bottom w:val="nil"/>
            </w:tcBorders>
            <w:noWrap/>
            <w:hideMark/>
          </w:tcPr>
          <w:p w:rsidR="00125477" w:rsidRPr="007D3880" w:rsidRDefault="00125477" w:rsidP="001766CF">
            <w:pPr>
              <w:spacing w:before="0" w:after="0"/>
            </w:pPr>
            <w:r w:rsidRPr="007D3880">
              <w:t>2</w:t>
            </w:r>
          </w:p>
        </w:tc>
        <w:tc>
          <w:tcPr>
            <w:tcW w:w="778" w:type="pct"/>
            <w:tcBorders>
              <w:top w:val="nil"/>
              <w:left w:val="nil"/>
              <w:bottom w:val="nil"/>
              <w:right w:val="nil"/>
            </w:tcBorders>
            <w:shd w:val="clear" w:color="auto" w:fill="auto"/>
            <w:noWrap/>
            <w:vAlign w:val="bottom"/>
            <w:hideMark/>
          </w:tcPr>
          <w:p w:rsidR="00125477" w:rsidRDefault="00125477" w:rsidP="001766CF">
            <w:pPr>
              <w:spacing w:before="0" w:after="0"/>
              <w:rPr>
                <w:color w:val="000000"/>
              </w:rPr>
            </w:pPr>
            <w:r>
              <w:rPr>
                <w:color w:val="000000"/>
              </w:rPr>
              <w:t>7</w:t>
            </w:r>
          </w:p>
        </w:tc>
        <w:tc>
          <w:tcPr>
            <w:tcW w:w="514" w:type="pct"/>
            <w:vMerge/>
            <w:tcBorders>
              <w:top w:val="nil"/>
              <w:bottom w:val="nil"/>
            </w:tcBorders>
            <w:noWrap/>
            <w:hideMark/>
          </w:tcPr>
          <w:p w:rsidR="00125477" w:rsidRPr="007D3880" w:rsidRDefault="00125477" w:rsidP="009D434A">
            <w:pPr>
              <w:spacing w:before="0" w:after="0"/>
            </w:pPr>
          </w:p>
        </w:tc>
      </w:tr>
      <w:tr w:rsidR="00125477" w:rsidRPr="007D3880" w:rsidTr="00125477">
        <w:trPr>
          <w:trHeight w:val="300"/>
          <w:jc w:val="center"/>
        </w:trPr>
        <w:tc>
          <w:tcPr>
            <w:tcW w:w="988" w:type="pct"/>
            <w:tcBorders>
              <w:top w:val="nil"/>
              <w:bottom w:val="nil"/>
            </w:tcBorders>
            <w:noWrap/>
            <w:hideMark/>
          </w:tcPr>
          <w:p w:rsidR="00125477" w:rsidRPr="007D3880" w:rsidRDefault="00125477" w:rsidP="001766CF">
            <w:pPr>
              <w:spacing w:before="0" w:after="0"/>
            </w:pPr>
            <w:r w:rsidRPr="007D3880">
              <w:t>PNb/Qg</w:t>
            </w:r>
          </w:p>
        </w:tc>
        <w:tc>
          <w:tcPr>
            <w:tcW w:w="836" w:type="pct"/>
            <w:tcBorders>
              <w:top w:val="nil"/>
              <w:bottom w:val="nil"/>
            </w:tcBorders>
            <w:noWrap/>
            <w:hideMark/>
          </w:tcPr>
          <w:p w:rsidR="00125477" w:rsidRPr="007D3880" w:rsidRDefault="00125477" w:rsidP="001766CF">
            <w:pPr>
              <w:spacing w:before="0" w:after="0"/>
            </w:pPr>
            <w:r w:rsidRPr="007D3880">
              <w:t>1119.1</w:t>
            </w:r>
          </w:p>
        </w:tc>
        <w:tc>
          <w:tcPr>
            <w:tcW w:w="892" w:type="pct"/>
            <w:tcBorders>
              <w:top w:val="nil"/>
              <w:bottom w:val="nil"/>
            </w:tcBorders>
            <w:noWrap/>
            <w:hideMark/>
          </w:tcPr>
          <w:p w:rsidR="00125477" w:rsidRPr="007D3880" w:rsidRDefault="00125477" w:rsidP="001766CF">
            <w:pPr>
              <w:spacing w:before="0" w:after="0"/>
            </w:pPr>
            <w:r w:rsidRPr="007D3880">
              <w:t>25.4</w:t>
            </w:r>
          </w:p>
        </w:tc>
        <w:tc>
          <w:tcPr>
            <w:tcW w:w="496" w:type="pct"/>
            <w:tcBorders>
              <w:top w:val="nil"/>
              <w:bottom w:val="nil"/>
            </w:tcBorders>
          </w:tcPr>
          <w:p w:rsidR="00125477" w:rsidRPr="007D3880" w:rsidRDefault="00125477" w:rsidP="00125477">
            <w:pPr>
              <w:spacing w:before="0" w:after="0"/>
            </w:pPr>
            <w:r>
              <w:t xml:space="preserve">Moderate </w:t>
            </w:r>
          </w:p>
        </w:tc>
        <w:tc>
          <w:tcPr>
            <w:tcW w:w="496" w:type="pct"/>
            <w:tcBorders>
              <w:top w:val="nil"/>
              <w:bottom w:val="nil"/>
            </w:tcBorders>
            <w:noWrap/>
            <w:hideMark/>
          </w:tcPr>
          <w:p w:rsidR="00125477" w:rsidRPr="007D3880" w:rsidRDefault="00125477" w:rsidP="001766CF">
            <w:pPr>
              <w:spacing w:before="0" w:after="0"/>
            </w:pPr>
            <w:r w:rsidRPr="007D3880">
              <w:t>3</w:t>
            </w:r>
          </w:p>
        </w:tc>
        <w:tc>
          <w:tcPr>
            <w:tcW w:w="778" w:type="pct"/>
            <w:tcBorders>
              <w:top w:val="nil"/>
              <w:left w:val="nil"/>
              <w:bottom w:val="nil"/>
              <w:right w:val="nil"/>
            </w:tcBorders>
            <w:shd w:val="clear" w:color="auto" w:fill="auto"/>
            <w:noWrap/>
            <w:vAlign w:val="bottom"/>
            <w:hideMark/>
          </w:tcPr>
          <w:p w:rsidR="00125477" w:rsidRDefault="00125477" w:rsidP="001766CF">
            <w:pPr>
              <w:spacing w:before="0" w:after="0"/>
              <w:rPr>
                <w:color w:val="000000"/>
              </w:rPr>
            </w:pPr>
            <w:r>
              <w:rPr>
                <w:color w:val="000000"/>
              </w:rPr>
              <w:t>15</w:t>
            </w:r>
          </w:p>
        </w:tc>
        <w:tc>
          <w:tcPr>
            <w:tcW w:w="514" w:type="pct"/>
            <w:vMerge/>
            <w:tcBorders>
              <w:top w:val="nil"/>
              <w:bottom w:val="nil"/>
            </w:tcBorders>
            <w:noWrap/>
            <w:hideMark/>
          </w:tcPr>
          <w:p w:rsidR="00125477" w:rsidRPr="007D3880" w:rsidRDefault="00125477" w:rsidP="009D434A">
            <w:pPr>
              <w:spacing w:before="0" w:after="0"/>
            </w:pPr>
          </w:p>
        </w:tc>
      </w:tr>
      <w:tr w:rsidR="00125477" w:rsidRPr="007D3880" w:rsidTr="00125477">
        <w:trPr>
          <w:trHeight w:val="300"/>
          <w:jc w:val="center"/>
        </w:trPr>
        <w:tc>
          <w:tcPr>
            <w:tcW w:w="988" w:type="pct"/>
            <w:tcBorders>
              <w:top w:val="nil"/>
              <w:bottom w:val="nil"/>
            </w:tcBorders>
            <w:noWrap/>
            <w:hideMark/>
          </w:tcPr>
          <w:p w:rsidR="00125477" w:rsidRPr="007D3880" w:rsidRDefault="00125477" w:rsidP="001766CF">
            <w:pPr>
              <w:spacing w:before="0" w:after="0"/>
            </w:pPr>
            <w:r w:rsidRPr="007D3880">
              <w:t>Nmt/ PNa3</w:t>
            </w:r>
          </w:p>
        </w:tc>
        <w:tc>
          <w:tcPr>
            <w:tcW w:w="836" w:type="pct"/>
            <w:tcBorders>
              <w:top w:val="nil"/>
              <w:bottom w:val="nil"/>
            </w:tcBorders>
            <w:noWrap/>
            <w:hideMark/>
          </w:tcPr>
          <w:p w:rsidR="00125477" w:rsidRPr="007D3880" w:rsidRDefault="00125477" w:rsidP="001766CF">
            <w:pPr>
              <w:spacing w:before="0" w:after="0"/>
            </w:pPr>
            <w:r w:rsidRPr="007D3880">
              <w:t>2653.3</w:t>
            </w:r>
          </w:p>
        </w:tc>
        <w:tc>
          <w:tcPr>
            <w:tcW w:w="892" w:type="pct"/>
            <w:tcBorders>
              <w:top w:val="nil"/>
              <w:bottom w:val="nil"/>
            </w:tcBorders>
            <w:noWrap/>
            <w:hideMark/>
          </w:tcPr>
          <w:p w:rsidR="00125477" w:rsidRPr="007D3880" w:rsidRDefault="00125477" w:rsidP="001766CF">
            <w:pPr>
              <w:spacing w:before="0" w:after="0"/>
            </w:pPr>
            <w:r w:rsidRPr="007D3880">
              <w:t>60.1</w:t>
            </w:r>
          </w:p>
        </w:tc>
        <w:tc>
          <w:tcPr>
            <w:tcW w:w="496" w:type="pct"/>
            <w:tcBorders>
              <w:top w:val="nil"/>
              <w:bottom w:val="nil"/>
            </w:tcBorders>
          </w:tcPr>
          <w:p w:rsidR="00125477" w:rsidRPr="007D3880" w:rsidRDefault="00125477" w:rsidP="00125477">
            <w:pPr>
              <w:spacing w:before="0" w:after="0"/>
            </w:pPr>
            <w:r>
              <w:t xml:space="preserve">High very </w:t>
            </w:r>
          </w:p>
        </w:tc>
        <w:tc>
          <w:tcPr>
            <w:tcW w:w="496" w:type="pct"/>
            <w:tcBorders>
              <w:top w:val="nil"/>
              <w:bottom w:val="nil"/>
            </w:tcBorders>
            <w:noWrap/>
            <w:hideMark/>
          </w:tcPr>
          <w:p w:rsidR="00125477" w:rsidRPr="007D3880" w:rsidRDefault="00125477" w:rsidP="001766CF">
            <w:pPr>
              <w:spacing w:before="0" w:after="0"/>
            </w:pPr>
            <w:r w:rsidRPr="007D3880">
              <w:t>4</w:t>
            </w:r>
          </w:p>
        </w:tc>
        <w:tc>
          <w:tcPr>
            <w:tcW w:w="778" w:type="pct"/>
            <w:tcBorders>
              <w:top w:val="nil"/>
              <w:left w:val="nil"/>
              <w:bottom w:val="nil"/>
              <w:right w:val="nil"/>
            </w:tcBorders>
            <w:shd w:val="clear" w:color="auto" w:fill="auto"/>
            <w:noWrap/>
            <w:vAlign w:val="bottom"/>
            <w:hideMark/>
          </w:tcPr>
          <w:p w:rsidR="00125477" w:rsidRDefault="00125477" w:rsidP="001766CF">
            <w:pPr>
              <w:spacing w:before="0" w:after="0"/>
              <w:rPr>
                <w:color w:val="000000"/>
              </w:rPr>
            </w:pPr>
            <w:r>
              <w:rPr>
                <w:color w:val="000000"/>
              </w:rPr>
              <w:t>24</w:t>
            </w:r>
          </w:p>
        </w:tc>
        <w:tc>
          <w:tcPr>
            <w:tcW w:w="514" w:type="pct"/>
            <w:vMerge/>
            <w:tcBorders>
              <w:top w:val="nil"/>
              <w:bottom w:val="nil"/>
            </w:tcBorders>
            <w:noWrap/>
            <w:hideMark/>
          </w:tcPr>
          <w:p w:rsidR="00125477" w:rsidRPr="007D3880" w:rsidRDefault="00125477" w:rsidP="009D434A">
            <w:pPr>
              <w:spacing w:before="0" w:after="0"/>
            </w:pPr>
          </w:p>
        </w:tc>
      </w:tr>
      <w:tr w:rsidR="00125477" w:rsidRPr="007D3880" w:rsidTr="00125477">
        <w:trPr>
          <w:trHeight w:val="300"/>
          <w:jc w:val="center"/>
        </w:trPr>
        <w:tc>
          <w:tcPr>
            <w:tcW w:w="988" w:type="pct"/>
            <w:tcBorders>
              <w:top w:val="nil"/>
              <w:bottom w:val="single" w:sz="4" w:space="0" w:color="auto"/>
            </w:tcBorders>
            <w:noWrap/>
            <w:hideMark/>
          </w:tcPr>
          <w:p w:rsidR="00125477" w:rsidRPr="007D3880" w:rsidRDefault="00125477" w:rsidP="001766CF">
            <w:pPr>
              <w:spacing w:before="0" w:after="0"/>
            </w:pPr>
            <w:r w:rsidRPr="007D3880">
              <w:t>Nn</w:t>
            </w:r>
          </w:p>
        </w:tc>
        <w:tc>
          <w:tcPr>
            <w:tcW w:w="836" w:type="pct"/>
            <w:tcBorders>
              <w:top w:val="nil"/>
              <w:bottom w:val="single" w:sz="4" w:space="0" w:color="auto"/>
            </w:tcBorders>
            <w:noWrap/>
            <w:hideMark/>
          </w:tcPr>
          <w:p w:rsidR="00125477" w:rsidRPr="007D3880" w:rsidRDefault="00125477" w:rsidP="001766CF">
            <w:pPr>
              <w:spacing w:before="0" w:after="0"/>
            </w:pPr>
            <w:r w:rsidRPr="007D3880">
              <w:t>14.6</w:t>
            </w:r>
          </w:p>
        </w:tc>
        <w:tc>
          <w:tcPr>
            <w:tcW w:w="892" w:type="pct"/>
            <w:tcBorders>
              <w:top w:val="nil"/>
              <w:bottom w:val="single" w:sz="4" w:space="0" w:color="auto"/>
            </w:tcBorders>
            <w:noWrap/>
            <w:hideMark/>
          </w:tcPr>
          <w:p w:rsidR="00125477" w:rsidRPr="007D3880" w:rsidRDefault="00125477" w:rsidP="001766CF">
            <w:pPr>
              <w:spacing w:before="0" w:after="0"/>
            </w:pPr>
            <w:r w:rsidRPr="007D3880">
              <w:t>0.3</w:t>
            </w:r>
          </w:p>
        </w:tc>
        <w:tc>
          <w:tcPr>
            <w:tcW w:w="496" w:type="pct"/>
            <w:tcBorders>
              <w:top w:val="nil"/>
              <w:bottom w:val="single" w:sz="4" w:space="0" w:color="auto"/>
            </w:tcBorders>
          </w:tcPr>
          <w:p w:rsidR="00125477" w:rsidRPr="007D3880" w:rsidRDefault="00125477" w:rsidP="001766CF">
            <w:pPr>
              <w:spacing w:before="0" w:after="0"/>
            </w:pPr>
            <w:r>
              <w:t>High</w:t>
            </w:r>
          </w:p>
        </w:tc>
        <w:tc>
          <w:tcPr>
            <w:tcW w:w="496" w:type="pct"/>
            <w:tcBorders>
              <w:top w:val="nil"/>
              <w:bottom w:val="single" w:sz="4" w:space="0" w:color="auto"/>
            </w:tcBorders>
            <w:noWrap/>
            <w:hideMark/>
          </w:tcPr>
          <w:p w:rsidR="00125477" w:rsidRPr="007D3880" w:rsidRDefault="00125477" w:rsidP="001766CF">
            <w:pPr>
              <w:spacing w:before="0" w:after="0"/>
            </w:pPr>
            <w:r w:rsidRPr="007D3880">
              <w:t>5</w:t>
            </w:r>
          </w:p>
        </w:tc>
        <w:tc>
          <w:tcPr>
            <w:tcW w:w="778" w:type="pct"/>
            <w:tcBorders>
              <w:top w:val="nil"/>
              <w:left w:val="nil"/>
              <w:bottom w:val="single" w:sz="4" w:space="0" w:color="auto"/>
              <w:right w:val="nil"/>
            </w:tcBorders>
            <w:shd w:val="clear" w:color="auto" w:fill="auto"/>
            <w:noWrap/>
            <w:vAlign w:val="bottom"/>
            <w:hideMark/>
          </w:tcPr>
          <w:p w:rsidR="00125477" w:rsidRDefault="00125477" w:rsidP="001766CF">
            <w:pPr>
              <w:spacing w:before="0" w:after="0"/>
              <w:rPr>
                <w:color w:val="000000"/>
              </w:rPr>
            </w:pPr>
            <w:r>
              <w:rPr>
                <w:color w:val="000000"/>
              </w:rPr>
              <w:t>49</w:t>
            </w:r>
          </w:p>
        </w:tc>
        <w:tc>
          <w:tcPr>
            <w:tcW w:w="514" w:type="pct"/>
            <w:vMerge/>
            <w:tcBorders>
              <w:top w:val="nil"/>
              <w:bottom w:val="single" w:sz="4" w:space="0" w:color="auto"/>
            </w:tcBorders>
            <w:noWrap/>
            <w:hideMark/>
          </w:tcPr>
          <w:p w:rsidR="00125477" w:rsidRPr="007D3880" w:rsidRDefault="00125477" w:rsidP="009D434A">
            <w:pPr>
              <w:spacing w:before="0" w:after="0"/>
            </w:pPr>
          </w:p>
        </w:tc>
      </w:tr>
    </w:tbl>
    <w:p w:rsidR="00817BEB" w:rsidRDefault="00F2471D" w:rsidP="00F2471D">
      <w:r>
        <w:t>*</w:t>
      </w:r>
      <w:r w:rsidR="006C2984">
        <w:t xml:space="preserve"> (</w:t>
      </w:r>
      <w:r w:rsidR="006C2984" w:rsidRPr="006C2984">
        <w:t>Gobena et al., 1997; Kebede and Mulugeta, 2011</w:t>
      </w:r>
      <w:r w:rsidR="006C2984">
        <w:t xml:space="preserve">; </w:t>
      </w:r>
      <w:r w:rsidR="006C2984" w:rsidRPr="006C2984">
        <w:t>Kifle and Hailemriam, 2010</w:t>
      </w:r>
      <w:r w:rsidR="006C2984">
        <w:t xml:space="preserve">; </w:t>
      </w:r>
      <w:r w:rsidR="006C2984" w:rsidRPr="006C2984">
        <w:t>Kiflu et al., 2009</w:t>
      </w:r>
      <w:r w:rsidR="006C2984">
        <w:t xml:space="preserve">; </w:t>
      </w:r>
      <w:r w:rsidR="006C2984" w:rsidRPr="006C2984">
        <w:t>Mulugeta and Tafa, 2010</w:t>
      </w:r>
      <w:r w:rsidR="006C2984">
        <w:t xml:space="preserve">; </w:t>
      </w:r>
      <w:r w:rsidR="006C2984" w:rsidRPr="006C2984">
        <w:t>Zewdie, 20</w:t>
      </w:r>
      <w:r w:rsidR="006C2984">
        <w:t>11</w:t>
      </w:r>
      <w:r w:rsidR="006C2984" w:rsidRPr="006C2984">
        <w:t>).</w:t>
      </w:r>
    </w:p>
    <w:p w:rsidR="0032314D" w:rsidRPr="00C06B3F" w:rsidRDefault="00E91746" w:rsidP="008D3D8E">
      <w:pPr>
        <w:pStyle w:val="Heading3"/>
        <w:numPr>
          <w:ilvl w:val="2"/>
          <w:numId w:val="3"/>
        </w:numPr>
      </w:pPr>
      <w:bookmarkStart w:id="183" w:name="_Toc68025096"/>
      <w:bookmarkStart w:id="184" w:name="_Toc68761578"/>
      <w:r w:rsidRPr="00C06B3F">
        <w:t xml:space="preserve">The </w:t>
      </w:r>
      <w:r w:rsidR="00705C30" w:rsidRPr="00C06B3F">
        <w:t xml:space="preserve">Thematic Map </w:t>
      </w:r>
      <w:r w:rsidR="0093019E" w:rsidRPr="00C06B3F">
        <w:t xml:space="preserve">of </w:t>
      </w:r>
      <w:r w:rsidR="00705C30" w:rsidRPr="00C06B3F">
        <w:t>Rainfall Distribution</w:t>
      </w:r>
      <w:bookmarkEnd w:id="183"/>
      <w:bookmarkEnd w:id="184"/>
      <w:r w:rsidR="00705C30" w:rsidRPr="00C06B3F">
        <w:t xml:space="preserve"> </w:t>
      </w:r>
    </w:p>
    <w:p w:rsidR="005B7069" w:rsidRDefault="00EC4369" w:rsidP="00961DEE">
      <w:r>
        <w:t xml:space="preserve">The </w:t>
      </w:r>
      <w:r w:rsidR="00353818" w:rsidRPr="00456014">
        <w:t>Thiessen polygon technique</w:t>
      </w:r>
      <w:r>
        <w:t xml:space="preserve">s of </w:t>
      </w:r>
      <w:r w:rsidRPr="00456014">
        <w:t>areal</w:t>
      </w:r>
      <w:r>
        <w:t xml:space="preserve"> rainfall distribution </w:t>
      </w:r>
      <w:r w:rsidR="005D5CEE">
        <w:t xml:space="preserve">approach </w:t>
      </w:r>
      <w:r w:rsidR="00353818" w:rsidRPr="00456014">
        <w:t xml:space="preserve">provides a good result </w:t>
      </w:r>
      <w:r w:rsidR="00630D22">
        <w:t xml:space="preserve">of </w:t>
      </w:r>
      <w:r w:rsidR="00353818" w:rsidRPr="00456014">
        <w:t>for non-uniformly distributed rain gauge</w:t>
      </w:r>
      <w:r w:rsidR="00062D5A">
        <w:t>s</w:t>
      </w:r>
      <w:r w:rsidR="00353818" w:rsidRPr="00456014">
        <w:t xml:space="preserve"> over a flat area and hilly</w:t>
      </w:r>
      <w:r w:rsidR="002109AB" w:rsidRPr="00456014">
        <w:t xml:space="preserve"> terrains. </w:t>
      </w:r>
    </w:p>
    <w:p w:rsidR="00353818" w:rsidRPr="00456014" w:rsidRDefault="00DE7169" w:rsidP="00961DEE">
      <w:r>
        <w:lastRenderedPageBreak/>
        <w:t xml:space="preserve">Depending on the contribution of rainfall </w:t>
      </w:r>
      <w:r w:rsidRPr="00456014">
        <w:t xml:space="preserve">the relative weight of </w:t>
      </w:r>
      <w:r w:rsidR="00062D5A">
        <w:t xml:space="preserve">the </w:t>
      </w:r>
      <w:r>
        <w:t xml:space="preserve">clustered rainfall </w:t>
      </w:r>
      <w:r w:rsidRPr="00456014">
        <w:t>classes</w:t>
      </w:r>
      <w:r>
        <w:t xml:space="preserve"> was </w:t>
      </w:r>
      <w:r w:rsidRPr="00456014">
        <w:t>assigned</w:t>
      </w:r>
      <w:r>
        <w:t xml:space="preserve">. </w:t>
      </w:r>
      <w:r w:rsidR="00353818" w:rsidRPr="00456014">
        <w:t xml:space="preserve">The </w:t>
      </w:r>
      <w:r w:rsidR="009B3701">
        <w:t xml:space="preserve">thematic layer of </w:t>
      </w:r>
      <w:r w:rsidR="00353818" w:rsidRPr="00456014">
        <w:t>av</w:t>
      </w:r>
      <w:r w:rsidR="00F60E86">
        <w:t xml:space="preserve">erage annual rainfall </w:t>
      </w:r>
      <w:r w:rsidR="00353818" w:rsidRPr="00456014">
        <w:t>distribution was classified into five classes</w:t>
      </w:r>
      <w:r w:rsidR="00807DA2">
        <w:t>.</w:t>
      </w:r>
      <w:r w:rsidR="005B7069">
        <w:t xml:space="preserve"> The </w:t>
      </w:r>
      <w:r w:rsidR="001466D0">
        <w:t>R</w:t>
      </w:r>
      <w:r w:rsidR="005B7069">
        <w:t xml:space="preserve">eclassification </w:t>
      </w:r>
      <w:r w:rsidR="008D1D3F">
        <w:t xml:space="preserve">was accomplished through AHP. </w:t>
      </w:r>
      <w:r w:rsidR="005D5CEE">
        <w:t xml:space="preserve">Suitability, the </w:t>
      </w:r>
      <w:r w:rsidR="00492A2D">
        <w:t xml:space="preserve">scale value </w:t>
      </w:r>
      <w:r w:rsidR="00213A62">
        <w:t xml:space="preserve">and </w:t>
      </w:r>
      <w:r w:rsidR="00A54793">
        <w:t>CR</w:t>
      </w:r>
      <w:r w:rsidR="00213A62">
        <w:t xml:space="preserve"> </w:t>
      </w:r>
      <w:r w:rsidR="004908CC">
        <w:t>we</w:t>
      </w:r>
      <w:r w:rsidR="00353818" w:rsidRPr="00456014">
        <w:t xml:space="preserve">re determined and tabulated in </w:t>
      </w:r>
      <w:r w:rsidR="00284DC5" w:rsidRPr="00456014">
        <w:t>Table 4.</w:t>
      </w:r>
      <w:r w:rsidR="00E95812">
        <w:t>4</w:t>
      </w:r>
      <w:r w:rsidR="00353818" w:rsidRPr="00456014">
        <w:t>.</w:t>
      </w:r>
      <w:r w:rsidR="004908CC">
        <w:t xml:space="preserve"> </w:t>
      </w:r>
      <w:r w:rsidR="00353818" w:rsidRPr="00456014">
        <w:t xml:space="preserve">The computed consistency </w:t>
      </w:r>
      <w:r w:rsidR="003F2C3D" w:rsidRPr="00456014">
        <w:t xml:space="preserve">ratio </w:t>
      </w:r>
      <w:r w:rsidR="003F2C3D">
        <w:t>0.047 confirms</w:t>
      </w:r>
      <w:r w:rsidR="00971997">
        <w:t xml:space="preserve"> consistency of</w:t>
      </w:r>
      <w:r w:rsidR="00353818" w:rsidRPr="00456014">
        <w:t xml:space="preserve"> </w:t>
      </w:r>
      <w:r w:rsidR="00971997">
        <w:t xml:space="preserve">pairwise comparison </w:t>
      </w:r>
      <w:r w:rsidR="00353818" w:rsidRPr="00456014">
        <w:t>matrix.</w:t>
      </w:r>
    </w:p>
    <w:p w:rsidR="001B3123" w:rsidRPr="00456014" w:rsidRDefault="001B3123" w:rsidP="00961DEE">
      <w:pPr>
        <w:rPr>
          <w:bCs/>
        </w:rPr>
      </w:pPr>
      <w:bookmarkStart w:id="185" w:name="_Hlk52051047"/>
      <w:bookmarkStart w:id="186" w:name="_Toc68761598"/>
      <w:r w:rsidRPr="00456014">
        <w:rPr>
          <w:bCs/>
        </w:rPr>
        <w:t xml:space="preserve">Table </w:t>
      </w:r>
      <w:r w:rsidR="001578A8" w:rsidRPr="00456014">
        <w:rPr>
          <w:bCs/>
        </w:rPr>
        <w:fldChar w:fldCharType="begin"/>
      </w:r>
      <w:r w:rsidR="001578A8" w:rsidRPr="00456014">
        <w:rPr>
          <w:bCs/>
        </w:rPr>
        <w:instrText xml:space="preserve"> STYLEREF 1 \s </w:instrText>
      </w:r>
      <w:r w:rsidR="001578A8" w:rsidRPr="00456014">
        <w:rPr>
          <w:bCs/>
        </w:rPr>
        <w:fldChar w:fldCharType="separate"/>
      </w:r>
      <w:r w:rsidR="00BD510E">
        <w:rPr>
          <w:bCs/>
          <w:noProof/>
        </w:rPr>
        <w:t>4</w:t>
      </w:r>
      <w:r w:rsidR="001578A8" w:rsidRPr="00456014">
        <w:rPr>
          <w:bCs/>
        </w:rPr>
        <w:fldChar w:fldCharType="end"/>
      </w:r>
      <w:r w:rsidR="001578A8" w:rsidRPr="00456014">
        <w:rPr>
          <w:bCs/>
        </w:rPr>
        <w:t>.</w:t>
      </w:r>
      <w:r w:rsidR="001578A8" w:rsidRPr="00456014">
        <w:rPr>
          <w:bCs/>
        </w:rPr>
        <w:fldChar w:fldCharType="begin"/>
      </w:r>
      <w:r w:rsidR="001578A8" w:rsidRPr="00456014">
        <w:rPr>
          <w:bCs/>
        </w:rPr>
        <w:instrText xml:space="preserve"> SEQ Table \* ARABIC \s 1 </w:instrText>
      </w:r>
      <w:r w:rsidR="001578A8" w:rsidRPr="00456014">
        <w:rPr>
          <w:bCs/>
        </w:rPr>
        <w:fldChar w:fldCharType="separate"/>
      </w:r>
      <w:r w:rsidR="00BD510E">
        <w:rPr>
          <w:bCs/>
          <w:noProof/>
        </w:rPr>
        <w:t>4</w:t>
      </w:r>
      <w:r w:rsidR="001578A8" w:rsidRPr="00456014">
        <w:rPr>
          <w:bCs/>
        </w:rPr>
        <w:fldChar w:fldCharType="end"/>
      </w:r>
      <w:bookmarkEnd w:id="185"/>
      <w:r w:rsidRPr="00456014">
        <w:rPr>
          <w:bCs/>
        </w:rPr>
        <w:t>:</w:t>
      </w:r>
      <w:r w:rsidR="00376B16" w:rsidRPr="00456014">
        <w:rPr>
          <w:bCs/>
        </w:rPr>
        <w:t xml:space="preserve"> Rainfall distribution</w:t>
      </w:r>
      <w:r w:rsidR="00F26ECF" w:rsidRPr="00456014">
        <w:rPr>
          <w:bCs/>
        </w:rPr>
        <w:t xml:space="preserve"> and relative weigh</w:t>
      </w:r>
      <w:r w:rsidR="00334496" w:rsidRPr="00456014">
        <w:rPr>
          <w:bCs/>
        </w:rPr>
        <w:t xml:space="preserve">t as per suitability for </w:t>
      </w:r>
      <w:r w:rsidR="0075025D" w:rsidRPr="00456014">
        <w:rPr>
          <w:bCs/>
        </w:rPr>
        <w:t>GWPZ</w:t>
      </w:r>
      <w:bookmarkEnd w:id="186"/>
    </w:p>
    <w:tbl>
      <w:tblPr>
        <w:tblW w:w="5000" w:type="pct"/>
        <w:jc w:val="center"/>
        <w:tblBorders>
          <w:top w:val="single" w:sz="4" w:space="0" w:color="auto"/>
          <w:bottom w:val="single" w:sz="4" w:space="0" w:color="auto"/>
        </w:tblBorders>
        <w:tblLook w:val="04A0" w:firstRow="1" w:lastRow="0" w:firstColumn="1" w:lastColumn="0" w:noHBand="0" w:noVBand="1"/>
      </w:tblPr>
      <w:tblGrid>
        <w:gridCol w:w="1705"/>
        <w:gridCol w:w="1886"/>
        <w:gridCol w:w="1627"/>
        <w:gridCol w:w="992"/>
        <w:gridCol w:w="1751"/>
        <w:gridCol w:w="1039"/>
      </w:tblGrid>
      <w:tr w:rsidR="00F51550" w:rsidRPr="00456014" w:rsidTr="00895794">
        <w:trPr>
          <w:trHeight w:val="701"/>
          <w:jc w:val="center"/>
        </w:trPr>
        <w:tc>
          <w:tcPr>
            <w:tcW w:w="947" w:type="pct"/>
            <w:tcBorders>
              <w:top w:val="single" w:sz="4" w:space="0" w:color="auto"/>
              <w:bottom w:val="single" w:sz="4" w:space="0" w:color="auto"/>
            </w:tcBorders>
            <w:shd w:val="clear" w:color="auto" w:fill="auto"/>
          </w:tcPr>
          <w:p w:rsidR="00F51550" w:rsidRPr="00456014" w:rsidRDefault="00F51550" w:rsidP="00961DEE">
            <w:pPr>
              <w:spacing w:before="0" w:after="0"/>
              <w:rPr>
                <w:rFonts w:eastAsia="Times New Roman"/>
                <w:iCs/>
                <w:lang w:val="en-GB"/>
              </w:rPr>
            </w:pPr>
            <w:r w:rsidRPr="00456014">
              <w:rPr>
                <w:rFonts w:eastAsia="Times New Roman"/>
                <w:iCs/>
                <w:lang w:val="en-GB"/>
              </w:rPr>
              <w:t>Factor</w:t>
            </w:r>
          </w:p>
        </w:tc>
        <w:tc>
          <w:tcPr>
            <w:tcW w:w="1048" w:type="pct"/>
            <w:tcBorders>
              <w:top w:val="single" w:sz="4" w:space="0" w:color="auto"/>
              <w:bottom w:val="single" w:sz="4" w:space="0" w:color="auto"/>
            </w:tcBorders>
            <w:shd w:val="clear" w:color="auto" w:fill="auto"/>
            <w:noWrap/>
            <w:hideMark/>
          </w:tcPr>
          <w:p w:rsidR="00F51550" w:rsidRPr="00807DA2" w:rsidRDefault="00F51550" w:rsidP="00961DEE">
            <w:pPr>
              <w:spacing w:before="0" w:after="0"/>
              <w:rPr>
                <w:rFonts w:eastAsia="Times New Roman"/>
                <w:iCs/>
                <w:lang w:val="en-GB"/>
              </w:rPr>
            </w:pPr>
            <w:r>
              <w:rPr>
                <w:rFonts w:eastAsia="Times New Roman"/>
                <w:iCs/>
                <w:lang w:val="en-GB"/>
              </w:rPr>
              <w:t>Rainfall</w:t>
            </w:r>
            <w:r w:rsidRPr="00456014">
              <w:rPr>
                <w:rFonts w:eastAsia="Times New Roman"/>
                <w:iCs/>
                <w:lang w:val="en-GB"/>
              </w:rPr>
              <w:t>(mm)</w:t>
            </w:r>
          </w:p>
        </w:tc>
        <w:tc>
          <w:tcPr>
            <w:tcW w:w="904" w:type="pct"/>
            <w:tcBorders>
              <w:top w:val="single" w:sz="4" w:space="0" w:color="auto"/>
              <w:bottom w:val="single" w:sz="4" w:space="0" w:color="auto"/>
            </w:tcBorders>
            <w:shd w:val="clear" w:color="auto" w:fill="auto"/>
          </w:tcPr>
          <w:p w:rsidR="00F51550" w:rsidRPr="00E53866" w:rsidRDefault="00F51550" w:rsidP="00961DEE">
            <w:pPr>
              <w:spacing w:before="0" w:after="0"/>
              <w:rPr>
                <w:rFonts w:eastAsia="Times New Roman"/>
                <w:iCs/>
                <w:vertAlign w:val="superscript"/>
              </w:rPr>
            </w:pPr>
            <w:r w:rsidRPr="00456014">
              <w:rPr>
                <w:rFonts w:eastAsia="Times New Roman"/>
                <w:iCs/>
                <w:lang w:val="en-GB"/>
              </w:rPr>
              <w:t>Suitability</w:t>
            </w:r>
            <w:r w:rsidR="00E53866">
              <w:rPr>
                <w:rFonts w:eastAsia="Times New Roman"/>
                <w:iCs/>
                <w:vertAlign w:val="superscript"/>
                <w:lang w:val="en-GB"/>
              </w:rPr>
              <w:t>*</w:t>
            </w:r>
          </w:p>
        </w:tc>
        <w:tc>
          <w:tcPr>
            <w:tcW w:w="551" w:type="pct"/>
            <w:tcBorders>
              <w:top w:val="single" w:sz="4" w:space="0" w:color="auto"/>
              <w:bottom w:val="single" w:sz="4" w:space="0" w:color="auto"/>
            </w:tcBorders>
            <w:shd w:val="clear" w:color="auto" w:fill="auto"/>
          </w:tcPr>
          <w:p w:rsidR="00F51550" w:rsidRPr="00456014" w:rsidRDefault="00F51550" w:rsidP="00961DEE">
            <w:pPr>
              <w:spacing w:before="0" w:after="0"/>
              <w:rPr>
                <w:rFonts w:eastAsia="Times New Roman"/>
                <w:iCs/>
              </w:rPr>
            </w:pPr>
            <w:r>
              <w:rPr>
                <w:rFonts w:eastAsia="Times New Roman"/>
                <w:iCs/>
              </w:rPr>
              <w:t>Scale value</w:t>
            </w:r>
            <w:r w:rsidRPr="00456014">
              <w:rPr>
                <w:rFonts w:eastAsia="Times New Roman"/>
                <w:iCs/>
              </w:rPr>
              <w:t xml:space="preserve"> </w:t>
            </w:r>
          </w:p>
        </w:tc>
        <w:tc>
          <w:tcPr>
            <w:tcW w:w="973" w:type="pct"/>
            <w:tcBorders>
              <w:top w:val="single" w:sz="4" w:space="0" w:color="auto"/>
              <w:bottom w:val="single" w:sz="4" w:space="0" w:color="auto"/>
            </w:tcBorders>
            <w:shd w:val="clear" w:color="auto" w:fill="auto"/>
          </w:tcPr>
          <w:p w:rsidR="00F51550" w:rsidRPr="00456014" w:rsidRDefault="00F51550" w:rsidP="00961DEE">
            <w:pPr>
              <w:spacing w:before="0" w:after="0"/>
              <w:rPr>
                <w:rFonts w:eastAsia="Times New Roman"/>
                <w:iCs/>
              </w:rPr>
            </w:pPr>
            <w:r w:rsidRPr="00456014">
              <w:rPr>
                <w:rFonts w:eastAsia="Times New Roman"/>
                <w:iCs/>
              </w:rPr>
              <w:t>Relative Weight (%)</w:t>
            </w:r>
          </w:p>
        </w:tc>
        <w:tc>
          <w:tcPr>
            <w:tcW w:w="577" w:type="pct"/>
            <w:tcBorders>
              <w:top w:val="single" w:sz="4" w:space="0" w:color="auto"/>
              <w:bottom w:val="single" w:sz="4" w:space="0" w:color="auto"/>
            </w:tcBorders>
            <w:shd w:val="clear" w:color="auto" w:fill="auto"/>
          </w:tcPr>
          <w:p w:rsidR="00F51550" w:rsidRPr="00456014" w:rsidRDefault="00F51550" w:rsidP="00961DEE">
            <w:pPr>
              <w:spacing w:before="0" w:after="0"/>
              <w:rPr>
                <w:rFonts w:eastAsia="Times New Roman"/>
                <w:iCs/>
              </w:rPr>
            </w:pPr>
            <w:r w:rsidRPr="00456014">
              <w:rPr>
                <w:rFonts w:eastAsia="Times New Roman"/>
                <w:iCs/>
              </w:rPr>
              <w:t>CR</w:t>
            </w:r>
          </w:p>
        </w:tc>
      </w:tr>
      <w:tr w:rsidR="00F51550" w:rsidRPr="00456014" w:rsidTr="00895794">
        <w:trPr>
          <w:trHeight w:val="261"/>
          <w:jc w:val="center"/>
        </w:trPr>
        <w:tc>
          <w:tcPr>
            <w:tcW w:w="947" w:type="pct"/>
            <w:vMerge w:val="restart"/>
            <w:tcBorders>
              <w:top w:val="single" w:sz="4" w:space="0" w:color="auto"/>
            </w:tcBorders>
            <w:shd w:val="clear" w:color="auto" w:fill="auto"/>
          </w:tcPr>
          <w:p w:rsidR="00F51550" w:rsidRPr="00456014" w:rsidRDefault="00F51550" w:rsidP="00961DEE">
            <w:pPr>
              <w:spacing w:before="0" w:after="0"/>
              <w:rPr>
                <w:rFonts w:eastAsia="Times New Roman"/>
                <w:iCs/>
              </w:rPr>
            </w:pPr>
            <w:r w:rsidRPr="00456014">
              <w:rPr>
                <w:rFonts w:eastAsia="Times New Roman"/>
                <w:iCs/>
                <w:lang w:val="en-GB"/>
              </w:rPr>
              <w:t>Rainfall (mm/year)</w:t>
            </w:r>
          </w:p>
        </w:tc>
        <w:tc>
          <w:tcPr>
            <w:tcW w:w="1048" w:type="pct"/>
            <w:tcBorders>
              <w:top w:val="single" w:sz="4" w:space="0" w:color="auto"/>
            </w:tcBorders>
            <w:shd w:val="clear" w:color="auto" w:fill="auto"/>
            <w:noWrap/>
            <w:hideMark/>
          </w:tcPr>
          <w:p w:rsidR="00F51550" w:rsidRPr="00456014" w:rsidRDefault="00F51550" w:rsidP="00961DEE">
            <w:pPr>
              <w:spacing w:before="0" w:after="0"/>
              <w:rPr>
                <w:rFonts w:eastAsia="Times New Roman"/>
              </w:rPr>
            </w:pPr>
            <w:r w:rsidRPr="00E95812">
              <w:t>1352-1055</w:t>
            </w:r>
          </w:p>
        </w:tc>
        <w:tc>
          <w:tcPr>
            <w:tcW w:w="904" w:type="pct"/>
            <w:tcBorders>
              <w:top w:val="single" w:sz="4" w:space="0" w:color="auto"/>
            </w:tcBorders>
            <w:shd w:val="clear" w:color="auto" w:fill="auto"/>
          </w:tcPr>
          <w:p w:rsidR="00F51550" w:rsidRPr="00456014" w:rsidRDefault="00F51550" w:rsidP="009307B2">
            <w:pPr>
              <w:spacing w:before="0" w:after="0"/>
            </w:pPr>
            <w:r w:rsidRPr="00456014">
              <w:rPr>
                <w:rFonts w:eastAsia="TimesNewRomanPSMT"/>
              </w:rPr>
              <w:t xml:space="preserve">Very </w:t>
            </w:r>
            <w:r w:rsidR="009307B2">
              <w:rPr>
                <w:rFonts w:eastAsia="TimesNewRomanPSMT"/>
              </w:rPr>
              <w:t>high</w:t>
            </w:r>
          </w:p>
        </w:tc>
        <w:tc>
          <w:tcPr>
            <w:tcW w:w="551" w:type="pct"/>
            <w:tcBorders>
              <w:top w:val="single" w:sz="4" w:space="0" w:color="auto"/>
            </w:tcBorders>
            <w:shd w:val="clear" w:color="auto" w:fill="auto"/>
          </w:tcPr>
          <w:p w:rsidR="00F51550" w:rsidRPr="00456014" w:rsidRDefault="00F51550" w:rsidP="00961DEE">
            <w:pPr>
              <w:spacing w:before="0" w:after="0"/>
            </w:pPr>
            <w:r>
              <w:t>5</w:t>
            </w:r>
          </w:p>
        </w:tc>
        <w:tc>
          <w:tcPr>
            <w:tcW w:w="973" w:type="pct"/>
            <w:tcBorders>
              <w:top w:val="single" w:sz="4" w:space="0" w:color="auto"/>
            </w:tcBorders>
            <w:shd w:val="clear" w:color="auto" w:fill="auto"/>
          </w:tcPr>
          <w:p w:rsidR="00F51550" w:rsidRPr="00456014" w:rsidRDefault="00F51550" w:rsidP="00961DEE">
            <w:pPr>
              <w:spacing w:before="0" w:after="0"/>
            </w:pPr>
            <w:r w:rsidRPr="00456014">
              <w:t>46</w:t>
            </w:r>
          </w:p>
        </w:tc>
        <w:tc>
          <w:tcPr>
            <w:tcW w:w="577" w:type="pct"/>
            <w:vMerge w:val="restart"/>
            <w:tcBorders>
              <w:top w:val="single" w:sz="4" w:space="0" w:color="auto"/>
            </w:tcBorders>
            <w:shd w:val="clear" w:color="auto" w:fill="auto"/>
          </w:tcPr>
          <w:p w:rsidR="00F51550" w:rsidRPr="00456014" w:rsidRDefault="00F51550" w:rsidP="00961DEE">
            <w:pPr>
              <w:spacing w:before="0" w:after="0"/>
            </w:pPr>
            <w:r w:rsidRPr="00456014">
              <w:t>0.047</w:t>
            </w:r>
          </w:p>
        </w:tc>
      </w:tr>
      <w:tr w:rsidR="00F51550" w:rsidRPr="00456014" w:rsidTr="00895794">
        <w:trPr>
          <w:trHeight w:val="261"/>
          <w:jc w:val="center"/>
        </w:trPr>
        <w:tc>
          <w:tcPr>
            <w:tcW w:w="947" w:type="pct"/>
            <w:vMerge/>
            <w:shd w:val="clear" w:color="auto" w:fill="auto"/>
          </w:tcPr>
          <w:p w:rsidR="00F51550" w:rsidRPr="00456014" w:rsidRDefault="00F51550" w:rsidP="00961DEE">
            <w:pPr>
              <w:spacing w:before="0" w:after="0"/>
              <w:rPr>
                <w:rFonts w:eastAsia="Times New Roman"/>
                <w:iCs/>
              </w:rPr>
            </w:pPr>
          </w:p>
        </w:tc>
        <w:tc>
          <w:tcPr>
            <w:tcW w:w="1048" w:type="pct"/>
            <w:shd w:val="clear" w:color="auto" w:fill="auto"/>
            <w:noWrap/>
            <w:hideMark/>
          </w:tcPr>
          <w:p w:rsidR="00F51550" w:rsidRPr="00456014" w:rsidRDefault="00F51550" w:rsidP="00961DEE">
            <w:pPr>
              <w:spacing w:before="0" w:after="0"/>
              <w:rPr>
                <w:rFonts w:eastAsia="Times New Roman"/>
              </w:rPr>
            </w:pPr>
            <w:r w:rsidRPr="00E95812">
              <w:t>1055-921</w:t>
            </w:r>
          </w:p>
        </w:tc>
        <w:tc>
          <w:tcPr>
            <w:tcW w:w="904" w:type="pct"/>
            <w:shd w:val="clear" w:color="auto" w:fill="auto"/>
          </w:tcPr>
          <w:p w:rsidR="00F51550" w:rsidRPr="00456014" w:rsidRDefault="009307B2" w:rsidP="00961DEE">
            <w:pPr>
              <w:spacing w:before="0" w:after="0"/>
            </w:pPr>
            <w:r>
              <w:rPr>
                <w:rFonts w:eastAsia="TimesNewRomanPSMT"/>
              </w:rPr>
              <w:t>High</w:t>
            </w:r>
          </w:p>
        </w:tc>
        <w:tc>
          <w:tcPr>
            <w:tcW w:w="551" w:type="pct"/>
            <w:shd w:val="clear" w:color="auto" w:fill="auto"/>
          </w:tcPr>
          <w:p w:rsidR="00F51550" w:rsidRPr="00456014" w:rsidRDefault="00F51550" w:rsidP="00961DEE">
            <w:pPr>
              <w:spacing w:before="0" w:after="0"/>
            </w:pPr>
            <w:r>
              <w:t>4</w:t>
            </w:r>
          </w:p>
        </w:tc>
        <w:tc>
          <w:tcPr>
            <w:tcW w:w="973" w:type="pct"/>
            <w:shd w:val="clear" w:color="auto" w:fill="auto"/>
          </w:tcPr>
          <w:p w:rsidR="00F51550" w:rsidRPr="00456014" w:rsidRDefault="00F51550" w:rsidP="00961DEE">
            <w:pPr>
              <w:spacing w:before="0" w:after="0"/>
            </w:pPr>
            <w:r w:rsidRPr="00456014">
              <w:t>27</w:t>
            </w:r>
          </w:p>
        </w:tc>
        <w:tc>
          <w:tcPr>
            <w:tcW w:w="577" w:type="pct"/>
            <w:vMerge/>
            <w:shd w:val="clear" w:color="auto" w:fill="auto"/>
          </w:tcPr>
          <w:p w:rsidR="00F51550" w:rsidRPr="00456014" w:rsidRDefault="00F51550" w:rsidP="00961DEE">
            <w:pPr>
              <w:spacing w:before="0" w:after="0"/>
            </w:pPr>
          </w:p>
        </w:tc>
      </w:tr>
      <w:tr w:rsidR="00F51550" w:rsidRPr="00456014" w:rsidTr="00895794">
        <w:trPr>
          <w:trHeight w:val="261"/>
          <w:jc w:val="center"/>
        </w:trPr>
        <w:tc>
          <w:tcPr>
            <w:tcW w:w="947" w:type="pct"/>
            <w:shd w:val="clear" w:color="auto" w:fill="auto"/>
          </w:tcPr>
          <w:p w:rsidR="00F51550" w:rsidRPr="00456014" w:rsidRDefault="00F51550" w:rsidP="00961DEE">
            <w:pPr>
              <w:spacing w:before="0" w:after="0"/>
              <w:rPr>
                <w:rFonts w:eastAsia="Times New Roman"/>
                <w:iCs/>
              </w:rPr>
            </w:pPr>
          </w:p>
        </w:tc>
        <w:tc>
          <w:tcPr>
            <w:tcW w:w="1048" w:type="pct"/>
            <w:shd w:val="clear" w:color="auto" w:fill="auto"/>
            <w:noWrap/>
            <w:hideMark/>
          </w:tcPr>
          <w:p w:rsidR="00F51550" w:rsidRPr="00456014" w:rsidRDefault="00F51550" w:rsidP="00961DEE">
            <w:pPr>
              <w:spacing w:before="0" w:after="0"/>
              <w:rPr>
                <w:rFonts w:eastAsia="Times New Roman"/>
              </w:rPr>
            </w:pPr>
            <w:r w:rsidRPr="00E95812">
              <w:t>921-832</w:t>
            </w:r>
          </w:p>
        </w:tc>
        <w:tc>
          <w:tcPr>
            <w:tcW w:w="904" w:type="pct"/>
            <w:shd w:val="clear" w:color="auto" w:fill="auto"/>
          </w:tcPr>
          <w:p w:rsidR="00F51550" w:rsidRPr="00456014" w:rsidRDefault="00F51550" w:rsidP="00961DEE">
            <w:pPr>
              <w:spacing w:before="0" w:after="0"/>
            </w:pPr>
            <w:r w:rsidRPr="00456014">
              <w:t>Moderate</w:t>
            </w:r>
          </w:p>
        </w:tc>
        <w:tc>
          <w:tcPr>
            <w:tcW w:w="551" w:type="pct"/>
            <w:shd w:val="clear" w:color="auto" w:fill="auto"/>
          </w:tcPr>
          <w:p w:rsidR="00F51550" w:rsidRPr="00456014" w:rsidRDefault="00F51550" w:rsidP="00961DEE">
            <w:pPr>
              <w:spacing w:before="0" w:after="0"/>
            </w:pPr>
            <w:r>
              <w:t>3</w:t>
            </w:r>
          </w:p>
        </w:tc>
        <w:tc>
          <w:tcPr>
            <w:tcW w:w="973" w:type="pct"/>
            <w:shd w:val="clear" w:color="auto" w:fill="auto"/>
          </w:tcPr>
          <w:p w:rsidR="00F51550" w:rsidRPr="00456014" w:rsidRDefault="00F51550" w:rsidP="00961DEE">
            <w:pPr>
              <w:spacing w:before="0" w:after="0"/>
            </w:pPr>
            <w:r w:rsidRPr="00456014">
              <w:t>16</w:t>
            </w:r>
          </w:p>
        </w:tc>
        <w:tc>
          <w:tcPr>
            <w:tcW w:w="577" w:type="pct"/>
            <w:vMerge/>
            <w:shd w:val="clear" w:color="auto" w:fill="auto"/>
          </w:tcPr>
          <w:p w:rsidR="00F51550" w:rsidRPr="00456014" w:rsidRDefault="00F51550" w:rsidP="00961DEE">
            <w:pPr>
              <w:spacing w:before="0" w:after="0"/>
            </w:pPr>
          </w:p>
        </w:tc>
      </w:tr>
      <w:tr w:rsidR="00F51550" w:rsidRPr="00456014" w:rsidTr="00895794">
        <w:trPr>
          <w:trHeight w:val="261"/>
          <w:jc w:val="center"/>
        </w:trPr>
        <w:tc>
          <w:tcPr>
            <w:tcW w:w="947" w:type="pct"/>
            <w:shd w:val="clear" w:color="auto" w:fill="auto"/>
          </w:tcPr>
          <w:p w:rsidR="00F51550" w:rsidRPr="00456014" w:rsidRDefault="00F51550" w:rsidP="00961DEE">
            <w:pPr>
              <w:spacing w:before="0" w:after="0"/>
              <w:rPr>
                <w:rFonts w:eastAsia="Times New Roman"/>
                <w:iCs/>
              </w:rPr>
            </w:pPr>
          </w:p>
        </w:tc>
        <w:tc>
          <w:tcPr>
            <w:tcW w:w="1048" w:type="pct"/>
            <w:shd w:val="clear" w:color="auto" w:fill="auto"/>
            <w:noWrap/>
            <w:hideMark/>
          </w:tcPr>
          <w:p w:rsidR="00F51550" w:rsidRPr="00456014" w:rsidRDefault="00F51550" w:rsidP="00961DEE">
            <w:pPr>
              <w:spacing w:before="0" w:after="0"/>
              <w:rPr>
                <w:rFonts w:eastAsia="Times New Roman"/>
              </w:rPr>
            </w:pPr>
            <w:r w:rsidRPr="00E95812">
              <w:rPr>
                <w:rFonts w:eastAsia="Times New Roman"/>
              </w:rPr>
              <w:t>832-723</w:t>
            </w:r>
          </w:p>
        </w:tc>
        <w:tc>
          <w:tcPr>
            <w:tcW w:w="904" w:type="pct"/>
            <w:shd w:val="clear" w:color="auto" w:fill="auto"/>
          </w:tcPr>
          <w:p w:rsidR="00F51550" w:rsidRPr="00456014" w:rsidRDefault="00F51550" w:rsidP="00961DEE">
            <w:pPr>
              <w:spacing w:before="0" w:after="0"/>
            </w:pPr>
            <w:r w:rsidRPr="00456014">
              <w:t>Poor</w:t>
            </w:r>
          </w:p>
        </w:tc>
        <w:tc>
          <w:tcPr>
            <w:tcW w:w="551" w:type="pct"/>
            <w:shd w:val="clear" w:color="auto" w:fill="auto"/>
          </w:tcPr>
          <w:p w:rsidR="00F51550" w:rsidRPr="00456014" w:rsidRDefault="00F51550" w:rsidP="00961DEE">
            <w:pPr>
              <w:spacing w:before="0" w:after="0"/>
            </w:pPr>
            <w:r>
              <w:t>2</w:t>
            </w:r>
          </w:p>
        </w:tc>
        <w:tc>
          <w:tcPr>
            <w:tcW w:w="973" w:type="pct"/>
            <w:shd w:val="clear" w:color="auto" w:fill="auto"/>
          </w:tcPr>
          <w:p w:rsidR="00F51550" w:rsidRPr="00456014" w:rsidRDefault="00F51550" w:rsidP="00961DEE">
            <w:pPr>
              <w:spacing w:before="0" w:after="0"/>
            </w:pPr>
            <w:r w:rsidRPr="00456014">
              <w:t>7</w:t>
            </w:r>
          </w:p>
        </w:tc>
        <w:tc>
          <w:tcPr>
            <w:tcW w:w="577" w:type="pct"/>
            <w:vMerge/>
            <w:shd w:val="clear" w:color="auto" w:fill="auto"/>
          </w:tcPr>
          <w:p w:rsidR="00F51550" w:rsidRPr="00456014" w:rsidRDefault="00F51550" w:rsidP="00961DEE">
            <w:pPr>
              <w:spacing w:before="0" w:after="0"/>
            </w:pPr>
          </w:p>
        </w:tc>
      </w:tr>
      <w:tr w:rsidR="00F51550" w:rsidRPr="00456014" w:rsidTr="00895794">
        <w:trPr>
          <w:trHeight w:val="261"/>
          <w:jc w:val="center"/>
        </w:trPr>
        <w:tc>
          <w:tcPr>
            <w:tcW w:w="947" w:type="pct"/>
            <w:shd w:val="clear" w:color="auto" w:fill="auto"/>
          </w:tcPr>
          <w:p w:rsidR="00F51550" w:rsidRPr="00456014" w:rsidRDefault="00F51550" w:rsidP="00961DEE">
            <w:pPr>
              <w:spacing w:before="0" w:after="0"/>
              <w:rPr>
                <w:rFonts w:eastAsia="Times New Roman"/>
                <w:iCs/>
              </w:rPr>
            </w:pPr>
          </w:p>
        </w:tc>
        <w:tc>
          <w:tcPr>
            <w:tcW w:w="1048" w:type="pct"/>
            <w:shd w:val="clear" w:color="auto" w:fill="auto"/>
            <w:noWrap/>
          </w:tcPr>
          <w:p w:rsidR="00F51550" w:rsidRPr="00456014" w:rsidRDefault="00F51550" w:rsidP="00961DEE">
            <w:pPr>
              <w:spacing w:before="0" w:after="0"/>
            </w:pPr>
            <w:r w:rsidRPr="00E95812">
              <w:t>723-546</w:t>
            </w:r>
          </w:p>
        </w:tc>
        <w:tc>
          <w:tcPr>
            <w:tcW w:w="904" w:type="pct"/>
            <w:shd w:val="clear" w:color="auto" w:fill="auto"/>
          </w:tcPr>
          <w:p w:rsidR="00F51550" w:rsidRPr="00456014" w:rsidRDefault="00F51550" w:rsidP="00961DEE">
            <w:pPr>
              <w:spacing w:before="0" w:after="0"/>
            </w:pPr>
            <w:r w:rsidRPr="00456014">
              <w:t>Very poor</w:t>
            </w:r>
          </w:p>
        </w:tc>
        <w:tc>
          <w:tcPr>
            <w:tcW w:w="551" w:type="pct"/>
            <w:shd w:val="clear" w:color="auto" w:fill="auto"/>
          </w:tcPr>
          <w:p w:rsidR="00F51550" w:rsidRPr="00456014" w:rsidRDefault="00F51550" w:rsidP="00961DEE">
            <w:pPr>
              <w:spacing w:before="0" w:after="0"/>
            </w:pPr>
            <w:r>
              <w:t>1</w:t>
            </w:r>
          </w:p>
        </w:tc>
        <w:tc>
          <w:tcPr>
            <w:tcW w:w="973" w:type="pct"/>
            <w:shd w:val="clear" w:color="auto" w:fill="auto"/>
          </w:tcPr>
          <w:p w:rsidR="00F51550" w:rsidRPr="00456014" w:rsidRDefault="00F51550" w:rsidP="00961DEE">
            <w:pPr>
              <w:spacing w:before="0" w:after="0"/>
            </w:pPr>
            <w:r w:rsidRPr="00456014">
              <w:t>4</w:t>
            </w:r>
          </w:p>
        </w:tc>
        <w:tc>
          <w:tcPr>
            <w:tcW w:w="577" w:type="pct"/>
            <w:vMerge/>
            <w:shd w:val="clear" w:color="auto" w:fill="auto"/>
          </w:tcPr>
          <w:p w:rsidR="00F51550" w:rsidRPr="00456014" w:rsidRDefault="00F51550" w:rsidP="00961DEE">
            <w:pPr>
              <w:spacing w:before="0" w:after="0"/>
            </w:pPr>
          </w:p>
        </w:tc>
      </w:tr>
    </w:tbl>
    <w:p w:rsidR="00FC3134" w:rsidRPr="00456014" w:rsidRDefault="00E53866" w:rsidP="00E53866">
      <w:r>
        <w:rPr>
          <w:rStyle w:val="FootnoteReference"/>
          <w:vertAlign w:val="baseline"/>
        </w:rPr>
        <w:t xml:space="preserve">* </w:t>
      </w:r>
      <w:r w:rsidR="00650A04" w:rsidRPr="00456014">
        <w:rPr>
          <w:rStyle w:val="FootnoteReference"/>
        </w:rPr>
        <w:fldChar w:fldCharType="begin" w:fldLock="1"/>
      </w:r>
      <w:r w:rsidR="00A309A8">
        <w:instrText>ADDIN CSL_CITATION {"citationItems":[{"id":"ITEM-1","itemData":{"ISSN":"22145818","abstract":"The Chesapeake Bay is the largest estuary in the United States, and its catchment has heterogeneous hydrological and geomorphologic characteristics. It includes seven major river basins: James, Patuxent, Potomac, Rappahannock, Susquehanna, Western Shore, Eastern Shore, and York. Remote sensing data, along with in-situ observations of streamflow and simulated water budget components, can provide significant understanding of variability in water resources availability in this diverse watershed. In this study, we quantify the terrestrial water storage using both remote sensing and in-situ data and hydrologic model outputs in the Chesapeake Bay watershed. Total water storage change (TWSC)was calculated based on the combination of three methods to identify the best approach in estimating TWSC. These methods evaluated different sources of data, including Parameter elevation Regression on Independent Slopes Model (PRISM)precipitation, MODIS ET, U.S. Geological Survey observed streamflow, and the Variable Infiltration Capacity (VIC)model. Estimated TWSC were in close agreement with GRACE-derived TWSC when we employed VIC-simulated streamflow after calibration with observed streamflow. However, the use of VIC-simulated ET or MODIS-derived ET yielded similar results for TWSC. Assessment of TWSC during extreme events (drought)during the summer months revealed that predicting ET is critical for TWSC in June–August and that VIC-simulated TWSC could be a reliable proxy for GRACE data to assess the water availability in the watershed.","author":[{"dropping-particle":"","family":"Sridhar","given":"Venkataramana","non-dropping-particle":"","parse-names":false,"suffix":""},{"dropping-particle":"","family":"Ali","given":"Syed Azhar","non-dropping-particle":"","parse-names":false,"suffix":""},{"dropping-particle":"","family":"Lakshmi","given":"Venkataraman","non-dropping-particle":"","parse-names":false,"suffix":""}],"container-title":"Journal of Hydrology: Regional Studies","id":"ITEM-1","issue":"2018","issued":{"date-parts":[["2019"]]},"page":"100607","publisher":"Elsevier","title":"Assessment and validation of total water storage in the Chesapeake Bay watershed using GRACE","type":"article-journal","volume":"24"},"uris":["http://www.mendeley.com/documents/?uuid=d9b204df-93e6-4766-bda9-5bfddb441e2a","http://www.mendeley.com/documents/?uuid=df5f75a3-2eea-472c-b775-f6e7e4aa2f76"]},{"id":"ITEM-2","itemData":{"author":[{"dropping-particle":"","family":"Banti","given":"Bane Lammesa","non-dropping-particle":"","parse-names":false,"suffix":""}],"id":"ITEM-2","issued":{"date-parts":[["2017"]]},"number-of-pages":"1-66","publisher":"Addis Ababa University","title":"Groundwater potential and Recharge zone mapping by using GIS and Remote sensing Techniques in the case of Middle Awash River Basins, Ethiopia","type":"thesis"},"uris":["http://www.mendeley.com/documents/?uuid=85aca65d-bd3b-40c0-b3a3-985d9655a5bf","http://www.mendeley.com/documents/?uuid=ea6e7cb4-9f80-466b-b132-58c638a0accb"]},{"id":"ITEM-3","itemData":{"author":[{"dropping-particle":"","family":"Doyo","given":"Diriba Worku","non-dropping-particle":"","parse-names":false,"suffix":""}],"id":"ITEM-3","issued":{"date-parts":[["2020"]]},"number-of-pages":"1-84","publisher":"Hawassa University","title":"Groundwater potential mapping using remote sensing and GIS techniques: the case of Meki watershed, Central Rift valley, Ethiopia","type":"thesis"},"uris":["http://www.mendeley.com/documents/?uuid=2751595d-7581-4867-a4a6-8a89444e1e59","http://www.mendeley.com/documents/?uuid=de24f4fb-afa8-4ca2-b379-e72af14d232b","http://www.mendeley.com/documents/?uuid=3d435b4e-893d-491b-839f-fd5831d7df27"]},{"id":"ITEM-4","itemData":{"DOI":"10.1016/j.gsf.2015.03.002","ISSN":"1674-9871","author":[{"dropping-particle":"","family":"Senanayake","given":"I P","non-dropping-particle":"","parse-names":false,"suffix":""},{"dropping-particle":"","family":"Dissanayake","given":"D M D O K","non-dropping-particle":"","parse-names":false,"suffix":""},{"dropping-particle":"","family":"Mayadunna","given":"B B","non-dropping-particle":"","parse-names":false,"suffix":""},{"dropping-particle":"","family":"Weerasekera","given":"W L","non-dropping-particle":"","parse-names":false,"suffix":""}],"container-title":"Geoscience Frontiers","id":"ITEM-4","issue":"1","issued":{"date-parts":[["2016"]]},"page":"115-124","publisher":"Elsevier Ltd","title":"Geoscience Frontiers An approach to delineate groundwater recharge potential sites in Ambalantota , Sri Lanka using GIS techniques","type":"article-journal","volume":"7"},"uris":["http://www.mendeley.com/documents/?uuid=8fadf6ae-2912-44c4-8d2e-198c890b205a"]},{"id":"ITEM-5","itemData":{"ISSN":"22145818","abstract":"Study Region: Part of the Lake Tana sub-basin of the Blue Nile, Ethiopia Study focus: This study is aimed to identify and locate the groundwater potential zones of Megech watershed using geographic information system (GIS) and remote sensing. Lithology, lineament density, slope, geomorphology, soil, land use and land cover, rainfall, drainage density and elevation were used as proxy data to map the groundwater potential zones of the watershed. Weights were assigned for each thematic layer and thematic layer classes using the PriEsT Analytical Hierarchy Process (AHP) tool. Suitably ArcGIS overlay analysis was conducted to obtain the groundwater potential map. Geology, lineament density, slope and geomorphology were found to be the dominant and sensitive factors for groundwater zoning as portrayed in the map removal analysis. New hydrological insights for the region: Three groundwater potential zones were identified in the study area namely low, moderate and high. These groundwater potential zones were compared with an independent set of groundwater inventory data to validate the results. The validation analysis showed 78.5 % agreement between the groundwater inventory data and the qualitative results. Use of proxy data can serve as a credible source of information for groundwater potential zoning and could greatly help in the groundwater development and management of a region.","author":[{"dropping-particle":"","family":"Berhanu","given":"Kibrit Gedam","non-dropping-particle":"","parse-names":false,"suffix":""},{"dropping-particle":"","family":"Hatiye","given":"Samuel Dagalo","non-dropping-particle":"","parse-names":false,"suffix":""}],"container-title":"Journal of Hydrology: Regional Studies","id":"ITEM-5","issue":"2","issued":{"date-parts":[["2020"]]},"page":"1-20","publisher":"Elsevier","title":"Identification of Groundwater Potential Zones Using Proxy Data: Case study of Megech Watershed, Ethiopia","type":"article-journal","volume":"28"},"uris":["http://www.mendeley.com/documents/?uuid=3490be92-453d-4041-a8ee-a20a1819fce5","http://www.mendeley.com/documents/?uuid=eb26e103-6c48-4c4c-ba99-ee12644d8c83","http://www.mendeley.com/documents/?uuid=a808f3f9-e314-4e7b-90ac-a72e615ff6d3"]}],"mendeley":{"formattedCitation":"(Banti, 2017; K. G. Berhanu &amp; Hatiye, 2020; Doyo, 2020; Senanayake et al., 2016; Sridhar et al., 2019)","manualFormatting":"(Banti, 2017; Berhanu and Hatiye, 2020; Doyo, 2020; Senanayake et al., 2016; Sridhar et al., 2019)","plainTextFormattedCitation":"(Banti, 2017; K. G. Berhanu &amp; Hatiye, 2020; Doyo, 2020; Senanayake et al., 2016; Sridhar et al., 2019)","previouslyFormattedCitation":"(Banti, 2017; K. G. Berhanu &amp; Hatiye, 2020; Doyo, 2020; Senanayake et al., 2016; Sridhar et al., 2019)"},"properties":{"noteIndex":0},"schema":"https://github.com/citation-style-language/schema/raw/master/csl-citation.json"}</w:instrText>
      </w:r>
      <w:r w:rsidR="00650A04" w:rsidRPr="00456014">
        <w:rPr>
          <w:rStyle w:val="FootnoteReference"/>
        </w:rPr>
        <w:fldChar w:fldCharType="separate"/>
      </w:r>
      <w:r w:rsidR="00B457F8">
        <w:rPr>
          <w:noProof/>
        </w:rPr>
        <w:t>(Banti, 2017; Berhanu and</w:t>
      </w:r>
      <w:r w:rsidR="000E27E7" w:rsidRPr="00456014">
        <w:rPr>
          <w:noProof/>
        </w:rPr>
        <w:t xml:space="preserve"> Hatiye, 2020; Doyo, 2020; Senanayake et al., 2016; Sridhar et al., 2019)</w:t>
      </w:r>
      <w:r w:rsidR="00650A04" w:rsidRPr="00456014">
        <w:rPr>
          <w:rStyle w:val="FootnoteReference"/>
        </w:rPr>
        <w:fldChar w:fldCharType="end"/>
      </w:r>
      <w:r w:rsidR="00454AE3" w:rsidRPr="00456014">
        <w:t>.</w:t>
      </w:r>
    </w:p>
    <w:p w:rsidR="001B5A6F" w:rsidRPr="00456014" w:rsidRDefault="002E2275" w:rsidP="00F13B95">
      <w:pPr>
        <w:jc w:val="center"/>
      </w:pPr>
      <w:r w:rsidRPr="002E2275">
        <w:rPr>
          <w:noProof/>
        </w:rPr>
        <w:drawing>
          <wp:inline distT="0" distB="0" distL="0" distR="0" wp14:anchorId="0DA6C4E1" wp14:editId="51DB9ADE">
            <wp:extent cx="5517180" cy="3902148"/>
            <wp:effectExtent l="19050" t="19050" r="26670" b="22225"/>
            <wp:docPr id="11" name="Picture 11" descr="C:\Users\Abdul Gafar\Desktop\Report_MXD_JPEG\PCP_rec5\PCP_FNL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dul Gafar\Desktop\Report_MXD_JPEG\PCP_rec5\PCP_FNL1.bmp"/>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557331" cy="3930546"/>
                    </a:xfrm>
                    <a:prstGeom prst="rect">
                      <a:avLst/>
                    </a:prstGeom>
                    <a:noFill/>
                    <a:ln w="12700">
                      <a:solidFill>
                        <a:schemeClr val="tx1"/>
                      </a:solidFill>
                    </a:ln>
                  </pic:spPr>
                </pic:pic>
              </a:graphicData>
            </a:graphic>
          </wp:inline>
        </w:drawing>
      </w:r>
    </w:p>
    <w:p w:rsidR="00BF0605" w:rsidRDefault="00C267B4" w:rsidP="00F13B95">
      <w:bookmarkStart w:id="187" w:name="_Toc68761627"/>
      <w:r w:rsidRPr="00456014">
        <w:t>Figure</w:t>
      </w:r>
      <w:r w:rsidR="001B3123" w:rsidRPr="00456014">
        <w:t xml:space="preserve"> </w:t>
      </w:r>
      <w:r w:rsidR="00515F3B">
        <w:rPr>
          <w:noProof/>
        </w:rPr>
        <w:fldChar w:fldCharType="begin"/>
      </w:r>
      <w:r w:rsidR="00515F3B">
        <w:rPr>
          <w:noProof/>
        </w:rPr>
        <w:instrText xml:space="preserve"> STYLEREF 1 \s </w:instrText>
      </w:r>
      <w:r w:rsidR="00515F3B">
        <w:rPr>
          <w:noProof/>
        </w:rPr>
        <w:fldChar w:fldCharType="separate"/>
      </w:r>
      <w:r w:rsidR="00BD510E">
        <w:rPr>
          <w:noProof/>
        </w:rPr>
        <w:t>4</w:t>
      </w:r>
      <w:r w:rsidR="00515F3B">
        <w:rPr>
          <w:noProof/>
        </w:rPr>
        <w:fldChar w:fldCharType="end"/>
      </w:r>
      <w:r w:rsidR="001342E5">
        <w:t>.</w:t>
      </w:r>
      <w:r w:rsidR="00515F3B">
        <w:rPr>
          <w:noProof/>
        </w:rPr>
        <w:fldChar w:fldCharType="begin"/>
      </w:r>
      <w:r w:rsidR="00515F3B">
        <w:rPr>
          <w:noProof/>
        </w:rPr>
        <w:instrText xml:space="preserve"> SEQ Figure \* ARABIC \s 1 </w:instrText>
      </w:r>
      <w:r w:rsidR="00515F3B">
        <w:rPr>
          <w:noProof/>
        </w:rPr>
        <w:fldChar w:fldCharType="separate"/>
      </w:r>
      <w:r w:rsidR="00BD510E">
        <w:rPr>
          <w:noProof/>
        </w:rPr>
        <w:t>9</w:t>
      </w:r>
      <w:r w:rsidR="00515F3B">
        <w:rPr>
          <w:noProof/>
        </w:rPr>
        <w:fldChar w:fldCharType="end"/>
      </w:r>
      <w:r w:rsidR="00414BA1" w:rsidRPr="00456014">
        <w:t>:</w:t>
      </w:r>
      <w:r w:rsidR="00DA2CCD">
        <w:t xml:space="preserve"> The a</w:t>
      </w:r>
      <w:r w:rsidR="001B3123" w:rsidRPr="00456014">
        <w:t xml:space="preserve">real rainfall </w:t>
      </w:r>
      <w:r w:rsidR="00376B16" w:rsidRPr="00456014">
        <w:t>distribution ma</w:t>
      </w:r>
      <w:r w:rsidR="00DA2CCD">
        <w:t>p of study area</w:t>
      </w:r>
      <w:bookmarkEnd w:id="187"/>
    </w:p>
    <w:p w:rsidR="00DA2CCD" w:rsidRDefault="00167EFF" w:rsidP="00F13B95">
      <w:pPr>
        <w:jc w:val="center"/>
      </w:pPr>
      <w:r w:rsidRPr="00167EFF">
        <w:rPr>
          <w:noProof/>
        </w:rPr>
        <w:lastRenderedPageBreak/>
        <w:drawing>
          <wp:inline distT="0" distB="0" distL="0" distR="0" wp14:anchorId="70D11A27" wp14:editId="20E52C67">
            <wp:extent cx="5533406" cy="3912353"/>
            <wp:effectExtent l="19050" t="19050" r="10160" b="12065"/>
            <wp:docPr id="10" name="Picture 10" descr="C:\Users\Abdul Gafar\Desktop\Report_MXD_JPEG\PCP_rec5\PCP_REC_FN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dul Gafar\Desktop\Report_MXD_JPEG\PCP_rec5\PCP_REC_FNL.bmp"/>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600159" cy="3959550"/>
                    </a:xfrm>
                    <a:prstGeom prst="rect">
                      <a:avLst/>
                    </a:prstGeom>
                    <a:noFill/>
                    <a:ln w="12700">
                      <a:solidFill>
                        <a:schemeClr val="tx1"/>
                      </a:solidFill>
                    </a:ln>
                  </pic:spPr>
                </pic:pic>
              </a:graphicData>
            </a:graphic>
          </wp:inline>
        </w:drawing>
      </w:r>
    </w:p>
    <w:p w:rsidR="00DA2CCD" w:rsidRPr="00DA2CCD" w:rsidRDefault="00DA2CCD" w:rsidP="00F13B95">
      <w:bookmarkStart w:id="188" w:name="_Toc68761628"/>
      <w:r w:rsidRPr="00456014">
        <w:t xml:space="preserve">Figure </w:t>
      </w:r>
      <w:r w:rsidR="00515F3B">
        <w:rPr>
          <w:noProof/>
        </w:rPr>
        <w:fldChar w:fldCharType="begin"/>
      </w:r>
      <w:r w:rsidR="00515F3B">
        <w:rPr>
          <w:noProof/>
        </w:rPr>
        <w:instrText xml:space="preserve"> STYLEREF 1 \s </w:instrText>
      </w:r>
      <w:r w:rsidR="00515F3B">
        <w:rPr>
          <w:noProof/>
        </w:rPr>
        <w:fldChar w:fldCharType="separate"/>
      </w:r>
      <w:r w:rsidR="00BD510E">
        <w:rPr>
          <w:noProof/>
        </w:rPr>
        <w:t>4</w:t>
      </w:r>
      <w:r w:rsidR="00515F3B">
        <w:rPr>
          <w:noProof/>
        </w:rPr>
        <w:fldChar w:fldCharType="end"/>
      </w:r>
      <w:r w:rsidR="001342E5">
        <w:t>.</w:t>
      </w:r>
      <w:r w:rsidR="00515F3B">
        <w:rPr>
          <w:noProof/>
        </w:rPr>
        <w:fldChar w:fldCharType="begin"/>
      </w:r>
      <w:r w:rsidR="00515F3B">
        <w:rPr>
          <w:noProof/>
        </w:rPr>
        <w:instrText xml:space="preserve"> SEQ Figure \* ARABIC \s 1 </w:instrText>
      </w:r>
      <w:r w:rsidR="00515F3B">
        <w:rPr>
          <w:noProof/>
        </w:rPr>
        <w:fldChar w:fldCharType="separate"/>
      </w:r>
      <w:r w:rsidR="00BD510E">
        <w:rPr>
          <w:noProof/>
        </w:rPr>
        <w:t>10</w:t>
      </w:r>
      <w:r w:rsidR="00515F3B">
        <w:rPr>
          <w:noProof/>
        </w:rPr>
        <w:fldChar w:fldCharType="end"/>
      </w:r>
      <w:r w:rsidRPr="00456014">
        <w:t xml:space="preserve">: </w:t>
      </w:r>
      <w:r>
        <w:t>T</w:t>
      </w:r>
      <w:r w:rsidRPr="00456014">
        <w:t xml:space="preserve">he reclassified </w:t>
      </w:r>
      <w:r>
        <w:t>areal rainfall distribution map of study area</w:t>
      </w:r>
      <w:bookmarkEnd w:id="188"/>
    </w:p>
    <w:p w:rsidR="00C231C5" w:rsidRPr="00456014" w:rsidRDefault="00C231C5" w:rsidP="008D3D8E">
      <w:pPr>
        <w:pStyle w:val="Heading3"/>
        <w:numPr>
          <w:ilvl w:val="2"/>
          <w:numId w:val="3"/>
        </w:numPr>
        <w:rPr>
          <w:rFonts w:eastAsia="Calibri"/>
        </w:rPr>
      </w:pPr>
      <w:bookmarkStart w:id="189" w:name="_Toc68025097"/>
      <w:bookmarkStart w:id="190" w:name="_Toc68761579"/>
      <w:r w:rsidRPr="00456014">
        <w:rPr>
          <w:rFonts w:eastAsia="Calibri"/>
        </w:rPr>
        <w:t xml:space="preserve">The </w:t>
      </w:r>
      <w:r w:rsidR="00705C30" w:rsidRPr="00456014">
        <w:rPr>
          <w:rFonts w:eastAsia="Calibri"/>
        </w:rPr>
        <w:t xml:space="preserve">Thematic Map </w:t>
      </w:r>
      <w:r w:rsidRPr="00456014">
        <w:rPr>
          <w:rFonts w:eastAsia="Calibri"/>
        </w:rPr>
        <w:t xml:space="preserve">of </w:t>
      </w:r>
      <w:r w:rsidR="00705C30" w:rsidRPr="00456014">
        <w:rPr>
          <w:rFonts w:eastAsia="Calibri"/>
        </w:rPr>
        <w:t>Drainage Density</w:t>
      </w:r>
      <w:bookmarkEnd w:id="189"/>
      <w:bookmarkEnd w:id="190"/>
      <w:r w:rsidR="00705C30" w:rsidRPr="00456014">
        <w:rPr>
          <w:rFonts w:eastAsia="Calibri"/>
        </w:rPr>
        <w:t xml:space="preserve"> </w:t>
      </w:r>
    </w:p>
    <w:p w:rsidR="00C231C5" w:rsidRPr="00456014" w:rsidRDefault="00C231C5" w:rsidP="00F13B95">
      <w:r w:rsidRPr="00456014">
        <w:t>Th</w:t>
      </w:r>
      <w:r w:rsidR="003D768E" w:rsidRPr="00456014">
        <w:t xml:space="preserve">e drainage density of </w:t>
      </w:r>
      <w:r w:rsidR="00353818" w:rsidRPr="00456014">
        <w:t xml:space="preserve">the </w:t>
      </w:r>
      <w:r w:rsidR="003D768E" w:rsidRPr="00456014">
        <w:t>Weyib Sub-</w:t>
      </w:r>
      <w:r w:rsidRPr="00456014">
        <w:t>basin varies from 0 to 6.3 km/km</w:t>
      </w:r>
      <w:r w:rsidRPr="00456014">
        <w:rPr>
          <w:vertAlign w:val="superscript"/>
        </w:rPr>
        <w:t>2</w:t>
      </w:r>
      <w:r w:rsidR="00524CC7">
        <w:t xml:space="preserve"> (Figure 4.12).</w:t>
      </w:r>
      <w:r w:rsidRPr="00456014">
        <w:t xml:space="preserve"> The drainage density was classified into five classes</w:t>
      </w:r>
      <w:r w:rsidR="00BC0CCB">
        <w:t xml:space="preserve"> of very high, high</w:t>
      </w:r>
      <w:r w:rsidRPr="00456014">
        <w:t>, modera</w:t>
      </w:r>
      <w:r w:rsidR="00BC0CCB">
        <w:t>te, low and very low contribution</w:t>
      </w:r>
      <w:r w:rsidR="00863B8A">
        <w:t xml:space="preserve">. The relative weight and </w:t>
      </w:r>
      <w:r w:rsidRPr="00456014">
        <w:t>CR</w:t>
      </w:r>
      <w:r w:rsidR="00863B8A">
        <w:t xml:space="preserve"> value of</w:t>
      </w:r>
      <w:r w:rsidRPr="00456014">
        <w:t xml:space="preserve"> </w:t>
      </w:r>
      <w:r w:rsidR="00863B8A" w:rsidRPr="00456014">
        <w:t xml:space="preserve">classified drainage density </w:t>
      </w:r>
      <w:r w:rsidRPr="00456014">
        <w:t>was computed through AHP (</w:t>
      </w:r>
      <w:r w:rsidR="0080309A">
        <w:t>Table 4.5</w:t>
      </w:r>
      <w:r w:rsidRPr="00456014">
        <w:t xml:space="preserve">). </w:t>
      </w:r>
      <w:r w:rsidR="006B33DD">
        <w:t xml:space="preserve">The final thematic map of drainage density was prepared by reclassifying the </w:t>
      </w:r>
      <w:r w:rsidR="006B33DD" w:rsidRPr="00456014">
        <w:t xml:space="preserve">drainage density </w:t>
      </w:r>
      <w:r w:rsidR="006B33DD">
        <w:t xml:space="preserve">map using scale value </w:t>
      </w:r>
      <w:r w:rsidRPr="00456014">
        <w:t>(</w:t>
      </w:r>
      <w:r w:rsidR="00C267B4" w:rsidRPr="00456014">
        <w:t>Figure</w:t>
      </w:r>
      <w:r w:rsidR="00524CC7">
        <w:t xml:space="preserve"> 4.13</w:t>
      </w:r>
      <w:r w:rsidR="007C3F55" w:rsidRPr="00456014">
        <w:t>).</w:t>
      </w:r>
    </w:p>
    <w:p w:rsidR="00C231C5" w:rsidRPr="00456014" w:rsidRDefault="00C231C5" w:rsidP="00F13B95">
      <w:pPr>
        <w:pStyle w:val="Caption"/>
        <w:keepNext/>
        <w:spacing w:before="120" w:after="120" w:line="360" w:lineRule="auto"/>
        <w:rPr>
          <w:i w:val="0"/>
          <w:iCs w:val="0"/>
          <w:color w:val="auto"/>
          <w:sz w:val="24"/>
          <w:szCs w:val="36"/>
        </w:rPr>
      </w:pPr>
      <w:bookmarkStart w:id="191" w:name="_Toc68761599"/>
      <w:r w:rsidRPr="00456014">
        <w:rPr>
          <w:i w:val="0"/>
          <w:iCs w:val="0"/>
          <w:color w:val="auto"/>
          <w:sz w:val="24"/>
          <w:szCs w:val="24"/>
        </w:rPr>
        <w:t xml:space="preserve">Table </w:t>
      </w:r>
      <w:r w:rsidR="001578A8" w:rsidRPr="00456014">
        <w:rPr>
          <w:i w:val="0"/>
          <w:iCs w:val="0"/>
          <w:color w:val="auto"/>
          <w:sz w:val="24"/>
          <w:szCs w:val="24"/>
        </w:rPr>
        <w:fldChar w:fldCharType="begin"/>
      </w:r>
      <w:r w:rsidR="001578A8" w:rsidRPr="00456014">
        <w:rPr>
          <w:i w:val="0"/>
          <w:iCs w:val="0"/>
          <w:color w:val="auto"/>
          <w:sz w:val="24"/>
          <w:szCs w:val="24"/>
        </w:rPr>
        <w:instrText xml:space="preserve"> STYLEREF 1 \s </w:instrText>
      </w:r>
      <w:r w:rsidR="001578A8" w:rsidRPr="00456014">
        <w:rPr>
          <w:i w:val="0"/>
          <w:iCs w:val="0"/>
          <w:color w:val="auto"/>
          <w:sz w:val="24"/>
          <w:szCs w:val="24"/>
        </w:rPr>
        <w:fldChar w:fldCharType="separate"/>
      </w:r>
      <w:r w:rsidR="00BD510E">
        <w:rPr>
          <w:i w:val="0"/>
          <w:iCs w:val="0"/>
          <w:noProof/>
          <w:color w:val="auto"/>
          <w:sz w:val="24"/>
          <w:szCs w:val="24"/>
        </w:rPr>
        <w:t>4</w:t>
      </w:r>
      <w:r w:rsidR="001578A8" w:rsidRPr="00456014">
        <w:rPr>
          <w:i w:val="0"/>
          <w:iCs w:val="0"/>
          <w:color w:val="auto"/>
          <w:sz w:val="24"/>
          <w:szCs w:val="24"/>
        </w:rPr>
        <w:fldChar w:fldCharType="end"/>
      </w:r>
      <w:r w:rsidR="001578A8" w:rsidRPr="00456014">
        <w:rPr>
          <w:i w:val="0"/>
          <w:iCs w:val="0"/>
          <w:color w:val="auto"/>
          <w:sz w:val="24"/>
          <w:szCs w:val="24"/>
        </w:rPr>
        <w:t>.</w:t>
      </w:r>
      <w:r w:rsidR="001578A8" w:rsidRPr="00456014">
        <w:rPr>
          <w:i w:val="0"/>
          <w:iCs w:val="0"/>
          <w:color w:val="auto"/>
          <w:sz w:val="24"/>
          <w:szCs w:val="24"/>
        </w:rPr>
        <w:fldChar w:fldCharType="begin"/>
      </w:r>
      <w:r w:rsidR="001578A8" w:rsidRPr="00456014">
        <w:rPr>
          <w:i w:val="0"/>
          <w:iCs w:val="0"/>
          <w:color w:val="auto"/>
          <w:sz w:val="24"/>
          <w:szCs w:val="24"/>
        </w:rPr>
        <w:instrText xml:space="preserve"> SEQ Table \* ARABIC \s 1 </w:instrText>
      </w:r>
      <w:r w:rsidR="001578A8" w:rsidRPr="00456014">
        <w:rPr>
          <w:i w:val="0"/>
          <w:iCs w:val="0"/>
          <w:color w:val="auto"/>
          <w:sz w:val="24"/>
          <w:szCs w:val="24"/>
        </w:rPr>
        <w:fldChar w:fldCharType="separate"/>
      </w:r>
      <w:r w:rsidR="00BD510E">
        <w:rPr>
          <w:i w:val="0"/>
          <w:iCs w:val="0"/>
          <w:noProof/>
          <w:color w:val="auto"/>
          <w:sz w:val="24"/>
          <w:szCs w:val="24"/>
        </w:rPr>
        <w:t>5</w:t>
      </w:r>
      <w:r w:rsidR="001578A8" w:rsidRPr="00456014">
        <w:rPr>
          <w:i w:val="0"/>
          <w:iCs w:val="0"/>
          <w:color w:val="auto"/>
          <w:sz w:val="24"/>
          <w:szCs w:val="24"/>
        </w:rPr>
        <w:fldChar w:fldCharType="end"/>
      </w:r>
      <w:r w:rsidRPr="00456014">
        <w:rPr>
          <w:i w:val="0"/>
          <w:iCs w:val="0"/>
          <w:color w:val="auto"/>
          <w:sz w:val="24"/>
          <w:szCs w:val="24"/>
        </w:rPr>
        <w:t xml:space="preserve">: </w:t>
      </w:r>
      <w:r w:rsidR="00A9624E" w:rsidRPr="00456014">
        <w:rPr>
          <w:i w:val="0"/>
          <w:iCs w:val="0"/>
          <w:color w:val="auto"/>
          <w:sz w:val="24"/>
          <w:szCs w:val="36"/>
        </w:rPr>
        <w:t>D</w:t>
      </w:r>
      <w:r w:rsidR="00590EAB" w:rsidRPr="00456014">
        <w:rPr>
          <w:i w:val="0"/>
          <w:iCs w:val="0"/>
          <w:color w:val="auto"/>
          <w:sz w:val="24"/>
          <w:szCs w:val="36"/>
        </w:rPr>
        <w:t>rainage density</w:t>
      </w:r>
      <w:r w:rsidR="00A9624E" w:rsidRPr="00456014">
        <w:rPr>
          <w:i w:val="0"/>
          <w:iCs w:val="0"/>
          <w:color w:val="auto"/>
          <w:sz w:val="24"/>
          <w:szCs w:val="36"/>
        </w:rPr>
        <w:t xml:space="preserve"> </w:t>
      </w:r>
      <w:r w:rsidRPr="00456014">
        <w:rPr>
          <w:i w:val="0"/>
          <w:iCs w:val="0"/>
          <w:color w:val="auto"/>
          <w:sz w:val="24"/>
          <w:szCs w:val="36"/>
        </w:rPr>
        <w:t>and relative weigh</w:t>
      </w:r>
      <w:r w:rsidR="00270AD0" w:rsidRPr="00456014">
        <w:rPr>
          <w:i w:val="0"/>
          <w:iCs w:val="0"/>
          <w:color w:val="auto"/>
          <w:sz w:val="24"/>
          <w:szCs w:val="36"/>
        </w:rPr>
        <w:t xml:space="preserve">t </w:t>
      </w:r>
      <w:r w:rsidR="00A9624E" w:rsidRPr="00456014">
        <w:rPr>
          <w:i w:val="0"/>
          <w:iCs w:val="0"/>
          <w:color w:val="auto"/>
          <w:sz w:val="24"/>
          <w:szCs w:val="36"/>
        </w:rPr>
        <w:t xml:space="preserve">of classes </w:t>
      </w:r>
      <w:r w:rsidR="00270AD0" w:rsidRPr="00456014">
        <w:rPr>
          <w:i w:val="0"/>
          <w:iCs w:val="0"/>
          <w:color w:val="auto"/>
          <w:sz w:val="24"/>
          <w:szCs w:val="36"/>
        </w:rPr>
        <w:t>as</w:t>
      </w:r>
      <w:r w:rsidR="002C4676" w:rsidRPr="00456014">
        <w:rPr>
          <w:i w:val="0"/>
          <w:iCs w:val="0"/>
          <w:color w:val="auto"/>
          <w:sz w:val="24"/>
          <w:szCs w:val="36"/>
        </w:rPr>
        <w:t xml:space="preserve"> per suitability</w:t>
      </w:r>
      <w:r w:rsidR="00A9624E" w:rsidRPr="00456014">
        <w:rPr>
          <w:i w:val="0"/>
          <w:iCs w:val="0"/>
          <w:color w:val="auto"/>
          <w:sz w:val="24"/>
          <w:szCs w:val="36"/>
        </w:rPr>
        <w:t xml:space="preserve"> for GWPZ</w:t>
      </w:r>
      <w:bookmarkEnd w:id="191"/>
    </w:p>
    <w:tbl>
      <w:tblPr>
        <w:tblW w:w="4363" w:type="pct"/>
        <w:jc w:val="center"/>
        <w:tblBorders>
          <w:top w:val="single" w:sz="4" w:space="0" w:color="auto"/>
          <w:bottom w:val="single" w:sz="4" w:space="0" w:color="auto"/>
        </w:tblBorders>
        <w:tblLook w:val="04A0" w:firstRow="1" w:lastRow="0" w:firstColumn="1" w:lastColumn="0" w:noHBand="0" w:noVBand="1"/>
      </w:tblPr>
      <w:tblGrid>
        <w:gridCol w:w="944"/>
        <w:gridCol w:w="2018"/>
        <w:gridCol w:w="1690"/>
        <w:gridCol w:w="848"/>
        <w:gridCol w:w="1469"/>
        <w:gridCol w:w="884"/>
      </w:tblGrid>
      <w:tr w:rsidR="00456014" w:rsidRPr="00456014" w:rsidTr="003F2C3D">
        <w:trPr>
          <w:trHeight w:val="370"/>
          <w:jc w:val="center"/>
        </w:trPr>
        <w:tc>
          <w:tcPr>
            <w:tcW w:w="601" w:type="pct"/>
            <w:tcBorders>
              <w:top w:val="single" w:sz="4" w:space="0" w:color="auto"/>
              <w:bottom w:val="single" w:sz="4" w:space="0" w:color="auto"/>
            </w:tcBorders>
            <w:shd w:val="clear" w:color="auto" w:fill="auto"/>
          </w:tcPr>
          <w:p w:rsidR="004A5B71" w:rsidRPr="00456014" w:rsidRDefault="004A5B71" w:rsidP="003F2C3D">
            <w:pPr>
              <w:spacing w:before="0" w:after="0"/>
              <w:rPr>
                <w:rFonts w:eastAsia="Times New Roman"/>
                <w:iCs/>
              </w:rPr>
            </w:pPr>
            <w:r w:rsidRPr="00456014">
              <w:rPr>
                <w:rFonts w:eastAsia="Times New Roman"/>
                <w:iCs/>
                <w:lang w:val="en-GB"/>
              </w:rPr>
              <w:t>S. No.</w:t>
            </w:r>
          </w:p>
        </w:tc>
        <w:tc>
          <w:tcPr>
            <w:tcW w:w="1285" w:type="pct"/>
            <w:tcBorders>
              <w:top w:val="single" w:sz="4" w:space="0" w:color="auto"/>
              <w:bottom w:val="single" w:sz="4" w:space="0" w:color="auto"/>
            </w:tcBorders>
            <w:shd w:val="clear" w:color="auto" w:fill="auto"/>
            <w:noWrap/>
            <w:hideMark/>
          </w:tcPr>
          <w:p w:rsidR="00887313" w:rsidRDefault="004A5B71" w:rsidP="003F2C3D">
            <w:pPr>
              <w:spacing w:before="0" w:after="0"/>
              <w:rPr>
                <w:rFonts w:eastAsia="Times New Roman"/>
                <w:iCs/>
                <w:lang w:val="en-GB"/>
              </w:rPr>
            </w:pPr>
            <w:r w:rsidRPr="00456014">
              <w:rPr>
                <w:rFonts w:eastAsia="Times New Roman"/>
                <w:iCs/>
                <w:lang w:val="en-GB"/>
              </w:rPr>
              <w:t>Drainage density</w:t>
            </w:r>
            <w:r w:rsidR="00F5788B">
              <w:rPr>
                <w:rFonts w:eastAsia="Times New Roman"/>
                <w:iCs/>
                <w:vertAlign w:val="superscript"/>
                <w:lang w:val="en-GB"/>
              </w:rPr>
              <w:t>*</w:t>
            </w:r>
            <w:r w:rsidRPr="00456014">
              <w:rPr>
                <w:rFonts w:eastAsia="Times New Roman"/>
                <w:iCs/>
                <w:lang w:val="en-GB"/>
              </w:rPr>
              <w:t xml:space="preserve"> </w:t>
            </w:r>
          </w:p>
          <w:p w:rsidR="004A5B71" w:rsidRPr="00456014" w:rsidRDefault="004A5B71" w:rsidP="003F2C3D">
            <w:pPr>
              <w:spacing w:before="0" w:after="0"/>
              <w:rPr>
                <w:rFonts w:eastAsia="Times New Roman"/>
                <w:iCs/>
              </w:rPr>
            </w:pPr>
            <w:r w:rsidRPr="00456014">
              <w:rPr>
                <w:rFonts w:eastAsia="Times New Roman"/>
                <w:iCs/>
                <w:lang w:val="en-GB"/>
              </w:rPr>
              <w:t>(km/km</w:t>
            </w:r>
            <w:r w:rsidRPr="00BA7674">
              <w:rPr>
                <w:rFonts w:eastAsia="Times New Roman"/>
                <w:iCs/>
                <w:vertAlign w:val="superscript"/>
                <w:lang w:val="en-GB"/>
              </w:rPr>
              <w:t>2</w:t>
            </w:r>
            <w:r w:rsidRPr="00456014">
              <w:rPr>
                <w:rFonts w:eastAsia="Times New Roman"/>
                <w:iCs/>
                <w:lang w:val="en-GB"/>
              </w:rPr>
              <w:t>)</w:t>
            </w:r>
          </w:p>
        </w:tc>
        <w:tc>
          <w:tcPr>
            <w:tcW w:w="1076" w:type="pct"/>
            <w:tcBorders>
              <w:top w:val="single" w:sz="4" w:space="0" w:color="auto"/>
              <w:bottom w:val="single" w:sz="4" w:space="0" w:color="auto"/>
            </w:tcBorders>
            <w:shd w:val="clear" w:color="auto" w:fill="auto"/>
            <w:noWrap/>
            <w:hideMark/>
          </w:tcPr>
          <w:p w:rsidR="004A5B71" w:rsidRPr="00481A40" w:rsidRDefault="004A5B71" w:rsidP="003F2C3D">
            <w:pPr>
              <w:spacing w:before="0" w:after="0"/>
              <w:rPr>
                <w:rFonts w:eastAsia="Times New Roman"/>
                <w:iCs/>
                <w:vertAlign w:val="superscript"/>
              </w:rPr>
            </w:pPr>
            <w:r w:rsidRPr="00456014">
              <w:rPr>
                <w:rFonts w:eastAsia="Times New Roman"/>
                <w:iCs/>
                <w:lang w:val="en-GB"/>
              </w:rPr>
              <w:t>Contribution</w:t>
            </w:r>
            <w:r w:rsidR="00481A40">
              <w:rPr>
                <w:rFonts w:eastAsia="Times New Roman"/>
                <w:iCs/>
                <w:vertAlign w:val="superscript"/>
                <w:lang w:val="en-GB"/>
              </w:rPr>
              <w:t>*</w:t>
            </w:r>
          </w:p>
        </w:tc>
        <w:tc>
          <w:tcPr>
            <w:tcW w:w="540" w:type="pct"/>
            <w:tcBorders>
              <w:top w:val="single" w:sz="4" w:space="0" w:color="auto"/>
              <w:bottom w:val="single" w:sz="4" w:space="0" w:color="auto"/>
            </w:tcBorders>
            <w:shd w:val="clear" w:color="auto" w:fill="auto"/>
          </w:tcPr>
          <w:p w:rsidR="004A5B71" w:rsidRPr="00456014" w:rsidRDefault="005F7CAD" w:rsidP="003F2C3D">
            <w:pPr>
              <w:spacing w:before="0" w:after="0"/>
              <w:rPr>
                <w:rFonts w:eastAsia="Times New Roman"/>
                <w:iCs/>
              </w:rPr>
            </w:pPr>
            <w:r>
              <w:rPr>
                <w:rFonts w:eastAsia="Times New Roman"/>
                <w:iCs/>
              </w:rPr>
              <w:t>Scale value</w:t>
            </w:r>
            <w:r w:rsidR="004A5B71" w:rsidRPr="00456014">
              <w:rPr>
                <w:rFonts w:eastAsia="Times New Roman"/>
                <w:iCs/>
              </w:rPr>
              <w:t xml:space="preserve"> </w:t>
            </w:r>
          </w:p>
        </w:tc>
        <w:tc>
          <w:tcPr>
            <w:tcW w:w="935" w:type="pct"/>
            <w:tcBorders>
              <w:top w:val="single" w:sz="4" w:space="0" w:color="auto"/>
              <w:bottom w:val="single" w:sz="4" w:space="0" w:color="auto"/>
            </w:tcBorders>
            <w:shd w:val="clear" w:color="auto" w:fill="auto"/>
          </w:tcPr>
          <w:p w:rsidR="004A5B71" w:rsidRPr="00456014" w:rsidRDefault="004A5B71" w:rsidP="003F2C3D">
            <w:pPr>
              <w:spacing w:before="0" w:after="0"/>
              <w:rPr>
                <w:rFonts w:eastAsia="Times New Roman"/>
                <w:iCs/>
              </w:rPr>
            </w:pPr>
            <w:r w:rsidRPr="00456014">
              <w:rPr>
                <w:rFonts w:eastAsia="Times New Roman"/>
                <w:iCs/>
              </w:rPr>
              <w:t>Relative weight (%)</w:t>
            </w:r>
          </w:p>
        </w:tc>
        <w:tc>
          <w:tcPr>
            <w:tcW w:w="563" w:type="pct"/>
            <w:tcBorders>
              <w:top w:val="single" w:sz="4" w:space="0" w:color="auto"/>
              <w:bottom w:val="single" w:sz="4" w:space="0" w:color="auto"/>
            </w:tcBorders>
            <w:shd w:val="clear" w:color="auto" w:fill="auto"/>
          </w:tcPr>
          <w:p w:rsidR="004A5B71" w:rsidRPr="00456014" w:rsidRDefault="004A5B71" w:rsidP="003F2C3D">
            <w:pPr>
              <w:spacing w:before="0" w:after="0"/>
              <w:rPr>
                <w:rFonts w:eastAsia="Times New Roman"/>
                <w:iCs/>
              </w:rPr>
            </w:pPr>
            <w:r w:rsidRPr="00456014">
              <w:rPr>
                <w:rFonts w:eastAsia="Times New Roman"/>
                <w:iCs/>
              </w:rPr>
              <w:t>CR</w:t>
            </w:r>
          </w:p>
        </w:tc>
      </w:tr>
      <w:tr w:rsidR="00456014" w:rsidRPr="00456014" w:rsidTr="003F2C3D">
        <w:trPr>
          <w:trHeight w:val="311"/>
          <w:jc w:val="center"/>
        </w:trPr>
        <w:tc>
          <w:tcPr>
            <w:tcW w:w="601" w:type="pct"/>
            <w:vMerge w:val="restart"/>
            <w:tcBorders>
              <w:top w:val="single" w:sz="4" w:space="0" w:color="auto"/>
            </w:tcBorders>
            <w:shd w:val="clear" w:color="auto" w:fill="auto"/>
          </w:tcPr>
          <w:p w:rsidR="004A5B71" w:rsidRPr="00456014" w:rsidRDefault="004A5B71" w:rsidP="003F2C3D">
            <w:pPr>
              <w:spacing w:before="0" w:after="0"/>
              <w:rPr>
                <w:rFonts w:eastAsia="Times New Roman"/>
                <w:lang w:val="en-GB"/>
              </w:rPr>
            </w:pPr>
            <w:r w:rsidRPr="00456014">
              <w:rPr>
                <w:rFonts w:eastAsia="Times New Roman"/>
                <w:lang w:val="en-GB"/>
              </w:rPr>
              <w:t>1</w:t>
            </w:r>
          </w:p>
          <w:p w:rsidR="004A5B71" w:rsidRPr="00456014" w:rsidRDefault="004A5B71" w:rsidP="003F2C3D">
            <w:pPr>
              <w:spacing w:before="0" w:after="0"/>
              <w:rPr>
                <w:rFonts w:eastAsia="Times New Roman"/>
              </w:rPr>
            </w:pPr>
            <w:r w:rsidRPr="00456014">
              <w:rPr>
                <w:rFonts w:eastAsia="Times New Roman"/>
                <w:lang w:val="en-GB"/>
              </w:rPr>
              <w:t>2</w:t>
            </w:r>
          </w:p>
          <w:p w:rsidR="004A5B71" w:rsidRPr="00456014" w:rsidRDefault="004A5B71" w:rsidP="003F2C3D">
            <w:pPr>
              <w:spacing w:before="0" w:after="0"/>
              <w:rPr>
                <w:rFonts w:eastAsia="Times New Roman"/>
              </w:rPr>
            </w:pPr>
            <w:r w:rsidRPr="00456014">
              <w:rPr>
                <w:rFonts w:eastAsia="Times New Roman"/>
                <w:lang w:val="en-GB"/>
              </w:rPr>
              <w:t>3</w:t>
            </w:r>
          </w:p>
          <w:p w:rsidR="004A5B71" w:rsidRPr="00456014" w:rsidRDefault="004A5B71" w:rsidP="003F2C3D">
            <w:pPr>
              <w:spacing w:before="0" w:after="0"/>
              <w:rPr>
                <w:rFonts w:eastAsia="Times New Roman"/>
              </w:rPr>
            </w:pPr>
            <w:r w:rsidRPr="00456014">
              <w:rPr>
                <w:rFonts w:eastAsia="Times New Roman"/>
                <w:lang w:val="en-GB"/>
              </w:rPr>
              <w:t>4</w:t>
            </w:r>
          </w:p>
          <w:p w:rsidR="004A5B71" w:rsidRPr="00456014" w:rsidRDefault="004A5B71" w:rsidP="003F2C3D">
            <w:pPr>
              <w:spacing w:before="0" w:after="0"/>
              <w:rPr>
                <w:rFonts w:eastAsia="Times New Roman"/>
              </w:rPr>
            </w:pPr>
            <w:r w:rsidRPr="00456014">
              <w:rPr>
                <w:rFonts w:eastAsia="Times New Roman"/>
                <w:lang w:val="en-GB"/>
              </w:rPr>
              <w:t>5</w:t>
            </w:r>
          </w:p>
        </w:tc>
        <w:tc>
          <w:tcPr>
            <w:tcW w:w="1285" w:type="pct"/>
            <w:tcBorders>
              <w:top w:val="single" w:sz="4" w:space="0" w:color="auto"/>
            </w:tcBorders>
            <w:shd w:val="clear" w:color="auto" w:fill="auto"/>
            <w:noWrap/>
            <w:hideMark/>
          </w:tcPr>
          <w:p w:rsidR="004A5B71" w:rsidRPr="00456014" w:rsidRDefault="004A5B71" w:rsidP="003F2C3D">
            <w:pPr>
              <w:spacing w:before="0" w:after="0"/>
              <w:rPr>
                <w:rFonts w:eastAsia="Times New Roman"/>
              </w:rPr>
            </w:pPr>
            <w:r w:rsidRPr="00456014">
              <w:rPr>
                <w:rFonts w:eastAsia="Times New Roman"/>
              </w:rPr>
              <w:t>0-1.2</w:t>
            </w:r>
          </w:p>
        </w:tc>
        <w:tc>
          <w:tcPr>
            <w:tcW w:w="1076" w:type="pct"/>
            <w:tcBorders>
              <w:top w:val="single" w:sz="4" w:space="0" w:color="auto"/>
            </w:tcBorders>
            <w:shd w:val="clear" w:color="auto" w:fill="auto"/>
            <w:noWrap/>
            <w:hideMark/>
          </w:tcPr>
          <w:p w:rsidR="004A5B71" w:rsidRPr="00456014" w:rsidRDefault="004A5B71" w:rsidP="003F2C3D">
            <w:pPr>
              <w:spacing w:before="0" w:after="0"/>
              <w:rPr>
                <w:rFonts w:eastAsia="Times New Roman"/>
              </w:rPr>
            </w:pPr>
            <w:r w:rsidRPr="00456014">
              <w:rPr>
                <w:rFonts w:eastAsia="Times New Roman"/>
              </w:rPr>
              <w:t>Very high</w:t>
            </w:r>
          </w:p>
        </w:tc>
        <w:tc>
          <w:tcPr>
            <w:tcW w:w="540" w:type="pct"/>
            <w:tcBorders>
              <w:top w:val="single" w:sz="4" w:space="0" w:color="auto"/>
            </w:tcBorders>
            <w:shd w:val="clear" w:color="auto" w:fill="auto"/>
          </w:tcPr>
          <w:p w:rsidR="004A5B71" w:rsidRPr="00456014" w:rsidRDefault="005F7CAD" w:rsidP="003F2C3D">
            <w:pPr>
              <w:spacing w:before="0" w:after="0"/>
            </w:pPr>
            <w:r>
              <w:t>5</w:t>
            </w:r>
          </w:p>
        </w:tc>
        <w:tc>
          <w:tcPr>
            <w:tcW w:w="935" w:type="pct"/>
            <w:tcBorders>
              <w:top w:val="single" w:sz="4" w:space="0" w:color="auto"/>
            </w:tcBorders>
            <w:shd w:val="clear" w:color="auto" w:fill="auto"/>
          </w:tcPr>
          <w:p w:rsidR="004A5B71" w:rsidRPr="00456014" w:rsidRDefault="004A5B71" w:rsidP="003F2C3D">
            <w:pPr>
              <w:spacing w:before="0" w:after="0"/>
            </w:pPr>
            <w:r w:rsidRPr="00456014">
              <w:t>45</w:t>
            </w:r>
          </w:p>
        </w:tc>
        <w:tc>
          <w:tcPr>
            <w:tcW w:w="563" w:type="pct"/>
            <w:vMerge w:val="restart"/>
            <w:tcBorders>
              <w:top w:val="single" w:sz="4" w:space="0" w:color="auto"/>
            </w:tcBorders>
            <w:shd w:val="clear" w:color="auto" w:fill="auto"/>
          </w:tcPr>
          <w:p w:rsidR="004A5B71" w:rsidRPr="00456014" w:rsidRDefault="004A5B71" w:rsidP="00961DEE">
            <w:pPr>
              <w:spacing w:before="0" w:after="0"/>
            </w:pPr>
            <w:r w:rsidRPr="00456014">
              <w:t>0.027</w:t>
            </w:r>
          </w:p>
        </w:tc>
      </w:tr>
      <w:tr w:rsidR="00456014" w:rsidRPr="00456014" w:rsidTr="003F2C3D">
        <w:trPr>
          <w:trHeight w:val="311"/>
          <w:jc w:val="center"/>
        </w:trPr>
        <w:tc>
          <w:tcPr>
            <w:tcW w:w="601" w:type="pct"/>
            <w:vMerge/>
            <w:shd w:val="clear" w:color="auto" w:fill="auto"/>
          </w:tcPr>
          <w:p w:rsidR="004A5B71" w:rsidRPr="00456014" w:rsidRDefault="004A5B71" w:rsidP="003F2C3D">
            <w:pPr>
              <w:spacing w:before="0" w:after="0"/>
              <w:rPr>
                <w:rFonts w:eastAsia="Times New Roman"/>
              </w:rPr>
            </w:pPr>
          </w:p>
        </w:tc>
        <w:tc>
          <w:tcPr>
            <w:tcW w:w="1285" w:type="pct"/>
            <w:shd w:val="clear" w:color="auto" w:fill="auto"/>
            <w:noWrap/>
          </w:tcPr>
          <w:p w:rsidR="004A5B71" w:rsidRPr="00456014" w:rsidRDefault="004A5B71" w:rsidP="003F2C3D">
            <w:pPr>
              <w:spacing w:before="0" w:after="0"/>
              <w:rPr>
                <w:rFonts w:eastAsia="Times New Roman"/>
              </w:rPr>
            </w:pPr>
            <w:r w:rsidRPr="00456014">
              <w:t>1.2-2.4</w:t>
            </w:r>
          </w:p>
        </w:tc>
        <w:tc>
          <w:tcPr>
            <w:tcW w:w="1076" w:type="pct"/>
            <w:shd w:val="clear" w:color="auto" w:fill="auto"/>
            <w:noWrap/>
            <w:hideMark/>
          </w:tcPr>
          <w:p w:rsidR="004A5B71" w:rsidRPr="00456014" w:rsidRDefault="004A5B71" w:rsidP="003F2C3D">
            <w:pPr>
              <w:spacing w:before="0" w:after="0"/>
              <w:rPr>
                <w:rFonts w:eastAsia="Times New Roman"/>
              </w:rPr>
            </w:pPr>
            <w:r w:rsidRPr="00456014">
              <w:rPr>
                <w:rFonts w:eastAsia="Times New Roman"/>
                <w:lang w:val="en-GB"/>
              </w:rPr>
              <w:t>High</w:t>
            </w:r>
          </w:p>
        </w:tc>
        <w:tc>
          <w:tcPr>
            <w:tcW w:w="540" w:type="pct"/>
            <w:shd w:val="clear" w:color="auto" w:fill="auto"/>
          </w:tcPr>
          <w:p w:rsidR="004A5B71" w:rsidRPr="00456014" w:rsidRDefault="005F7CAD" w:rsidP="003F2C3D">
            <w:pPr>
              <w:spacing w:before="0" w:after="0"/>
            </w:pPr>
            <w:r>
              <w:t>4</w:t>
            </w:r>
          </w:p>
        </w:tc>
        <w:tc>
          <w:tcPr>
            <w:tcW w:w="935" w:type="pct"/>
            <w:shd w:val="clear" w:color="auto" w:fill="auto"/>
          </w:tcPr>
          <w:p w:rsidR="004A5B71" w:rsidRPr="00456014" w:rsidRDefault="004A5B71" w:rsidP="003F2C3D">
            <w:pPr>
              <w:spacing w:before="0" w:after="0"/>
            </w:pPr>
            <w:r w:rsidRPr="00456014">
              <w:t>27</w:t>
            </w:r>
          </w:p>
        </w:tc>
        <w:tc>
          <w:tcPr>
            <w:tcW w:w="563" w:type="pct"/>
            <w:vMerge/>
            <w:shd w:val="clear" w:color="auto" w:fill="auto"/>
          </w:tcPr>
          <w:p w:rsidR="004A5B71" w:rsidRPr="00456014" w:rsidRDefault="004A5B71" w:rsidP="00961DEE">
            <w:pPr>
              <w:spacing w:before="0" w:after="0"/>
            </w:pPr>
          </w:p>
        </w:tc>
      </w:tr>
      <w:tr w:rsidR="00456014" w:rsidRPr="00456014" w:rsidTr="003F2C3D">
        <w:trPr>
          <w:trHeight w:val="311"/>
          <w:jc w:val="center"/>
        </w:trPr>
        <w:tc>
          <w:tcPr>
            <w:tcW w:w="601" w:type="pct"/>
            <w:vMerge/>
            <w:shd w:val="clear" w:color="auto" w:fill="auto"/>
          </w:tcPr>
          <w:p w:rsidR="004A5B71" w:rsidRPr="00456014" w:rsidRDefault="004A5B71" w:rsidP="003F2C3D">
            <w:pPr>
              <w:spacing w:before="0" w:after="0"/>
              <w:rPr>
                <w:rFonts w:eastAsia="Times New Roman"/>
              </w:rPr>
            </w:pPr>
          </w:p>
        </w:tc>
        <w:tc>
          <w:tcPr>
            <w:tcW w:w="1285" w:type="pct"/>
            <w:shd w:val="clear" w:color="auto" w:fill="auto"/>
            <w:noWrap/>
          </w:tcPr>
          <w:p w:rsidR="004A5B71" w:rsidRPr="00456014" w:rsidRDefault="004A5B71" w:rsidP="003F2C3D">
            <w:pPr>
              <w:spacing w:before="0" w:after="0"/>
              <w:rPr>
                <w:rFonts w:eastAsia="Times New Roman"/>
              </w:rPr>
            </w:pPr>
            <w:r w:rsidRPr="00456014">
              <w:t>2.4-3.6</w:t>
            </w:r>
          </w:p>
        </w:tc>
        <w:tc>
          <w:tcPr>
            <w:tcW w:w="1076" w:type="pct"/>
            <w:shd w:val="clear" w:color="auto" w:fill="auto"/>
            <w:noWrap/>
            <w:hideMark/>
          </w:tcPr>
          <w:p w:rsidR="004A5B71" w:rsidRPr="00456014" w:rsidRDefault="004A5B71" w:rsidP="003F2C3D">
            <w:pPr>
              <w:spacing w:before="0" w:after="0"/>
              <w:rPr>
                <w:rFonts w:eastAsia="Times New Roman"/>
              </w:rPr>
            </w:pPr>
            <w:r w:rsidRPr="00456014">
              <w:rPr>
                <w:rFonts w:eastAsia="Times New Roman"/>
                <w:lang w:val="en-GB"/>
              </w:rPr>
              <w:t>Moderate</w:t>
            </w:r>
          </w:p>
        </w:tc>
        <w:tc>
          <w:tcPr>
            <w:tcW w:w="540" w:type="pct"/>
            <w:shd w:val="clear" w:color="auto" w:fill="auto"/>
          </w:tcPr>
          <w:p w:rsidR="004A5B71" w:rsidRPr="00456014" w:rsidRDefault="004A5B71" w:rsidP="003F2C3D">
            <w:pPr>
              <w:spacing w:before="0" w:after="0"/>
            </w:pPr>
            <w:r w:rsidRPr="00456014">
              <w:t>3</w:t>
            </w:r>
          </w:p>
        </w:tc>
        <w:tc>
          <w:tcPr>
            <w:tcW w:w="935" w:type="pct"/>
            <w:shd w:val="clear" w:color="auto" w:fill="auto"/>
          </w:tcPr>
          <w:p w:rsidR="004A5B71" w:rsidRPr="00456014" w:rsidRDefault="004A5B71" w:rsidP="003F2C3D">
            <w:pPr>
              <w:spacing w:before="0" w:after="0"/>
            </w:pPr>
            <w:r w:rsidRPr="00456014">
              <w:t>19</w:t>
            </w:r>
          </w:p>
        </w:tc>
        <w:tc>
          <w:tcPr>
            <w:tcW w:w="563" w:type="pct"/>
            <w:vMerge/>
            <w:shd w:val="clear" w:color="auto" w:fill="auto"/>
          </w:tcPr>
          <w:p w:rsidR="004A5B71" w:rsidRPr="00456014" w:rsidRDefault="004A5B71" w:rsidP="00961DEE">
            <w:pPr>
              <w:spacing w:before="0" w:after="0"/>
            </w:pPr>
          </w:p>
        </w:tc>
      </w:tr>
      <w:tr w:rsidR="00456014" w:rsidRPr="00456014" w:rsidTr="003F2C3D">
        <w:trPr>
          <w:trHeight w:val="311"/>
          <w:jc w:val="center"/>
        </w:trPr>
        <w:tc>
          <w:tcPr>
            <w:tcW w:w="601" w:type="pct"/>
            <w:vMerge/>
            <w:shd w:val="clear" w:color="auto" w:fill="auto"/>
          </w:tcPr>
          <w:p w:rsidR="004A5B71" w:rsidRPr="00456014" w:rsidRDefault="004A5B71" w:rsidP="003F2C3D">
            <w:pPr>
              <w:spacing w:before="0" w:after="0"/>
              <w:rPr>
                <w:rFonts w:eastAsia="Times New Roman"/>
              </w:rPr>
            </w:pPr>
          </w:p>
        </w:tc>
        <w:tc>
          <w:tcPr>
            <w:tcW w:w="1285" w:type="pct"/>
            <w:shd w:val="clear" w:color="auto" w:fill="auto"/>
            <w:noWrap/>
          </w:tcPr>
          <w:p w:rsidR="004A5B71" w:rsidRPr="00456014" w:rsidRDefault="004A5B71" w:rsidP="003F2C3D">
            <w:pPr>
              <w:spacing w:before="0" w:after="0"/>
              <w:rPr>
                <w:rFonts w:eastAsia="Times New Roman"/>
              </w:rPr>
            </w:pPr>
            <w:r w:rsidRPr="00456014">
              <w:t>3.6-4.8</w:t>
            </w:r>
          </w:p>
        </w:tc>
        <w:tc>
          <w:tcPr>
            <w:tcW w:w="1076" w:type="pct"/>
            <w:shd w:val="clear" w:color="auto" w:fill="auto"/>
            <w:noWrap/>
            <w:hideMark/>
          </w:tcPr>
          <w:p w:rsidR="004A5B71" w:rsidRPr="00456014" w:rsidRDefault="004A5B71" w:rsidP="003F2C3D">
            <w:pPr>
              <w:spacing w:before="0" w:after="0"/>
              <w:rPr>
                <w:rFonts w:eastAsia="Times New Roman"/>
              </w:rPr>
            </w:pPr>
            <w:r w:rsidRPr="00456014">
              <w:rPr>
                <w:rFonts w:eastAsia="Times New Roman"/>
                <w:lang w:val="en-GB"/>
              </w:rPr>
              <w:t>Low</w:t>
            </w:r>
          </w:p>
        </w:tc>
        <w:tc>
          <w:tcPr>
            <w:tcW w:w="540" w:type="pct"/>
            <w:shd w:val="clear" w:color="auto" w:fill="auto"/>
          </w:tcPr>
          <w:p w:rsidR="004A5B71" w:rsidRPr="00456014" w:rsidRDefault="005F7CAD" w:rsidP="003F2C3D">
            <w:pPr>
              <w:spacing w:before="0" w:after="0"/>
            </w:pPr>
            <w:r>
              <w:t>2</w:t>
            </w:r>
          </w:p>
        </w:tc>
        <w:tc>
          <w:tcPr>
            <w:tcW w:w="935" w:type="pct"/>
            <w:shd w:val="clear" w:color="auto" w:fill="auto"/>
          </w:tcPr>
          <w:p w:rsidR="004A5B71" w:rsidRPr="00456014" w:rsidRDefault="004A5B71" w:rsidP="003F2C3D">
            <w:pPr>
              <w:spacing w:before="0" w:after="0"/>
            </w:pPr>
            <w:r w:rsidRPr="00456014">
              <w:t>5</w:t>
            </w:r>
          </w:p>
        </w:tc>
        <w:tc>
          <w:tcPr>
            <w:tcW w:w="563" w:type="pct"/>
            <w:vMerge/>
            <w:shd w:val="clear" w:color="auto" w:fill="auto"/>
          </w:tcPr>
          <w:p w:rsidR="004A5B71" w:rsidRPr="00456014" w:rsidRDefault="004A5B71" w:rsidP="00961DEE">
            <w:pPr>
              <w:spacing w:before="0" w:after="0"/>
            </w:pPr>
          </w:p>
        </w:tc>
      </w:tr>
      <w:tr w:rsidR="00456014" w:rsidRPr="00456014" w:rsidTr="003F2C3D">
        <w:trPr>
          <w:trHeight w:val="311"/>
          <w:jc w:val="center"/>
        </w:trPr>
        <w:tc>
          <w:tcPr>
            <w:tcW w:w="601" w:type="pct"/>
            <w:vMerge/>
            <w:shd w:val="clear" w:color="auto" w:fill="auto"/>
          </w:tcPr>
          <w:p w:rsidR="004A5B71" w:rsidRPr="00456014" w:rsidRDefault="004A5B71" w:rsidP="003F2C3D">
            <w:pPr>
              <w:spacing w:before="0" w:after="0"/>
              <w:rPr>
                <w:rFonts w:eastAsia="Times New Roman"/>
              </w:rPr>
            </w:pPr>
          </w:p>
        </w:tc>
        <w:tc>
          <w:tcPr>
            <w:tcW w:w="1285" w:type="pct"/>
            <w:shd w:val="clear" w:color="auto" w:fill="auto"/>
            <w:noWrap/>
          </w:tcPr>
          <w:p w:rsidR="004A5B71" w:rsidRPr="00456014" w:rsidRDefault="004A5B71" w:rsidP="003F2C3D">
            <w:pPr>
              <w:spacing w:before="0" w:after="0"/>
              <w:rPr>
                <w:rFonts w:eastAsia="Times New Roman"/>
              </w:rPr>
            </w:pPr>
            <w:r w:rsidRPr="00456014">
              <w:t>4.8-6.3</w:t>
            </w:r>
          </w:p>
        </w:tc>
        <w:tc>
          <w:tcPr>
            <w:tcW w:w="1076" w:type="pct"/>
            <w:shd w:val="clear" w:color="auto" w:fill="auto"/>
            <w:noWrap/>
            <w:hideMark/>
          </w:tcPr>
          <w:p w:rsidR="004A5B71" w:rsidRPr="00456014" w:rsidRDefault="004A5B71" w:rsidP="003F2C3D">
            <w:pPr>
              <w:spacing w:before="0" w:after="0"/>
              <w:rPr>
                <w:rFonts w:eastAsia="Times New Roman"/>
              </w:rPr>
            </w:pPr>
            <w:r w:rsidRPr="00456014">
              <w:rPr>
                <w:rFonts w:eastAsia="Times New Roman"/>
                <w:lang w:val="en-GB"/>
              </w:rPr>
              <w:t>Very low</w:t>
            </w:r>
          </w:p>
        </w:tc>
        <w:tc>
          <w:tcPr>
            <w:tcW w:w="540" w:type="pct"/>
            <w:shd w:val="clear" w:color="auto" w:fill="auto"/>
          </w:tcPr>
          <w:p w:rsidR="004A5B71" w:rsidRPr="00456014" w:rsidRDefault="005F7CAD" w:rsidP="003F2C3D">
            <w:pPr>
              <w:spacing w:before="0" w:after="0"/>
            </w:pPr>
            <w:r>
              <w:t>1</w:t>
            </w:r>
          </w:p>
        </w:tc>
        <w:tc>
          <w:tcPr>
            <w:tcW w:w="935" w:type="pct"/>
            <w:shd w:val="clear" w:color="auto" w:fill="auto"/>
          </w:tcPr>
          <w:p w:rsidR="004A5B71" w:rsidRPr="00456014" w:rsidRDefault="004A5B71" w:rsidP="003F2C3D">
            <w:pPr>
              <w:spacing w:before="0" w:after="0"/>
            </w:pPr>
            <w:r w:rsidRPr="00456014">
              <w:t>4</w:t>
            </w:r>
          </w:p>
        </w:tc>
        <w:tc>
          <w:tcPr>
            <w:tcW w:w="563" w:type="pct"/>
            <w:vMerge/>
            <w:shd w:val="clear" w:color="auto" w:fill="auto"/>
          </w:tcPr>
          <w:p w:rsidR="004A5B71" w:rsidRPr="00456014" w:rsidRDefault="004A5B71" w:rsidP="00961DEE">
            <w:pPr>
              <w:spacing w:before="0" w:after="0"/>
            </w:pPr>
          </w:p>
        </w:tc>
      </w:tr>
    </w:tbl>
    <w:p w:rsidR="00C231C5" w:rsidRPr="00456014" w:rsidRDefault="003E54C8" w:rsidP="00F13B95">
      <w:pPr>
        <w:jc w:val="left"/>
      </w:pPr>
      <w:r>
        <w:t xml:space="preserve">* </w:t>
      </w:r>
      <w:r w:rsidR="00C231C5" w:rsidRPr="00456014">
        <w:fldChar w:fldCharType="begin" w:fldLock="1"/>
      </w:r>
      <w:r w:rsidR="00A309A8">
        <w:instrText>ADDIN CSL_CITATION {"citationItems":[{"id":"ITEM-1","itemData":{"author":[{"dropping-particle":"","family":"Waikar","given":"M L","non-dropping-particle":"","parse-names":false,"suffix":""},{"dropping-particle":"","family":"Nilawar","given":"Aditya P","non-dropping-particle":"","parse-names":false,"suffix":""}],"id":"ITEM-1","issue":"5","issued":{"date-parts":[["2014"]]},"page":"12163-12174","title":"Identification of Groundwater Potential Zone using Remote Sensing and GIS Technique","type":"article-journal","volume":"3"},"uris":["http://www.mendeley.com/documents/?uuid=51c5ad64-5f50-46bb-a9dd-8718cab47c42"]}],"mendeley":{"formattedCitation":"(Waikar &amp; Nilawar, 2014)","manualFormatting":"(Waikar and Nilawar, 2014)","plainTextFormattedCitation":"(Waikar &amp; Nilawar, 2014)","previouslyFormattedCitation":"(Waikar &amp; Nilawar, 2014)"},"properties":{"noteIndex":0},"schema":"https://github.com/citation-style-language/schema/raw/master/csl-citation.json"}</w:instrText>
      </w:r>
      <w:r w:rsidR="00C231C5" w:rsidRPr="00456014">
        <w:fldChar w:fldCharType="separate"/>
      </w:r>
      <w:r w:rsidR="00F63890">
        <w:rPr>
          <w:noProof/>
        </w:rPr>
        <w:t>(Waikar and</w:t>
      </w:r>
      <w:r w:rsidR="00A108C4" w:rsidRPr="00456014">
        <w:rPr>
          <w:noProof/>
        </w:rPr>
        <w:t xml:space="preserve"> Nilawar, 2014)</w:t>
      </w:r>
      <w:r w:rsidR="00C231C5" w:rsidRPr="00456014">
        <w:fldChar w:fldCharType="end"/>
      </w:r>
    </w:p>
    <w:p w:rsidR="005F1D9D" w:rsidRPr="00456014" w:rsidRDefault="00783BA1" w:rsidP="00F13B95">
      <w:pPr>
        <w:jc w:val="center"/>
        <w:rPr>
          <w:iCs/>
        </w:rPr>
      </w:pPr>
      <w:r w:rsidRPr="00783BA1">
        <w:rPr>
          <w:iCs/>
          <w:noProof/>
        </w:rPr>
        <w:lastRenderedPageBreak/>
        <w:drawing>
          <wp:inline distT="0" distB="0" distL="0" distR="0" wp14:anchorId="12E523FE" wp14:editId="7BA28011">
            <wp:extent cx="5440764" cy="3848100"/>
            <wp:effectExtent l="19050" t="19050" r="26670" b="19050"/>
            <wp:docPr id="31" name="Picture 31" descr="C:\Users\Abdul Gafar\Desktop\Report_MXD_JPEG\Drainage_Network\Drainage_Network_FN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bdul Gafar\Desktop\Report_MXD_JPEG\Drainage_Network\Drainage_Network_FNL.bmp"/>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459423" cy="3861297"/>
                    </a:xfrm>
                    <a:prstGeom prst="rect">
                      <a:avLst/>
                    </a:prstGeom>
                    <a:noFill/>
                    <a:ln w="12700">
                      <a:solidFill>
                        <a:schemeClr val="tx1"/>
                      </a:solidFill>
                    </a:ln>
                  </pic:spPr>
                </pic:pic>
              </a:graphicData>
            </a:graphic>
          </wp:inline>
        </w:drawing>
      </w:r>
    </w:p>
    <w:p w:rsidR="00C231C5" w:rsidRPr="00456014" w:rsidRDefault="00C267B4" w:rsidP="00F13B95">
      <w:pPr>
        <w:rPr>
          <w:iCs/>
        </w:rPr>
      </w:pPr>
      <w:bookmarkStart w:id="192" w:name="_Toc68761629"/>
      <w:r w:rsidRPr="00456014">
        <w:rPr>
          <w:iCs/>
        </w:rPr>
        <w:t>Figure</w:t>
      </w:r>
      <w:r w:rsidR="00C231C5" w:rsidRPr="00456014">
        <w:rPr>
          <w:iCs/>
        </w:rPr>
        <w:t xml:space="preserve"> </w:t>
      </w:r>
      <w:r w:rsidR="001342E5">
        <w:rPr>
          <w:iCs/>
        </w:rPr>
        <w:fldChar w:fldCharType="begin"/>
      </w:r>
      <w:r w:rsidR="001342E5">
        <w:rPr>
          <w:iCs/>
        </w:rPr>
        <w:instrText xml:space="preserve"> STYLEREF 1 \s </w:instrText>
      </w:r>
      <w:r w:rsidR="001342E5">
        <w:rPr>
          <w:iCs/>
        </w:rPr>
        <w:fldChar w:fldCharType="separate"/>
      </w:r>
      <w:r w:rsidR="00BD510E">
        <w:rPr>
          <w:iCs/>
          <w:noProof/>
        </w:rPr>
        <w:t>4</w:t>
      </w:r>
      <w:r w:rsidR="001342E5">
        <w:rPr>
          <w:iCs/>
        </w:rPr>
        <w:fldChar w:fldCharType="end"/>
      </w:r>
      <w:r w:rsidR="001342E5">
        <w:rPr>
          <w:iCs/>
        </w:rPr>
        <w:t>.</w:t>
      </w:r>
      <w:r w:rsidR="001342E5">
        <w:rPr>
          <w:iCs/>
        </w:rPr>
        <w:fldChar w:fldCharType="begin"/>
      </w:r>
      <w:r w:rsidR="001342E5">
        <w:rPr>
          <w:iCs/>
        </w:rPr>
        <w:instrText xml:space="preserve"> SEQ Figure \* ARABIC \s 1 </w:instrText>
      </w:r>
      <w:r w:rsidR="001342E5">
        <w:rPr>
          <w:iCs/>
        </w:rPr>
        <w:fldChar w:fldCharType="separate"/>
      </w:r>
      <w:r w:rsidR="00BD510E">
        <w:rPr>
          <w:iCs/>
          <w:noProof/>
        </w:rPr>
        <w:t>11</w:t>
      </w:r>
      <w:r w:rsidR="001342E5">
        <w:rPr>
          <w:iCs/>
        </w:rPr>
        <w:fldChar w:fldCharType="end"/>
      </w:r>
      <w:r w:rsidR="00C231C5" w:rsidRPr="00456014">
        <w:rPr>
          <w:iCs/>
        </w:rPr>
        <w:t xml:space="preserve">: </w:t>
      </w:r>
      <w:r w:rsidR="00660AB6">
        <w:rPr>
          <w:iCs/>
        </w:rPr>
        <w:t>The d</w:t>
      </w:r>
      <w:r w:rsidR="00C231C5" w:rsidRPr="00456014">
        <w:rPr>
          <w:iCs/>
          <w:szCs w:val="36"/>
        </w:rPr>
        <w:t xml:space="preserve">rainage network map of </w:t>
      </w:r>
      <w:r w:rsidR="00045F53" w:rsidRPr="00456014">
        <w:rPr>
          <w:iCs/>
          <w:szCs w:val="36"/>
        </w:rPr>
        <w:t>study area</w:t>
      </w:r>
      <w:bookmarkEnd w:id="192"/>
    </w:p>
    <w:p w:rsidR="00C231C5" w:rsidRDefault="00C77B30" w:rsidP="00F13B95">
      <w:pPr>
        <w:jc w:val="center"/>
        <w:rPr>
          <w:noProof/>
        </w:rPr>
      </w:pPr>
      <w:r w:rsidRPr="00C77B30">
        <w:rPr>
          <w:noProof/>
        </w:rPr>
        <w:drawing>
          <wp:inline distT="0" distB="0" distL="0" distR="0" wp14:anchorId="2418003E" wp14:editId="47CE0BF0">
            <wp:extent cx="5448300" cy="3853432"/>
            <wp:effectExtent l="19050" t="19050" r="19050" b="13970"/>
            <wp:docPr id="30" name="Picture 30" descr="C:\Users\Abdul Gafar\Desktop\Report_MXD_JPEG\Drainage_Network\Drainage_density_FN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bdul Gafar\Desktop\Report_MXD_JPEG\Drainage_Network\Drainage_density_FNL.bmp"/>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470311" cy="3869000"/>
                    </a:xfrm>
                    <a:prstGeom prst="rect">
                      <a:avLst/>
                    </a:prstGeom>
                    <a:noFill/>
                    <a:ln w="12700">
                      <a:solidFill>
                        <a:schemeClr val="tx1"/>
                      </a:solidFill>
                    </a:ln>
                  </pic:spPr>
                </pic:pic>
              </a:graphicData>
            </a:graphic>
          </wp:inline>
        </w:drawing>
      </w:r>
    </w:p>
    <w:p w:rsidR="006F1B66" w:rsidRPr="00A80F22" w:rsidRDefault="006F1B66" w:rsidP="00F13B95">
      <w:pPr>
        <w:rPr>
          <w:iCs/>
          <w:szCs w:val="36"/>
        </w:rPr>
      </w:pPr>
      <w:bookmarkStart w:id="193" w:name="_Toc68761630"/>
      <w:r w:rsidRPr="00456014">
        <w:rPr>
          <w:iCs/>
        </w:rPr>
        <w:t xml:space="preserve">Figure </w:t>
      </w:r>
      <w:r w:rsidR="001342E5">
        <w:rPr>
          <w:iCs/>
        </w:rPr>
        <w:fldChar w:fldCharType="begin"/>
      </w:r>
      <w:r w:rsidR="001342E5">
        <w:rPr>
          <w:iCs/>
        </w:rPr>
        <w:instrText xml:space="preserve"> STYLEREF 1 \s </w:instrText>
      </w:r>
      <w:r w:rsidR="001342E5">
        <w:rPr>
          <w:iCs/>
        </w:rPr>
        <w:fldChar w:fldCharType="separate"/>
      </w:r>
      <w:r w:rsidR="00BD510E">
        <w:rPr>
          <w:iCs/>
          <w:noProof/>
        </w:rPr>
        <w:t>4</w:t>
      </w:r>
      <w:r w:rsidR="001342E5">
        <w:rPr>
          <w:iCs/>
        </w:rPr>
        <w:fldChar w:fldCharType="end"/>
      </w:r>
      <w:r w:rsidR="001342E5">
        <w:rPr>
          <w:iCs/>
        </w:rPr>
        <w:t>.</w:t>
      </w:r>
      <w:r w:rsidR="001342E5">
        <w:rPr>
          <w:iCs/>
        </w:rPr>
        <w:fldChar w:fldCharType="begin"/>
      </w:r>
      <w:r w:rsidR="001342E5">
        <w:rPr>
          <w:iCs/>
        </w:rPr>
        <w:instrText xml:space="preserve"> SEQ Figure \* ARABIC \s 1 </w:instrText>
      </w:r>
      <w:r w:rsidR="001342E5">
        <w:rPr>
          <w:iCs/>
        </w:rPr>
        <w:fldChar w:fldCharType="separate"/>
      </w:r>
      <w:r w:rsidR="00BD510E">
        <w:rPr>
          <w:iCs/>
          <w:noProof/>
        </w:rPr>
        <w:t>12</w:t>
      </w:r>
      <w:r w:rsidR="001342E5">
        <w:rPr>
          <w:iCs/>
        </w:rPr>
        <w:fldChar w:fldCharType="end"/>
      </w:r>
      <w:r w:rsidRPr="00456014">
        <w:rPr>
          <w:iCs/>
        </w:rPr>
        <w:t xml:space="preserve">: </w:t>
      </w:r>
      <w:r>
        <w:rPr>
          <w:iCs/>
          <w:szCs w:val="36"/>
        </w:rPr>
        <w:t>The d</w:t>
      </w:r>
      <w:r w:rsidRPr="00456014">
        <w:rPr>
          <w:iCs/>
          <w:szCs w:val="36"/>
        </w:rPr>
        <w:t xml:space="preserve">rainage density </w:t>
      </w:r>
      <w:r w:rsidR="00C77B30">
        <w:rPr>
          <w:iCs/>
          <w:szCs w:val="36"/>
        </w:rPr>
        <w:t xml:space="preserve">thematic </w:t>
      </w:r>
      <w:r w:rsidRPr="00456014">
        <w:rPr>
          <w:iCs/>
          <w:szCs w:val="36"/>
        </w:rPr>
        <w:t>map</w:t>
      </w:r>
      <w:r>
        <w:rPr>
          <w:iCs/>
          <w:szCs w:val="36"/>
        </w:rPr>
        <w:t xml:space="preserve"> of study area</w:t>
      </w:r>
      <w:bookmarkEnd w:id="193"/>
    </w:p>
    <w:p w:rsidR="00A80F22" w:rsidRPr="00456014" w:rsidRDefault="00A80F22" w:rsidP="00F13B95">
      <w:pPr>
        <w:jc w:val="center"/>
        <w:rPr>
          <w:iCs/>
        </w:rPr>
      </w:pPr>
      <w:r w:rsidRPr="00A80F22">
        <w:rPr>
          <w:iCs/>
          <w:noProof/>
        </w:rPr>
        <w:lastRenderedPageBreak/>
        <w:drawing>
          <wp:inline distT="0" distB="0" distL="0" distR="0" wp14:anchorId="46ACBF9E" wp14:editId="6C3FEA89">
            <wp:extent cx="5524679" cy="3907450"/>
            <wp:effectExtent l="19050" t="19050" r="19050" b="17145"/>
            <wp:docPr id="25" name="Picture 25" descr="C:\Users\Abdul Gafar\Desktop\Report_MXD_JPEG\DD_rec\Drainge_rec_FN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bdul Gafar\Desktop\Report_MXD_JPEG\DD_rec\Drainge_rec_FNL.bmp"/>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545982" cy="3922517"/>
                    </a:xfrm>
                    <a:prstGeom prst="rect">
                      <a:avLst/>
                    </a:prstGeom>
                    <a:noFill/>
                    <a:ln w="12700">
                      <a:solidFill>
                        <a:schemeClr val="tx1"/>
                      </a:solidFill>
                    </a:ln>
                  </pic:spPr>
                </pic:pic>
              </a:graphicData>
            </a:graphic>
          </wp:inline>
        </w:drawing>
      </w:r>
    </w:p>
    <w:p w:rsidR="00C231C5" w:rsidRPr="00456014" w:rsidRDefault="00C267B4" w:rsidP="00F13B95">
      <w:pPr>
        <w:rPr>
          <w:iCs/>
          <w:szCs w:val="36"/>
        </w:rPr>
      </w:pPr>
      <w:bookmarkStart w:id="194" w:name="_Toc68761631"/>
      <w:r w:rsidRPr="00456014">
        <w:rPr>
          <w:iCs/>
        </w:rPr>
        <w:t>Figure</w:t>
      </w:r>
      <w:r w:rsidR="00C231C5" w:rsidRPr="00456014">
        <w:rPr>
          <w:iCs/>
        </w:rPr>
        <w:t xml:space="preserve"> </w:t>
      </w:r>
      <w:r w:rsidR="001342E5">
        <w:rPr>
          <w:iCs/>
        </w:rPr>
        <w:fldChar w:fldCharType="begin"/>
      </w:r>
      <w:r w:rsidR="001342E5">
        <w:rPr>
          <w:iCs/>
        </w:rPr>
        <w:instrText xml:space="preserve"> STYLEREF 1 \s </w:instrText>
      </w:r>
      <w:r w:rsidR="001342E5">
        <w:rPr>
          <w:iCs/>
        </w:rPr>
        <w:fldChar w:fldCharType="separate"/>
      </w:r>
      <w:r w:rsidR="00BD510E">
        <w:rPr>
          <w:iCs/>
          <w:noProof/>
        </w:rPr>
        <w:t>4</w:t>
      </w:r>
      <w:r w:rsidR="001342E5">
        <w:rPr>
          <w:iCs/>
        </w:rPr>
        <w:fldChar w:fldCharType="end"/>
      </w:r>
      <w:r w:rsidR="001342E5">
        <w:rPr>
          <w:iCs/>
        </w:rPr>
        <w:t>.</w:t>
      </w:r>
      <w:r w:rsidR="001342E5">
        <w:rPr>
          <w:iCs/>
        </w:rPr>
        <w:fldChar w:fldCharType="begin"/>
      </w:r>
      <w:r w:rsidR="001342E5">
        <w:rPr>
          <w:iCs/>
        </w:rPr>
        <w:instrText xml:space="preserve"> SEQ Figure \* ARABIC \s 1 </w:instrText>
      </w:r>
      <w:r w:rsidR="001342E5">
        <w:rPr>
          <w:iCs/>
        </w:rPr>
        <w:fldChar w:fldCharType="separate"/>
      </w:r>
      <w:r w:rsidR="00BD510E">
        <w:rPr>
          <w:iCs/>
          <w:noProof/>
        </w:rPr>
        <w:t>13</w:t>
      </w:r>
      <w:r w:rsidR="001342E5">
        <w:rPr>
          <w:iCs/>
        </w:rPr>
        <w:fldChar w:fldCharType="end"/>
      </w:r>
      <w:r w:rsidR="00C231C5" w:rsidRPr="00456014">
        <w:rPr>
          <w:iCs/>
        </w:rPr>
        <w:t xml:space="preserve">: </w:t>
      </w:r>
      <w:r w:rsidR="007C531E">
        <w:rPr>
          <w:iCs/>
        </w:rPr>
        <w:t>T</w:t>
      </w:r>
      <w:r w:rsidR="00C231C5" w:rsidRPr="00456014">
        <w:rPr>
          <w:iCs/>
          <w:szCs w:val="36"/>
        </w:rPr>
        <w:t>he reclassified drainage density map</w:t>
      </w:r>
      <w:r w:rsidR="007C531E">
        <w:rPr>
          <w:iCs/>
          <w:szCs w:val="36"/>
        </w:rPr>
        <w:t xml:space="preserve"> of study area</w:t>
      </w:r>
      <w:bookmarkEnd w:id="194"/>
    </w:p>
    <w:p w:rsidR="00C231C5" w:rsidRPr="00456014" w:rsidRDefault="00C231C5" w:rsidP="008D3D8E">
      <w:pPr>
        <w:pStyle w:val="Heading3"/>
        <w:numPr>
          <w:ilvl w:val="2"/>
          <w:numId w:val="3"/>
        </w:numPr>
      </w:pPr>
      <w:bookmarkStart w:id="195" w:name="_Toc68025098"/>
      <w:bookmarkStart w:id="196" w:name="_Toc68761580"/>
      <w:r w:rsidRPr="00456014">
        <w:t xml:space="preserve">The </w:t>
      </w:r>
      <w:r w:rsidR="00705C30" w:rsidRPr="00456014">
        <w:t>Thematic Map of Slope</w:t>
      </w:r>
      <w:bookmarkEnd w:id="195"/>
      <w:bookmarkEnd w:id="196"/>
      <w:r w:rsidR="00705C30" w:rsidRPr="00456014">
        <w:t xml:space="preserve"> </w:t>
      </w:r>
    </w:p>
    <w:p w:rsidR="002B7B46" w:rsidRDefault="00EC548F" w:rsidP="00F13B95">
      <w:r w:rsidRPr="00EC548F">
        <w:t>Weyib Sub-basin is</w:t>
      </w:r>
      <w:r>
        <w:t xml:space="preserve"> </w:t>
      </w:r>
      <w:r w:rsidRPr="00EC548F">
        <w:t xml:space="preserve">characterized by </w:t>
      </w:r>
      <w:r w:rsidR="00713CD8">
        <w:t xml:space="preserve">landforms varying from </w:t>
      </w:r>
      <w:r w:rsidR="00A35866" w:rsidRPr="00713CD8">
        <w:t xml:space="preserve">flat </w:t>
      </w:r>
      <w:r w:rsidR="00713CD8">
        <w:t xml:space="preserve">plains to steep slope hilly </w:t>
      </w:r>
      <w:r w:rsidR="00713CD8" w:rsidRPr="00713CD8">
        <w:t>terrains</w:t>
      </w:r>
      <w:r w:rsidRPr="00EC548F">
        <w:t>.</w:t>
      </w:r>
      <w:r w:rsidRPr="00456014">
        <w:t xml:space="preserve"> </w:t>
      </w:r>
      <w:r w:rsidR="005979C9">
        <w:t xml:space="preserve">The slope value of </w:t>
      </w:r>
      <w:r w:rsidR="002550B4">
        <w:t>study area</w:t>
      </w:r>
      <w:r w:rsidR="00C231C5" w:rsidRPr="00456014">
        <w:t xml:space="preserve"> varies from 0 to 76</w:t>
      </w:r>
      <w:r w:rsidR="00C231C5" w:rsidRPr="00456014">
        <w:rPr>
          <w:vertAlign w:val="superscript"/>
        </w:rPr>
        <w:t>0</w:t>
      </w:r>
      <w:r w:rsidR="00EA7909">
        <w:t>. The slope map was</w:t>
      </w:r>
      <w:r w:rsidR="00252EEB">
        <w:t xml:space="preserve"> </w:t>
      </w:r>
      <w:r w:rsidR="00C231C5" w:rsidRPr="00456014">
        <w:t xml:space="preserve">classified </w:t>
      </w:r>
      <w:r w:rsidR="003F7966">
        <w:t xml:space="preserve">into five classes of </w:t>
      </w:r>
      <w:r w:rsidR="005D1E07">
        <w:t xml:space="preserve">flat, </w:t>
      </w:r>
      <w:r w:rsidR="00C231C5" w:rsidRPr="00456014">
        <w:t>gentle</w:t>
      </w:r>
      <w:r w:rsidR="005D1E07">
        <w:t xml:space="preserve">, </w:t>
      </w:r>
      <w:r w:rsidR="00C231C5" w:rsidRPr="00456014">
        <w:t>moderate</w:t>
      </w:r>
      <w:r w:rsidR="005D1E07">
        <w:t xml:space="preserve">, high </w:t>
      </w:r>
      <w:r w:rsidR="00C231C5" w:rsidRPr="00456014">
        <w:t>and steep slope</w:t>
      </w:r>
      <w:r w:rsidR="00EA7909">
        <w:t>s</w:t>
      </w:r>
      <w:r w:rsidR="005D1E07">
        <w:t xml:space="preserve">. </w:t>
      </w:r>
      <w:r w:rsidR="003F7966" w:rsidRPr="00456014">
        <w:t xml:space="preserve">About </w:t>
      </w:r>
      <w:r w:rsidR="003F7966">
        <w:t>sixty two</w:t>
      </w:r>
      <w:r w:rsidR="003F7966" w:rsidRPr="00456014">
        <w:t xml:space="preserve"> percent of the study area was categorized under flat/gentle slope, </w:t>
      </w:r>
      <w:r w:rsidR="003F7966">
        <w:t>twenty</w:t>
      </w:r>
      <w:r w:rsidR="003F7966" w:rsidRPr="00456014">
        <w:t xml:space="preserve"> percent are moderate slope while the left </w:t>
      </w:r>
      <w:r w:rsidR="003F7966">
        <w:t>eighteen</w:t>
      </w:r>
      <w:r w:rsidR="003F7966" w:rsidRPr="00456014">
        <w:t xml:space="preserve"> percent are found under steep/very steep slope</w:t>
      </w:r>
      <w:r w:rsidR="003F7966">
        <w:t xml:space="preserve">. </w:t>
      </w:r>
      <w:r w:rsidR="00EA7909">
        <w:t xml:space="preserve">The central parts </w:t>
      </w:r>
      <w:r w:rsidR="001F311A">
        <w:t xml:space="preserve">of </w:t>
      </w:r>
      <w:r w:rsidR="003F7966" w:rsidRPr="00456014">
        <w:t>study area are</w:t>
      </w:r>
      <w:r w:rsidR="001F311A">
        <w:t xml:space="preserve"> flat agricultural areas, while </w:t>
      </w:r>
      <w:r w:rsidR="003F7966">
        <w:t xml:space="preserve">the </w:t>
      </w:r>
      <w:r w:rsidR="00E367E2">
        <w:t>Northwest and South</w:t>
      </w:r>
      <w:r w:rsidR="003F7966">
        <w:t>western edge</w:t>
      </w:r>
      <w:r w:rsidR="00D14E3E">
        <w:t>s</w:t>
      </w:r>
      <w:r w:rsidR="003F7966">
        <w:t xml:space="preserve"> </w:t>
      </w:r>
      <w:r w:rsidR="00CF6B2F">
        <w:t xml:space="preserve">are a rugged landscape </w:t>
      </w:r>
      <w:r w:rsidR="00E367E2">
        <w:t>of</w:t>
      </w:r>
      <w:r w:rsidR="003F7966" w:rsidRPr="00456014">
        <w:t xml:space="preserve"> steep slope. </w:t>
      </w:r>
    </w:p>
    <w:p w:rsidR="00A857BA" w:rsidRDefault="00A857BA" w:rsidP="00F13B95">
      <w:r w:rsidRPr="00456014">
        <w:t>A high</w:t>
      </w:r>
      <w:r>
        <w:t>ly</w:t>
      </w:r>
      <w:r w:rsidRPr="00456014">
        <w:t xml:space="preserve"> sloping region causes more runoff which leads to less infiltration and poor groundwater prospects</w:t>
      </w:r>
      <w:r>
        <w:t>,</w:t>
      </w:r>
      <w:r w:rsidRPr="00456014">
        <w:t xml:space="preserve"> </w:t>
      </w:r>
      <w:r>
        <w:t xml:space="preserve">while the </w:t>
      </w:r>
      <w:r w:rsidRPr="00456014">
        <w:t>low slope region</w:t>
      </w:r>
      <w:r>
        <w:t xml:space="preserve"> is contrary </w:t>
      </w:r>
      <w:r w:rsidRPr="00456014">
        <w:fldChar w:fldCharType="begin" w:fldLock="1"/>
      </w:r>
      <w:r w:rsidR="00A309A8">
        <w:instrText>ADDIN CSL_CITATION {"citationItems":[{"id":"ITEM-1","itemData":{"author":[{"dropping-particle":"","family":"Banti","given":"Bane Lammesa","non-dropping-particle":"","parse-names":false,"suffix":""}],"id":"ITEM-1","issued":{"date-parts":[["2017"]]},"number-of-pages":"1-66","publisher":"Addis Ababa University","title":"Groundwater potential and Recharge zone mapping by using GIS and Remote sensing Techniques in the case of Middle Awash River Basins, Ethiopia","type":"thesis"},"uris":["http://www.mendeley.com/documents/?uuid=85aca65d-bd3b-40c0-b3a3-985d9655a5bf","http://www.mendeley.com/documents/?uuid=ea6e7cb4-9f80-466b-b132-58c638a0accb"]}],"mendeley":{"formattedCitation":"(Banti, 2017)","plainTextFormattedCitation":"(Banti, 2017)","previouslyFormattedCitation":"(Banti, 2017)"},"properties":{"noteIndex":0},"schema":"https://github.com/citation-style-language/schema/raw/master/csl-citation.json"}</w:instrText>
      </w:r>
      <w:r w:rsidRPr="00456014">
        <w:fldChar w:fldCharType="separate"/>
      </w:r>
      <w:r w:rsidRPr="00456014">
        <w:rPr>
          <w:noProof/>
        </w:rPr>
        <w:t>(Banti, 2017)</w:t>
      </w:r>
      <w:r w:rsidRPr="00456014">
        <w:fldChar w:fldCharType="end"/>
      </w:r>
      <w:r w:rsidRPr="00456014">
        <w:t>.</w:t>
      </w:r>
      <w:r>
        <w:t xml:space="preserve"> Thus, r</w:t>
      </w:r>
      <w:r w:rsidRPr="00456014">
        <w:t xml:space="preserve">anking of the generated </w:t>
      </w:r>
      <w:r>
        <w:t>slope classes and their relative weight was computed</w:t>
      </w:r>
      <w:r w:rsidRPr="00456014">
        <w:t xml:space="preserve"> on </w:t>
      </w:r>
      <w:r>
        <w:t>basis the contribution</w:t>
      </w:r>
      <w:r w:rsidRPr="00456014">
        <w:t>.</w:t>
      </w:r>
      <w:r>
        <w:t xml:space="preserve"> </w:t>
      </w:r>
      <w:r w:rsidRPr="00456014">
        <w:t xml:space="preserve">The relative weight of each slope class and </w:t>
      </w:r>
      <w:r>
        <w:t>CR value</w:t>
      </w:r>
      <w:r w:rsidRPr="00456014">
        <w:t xml:space="preserve"> computed by AHP </w:t>
      </w:r>
      <w:r>
        <w:t>was</w:t>
      </w:r>
      <w:r w:rsidRPr="00456014">
        <w:t xml:space="preserve"> tabulated in Table 4.</w:t>
      </w:r>
      <w:r>
        <w:t>6</w:t>
      </w:r>
      <w:r w:rsidRPr="00456014">
        <w:t>. Since the</w:t>
      </w:r>
      <w:r>
        <w:t xml:space="preserve"> computed consistency ratio </w:t>
      </w:r>
      <w:r w:rsidRPr="00456014">
        <w:t>0.01</w:t>
      </w:r>
      <w:r>
        <w:t xml:space="preserve">9 is less than 0.1 </w:t>
      </w:r>
      <w:r w:rsidRPr="00456014">
        <w:t>the matrix is reasonably consistent.</w:t>
      </w:r>
      <w:r>
        <w:t xml:space="preserve"> </w:t>
      </w:r>
    </w:p>
    <w:p w:rsidR="00C231C5" w:rsidRPr="002B4225" w:rsidRDefault="002B4225" w:rsidP="00F13B95">
      <w:pPr>
        <w:jc w:val="center"/>
      </w:pPr>
      <w:r w:rsidRPr="002B4225">
        <w:rPr>
          <w:noProof/>
        </w:rPr>
        <w:lastRenderedPageBreak/>
        <w:drawing>
          <wp:inline distT="0" distB="0" distL="0" distR="0" wp14:anchorId="6B157750" wp14:editId="318F277B">
            <wp:extent cx="5309831" cy="3754274"/>
            <wp:effectExtent l="19050" t="19050" r="24765" b="17780"/>
            <wp:docPr id="27" name="Picture 27" descr="C:\Users\Abdul Gafar\Desktop\Report_MXD_JPEG\slope_recc\SlopeFN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bdul Gafar\Desktop\Report_MXD_JPEG\slope_recc\SlopeFNL.bmp"/>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316962" cy="3759316"/>
                    </a:xfrm>
                    <a:prstGeom prst="rect">
                      <a:avLst/>
                    </a:prstGeom>
                    <a:noFill/>
                    <a:ln w="12700">
                      <a:solidFill>
                        <a:schemeClr val="tx1"/>
                      </a:solidFill>
                    </a:ln>
                  </pic:spPr>
                </pic:pic>
              </a:graphicData>
            </a:graphic>
          </wp:inline>
        </w:drawing>
      </w:r>
    </w:p>
    <w:p w:rsidR="002C4FB0" w:rsidRPr="00456014" w:rsidRDefault="0084703D" w:rsidP="00F13B95">
      <w:bookmarkStart w:id="197" w:name="_Toc68761632"/>
      <w:r w:rsidRPr="00456014">
        <w:t xml:space="preserve">Figure </w:t>
      </w:r>
      <w:r w:rsidR="00515F3B">
        <w:rPr>
          <w:noProof/>
        </w:rPr>
        <w:fldChar w:fldCharType="begin"/>
      </w:r>
      <w:r w:rsidR="00515F3B">
        <w:rPr>
          <w:noProof/>
        </w:rPr>
        <w:instrText xml:space="preserve"> STYLEREF 1 \s </w:instrText>
      </w:r>
      <w:r w:rsidR="00515F3B">
        <w:rPr>
          <w:noProof/>
        </w:rPr>
        <w:fldChar w:fldCharType="separate"/>
      </w:r>
      <w:r w:rsidR="00BD510E">
        <w:rPr>
          <w:noProof/>
        </w:rPr>
        <w:t>4</w:t>
      </w:r>
      <w:r w:rsidR="00515F3B">
        <w:rPr>
          <w:noProof/>
        </w:rPr>
        <w:fldChar w:fldCharType="end"/>
      </w:r>
      <w:r w:rsidR="001342E5">
        <w:t>.</w:t>
      </w:r>
      <w:r w:rsidR="00515F3B">
        <w:rPr>
          <w:noProof/>
        </w:rPr>
        <w:fldChar w:fldCharType="begin"/>
      </w:r>
      <w:r w:rsidR="00515F3B">
        <w:rPr>
          <w:noProof/>
        </w:rPr>
        <w:instrText xml:space="preserve"> SEQ Figure \* ARABIC \s 1 </w:instrText>
      </w:r>
      <w:r w:rsidR="00515F3B">
        <w:rPr>
          <w:noProof/>
        </w:rPr>
        <w:fldChar w:fldCharType="separate"/>
      </w:r>
      <w:r w:rsidR="00BD510E">
        <w:rPr>
          <w:noProof/>
        </w:rPr>
        <w:t>14</w:t>
      </w:r>
      <w:r w:rsidR="00515F3B">
        <w:rPr>
          <w:noProof/>
        </w:rPr>
        <w:fldChar w:fldCharType="end"/>
      </w:r>
      <w:r w:rsidRPr="00456014">
        <w:t>:</w:t>
      </w:r>
      <w:r w:rsidR="004A64E7">
        <w:t xml:space="preserve"> The slope </w:t>
      </w:r>
      <w:r w:rsidRPr="00456014">
        <w:t>map of study area</w:t>
      </w:r>
      <w:bookmarkEnd w:id="197"/>
    </w:p>
    <w:p w:rsidR="00A72480" w:rsidRPr="00456014" w:rsidRDefault="00A72480" w:rsidP="00F13B95">
      <w:pPr>
        <w:jc w:val="center"/>
      </w:pPr>
      <w:r w:rsidRPr="00A72480">
        <w:rPr>
          <w:noProof/>
        </w:rPr>
        <w:drawing>
          <wp:inline distT="0" distB="0" distL="0" distR="0" wp14:anchorId="5BEA776B" wp14:editId="4CF426A0">
            <wp:extent cx="5404721" cy="3821365"/>
            <wp:effectExtent l="19050" t="19050" r="24765" b="27305"/>
            <wp:docPr id="24" name="Picture 24" descr="C:\Users\Abdul Gafar\Desktop\Report_MXD_JPEG\slope_recc\Slope_REC_FN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bdul Gafar\Desktop\Report_MXD_JPEG\slope_recc\Slope_REC_FNL.bmp"/>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410488" cy="3825443"/>
                    </a:xfrm>
                    <a:prstGeom prst="rect">
                      <a:avLst/>
                    </a:prstGeom>
                    <a:noFill/>
                    <a:ln w="12700">
                      <a:solidFill>
                        <a:schemeClr val="tx1"/>
                      </a:solidFill>
                    </a:ln>
                  </pic:spPr>
                </pic:pic>
              </a:graphicData>
            </a:graphic>
          </wp:inline>
        </w:drawing>
      </w:r>
    </w:p>
    <w:p w:rsidR="00C231C5" w:rsidRDefault="00C267B4" w:rsidP="00F13B95">
      <w:bookmarkStart w:id="198" w:name="_Toc68761633"/>
      <w:r w:rsidRPr="00456014">
        <w:t>Figure</w:t>
      </w:r>
      <w:r w:rsidR="00C231C5" w:rsidRPr="00456014">
        <w:t xml:space="preserve"> </w:t>
      </w:r>
      <w:r w:rsidR="00515F3B">
        <w:rPr>
          <w:noProof/>
        </w:rPr>
        <w:fldChar w:fldCharType="begin"/>
      </w:r>
      <w:r w:rsidR="00515F3B">
        <w:rPr>
          <w:noProof/>
        </w:rPr>
        <w:instrText xml:space="preserve"> STYLEREF 1 \s </w:instrText>
      </w:r>
      <w:r w:rsidR="00515F3B">
        <w:rPr>
          <w:noProof/>
        </w:rPr>
        <w:fldChar w:fldCharType="separate"/>
      </w:r>
      <w:r w:rsidR="00BD510E">
        <w:rPr>
          <w:noProof/>
        </w:rPr>
        <w:t>4</w:t>
      </w:r>
      <w:r w:rsidR="00515F3B">
        <w:rPr>
          <w:noProof/>
        </w:rPr>
        <w:fldChar w:fldCharType="end"/>
      </w:r>
      <w:r w:rsidR="001342E5">
        <w:t>.</w:t>
      </w:r>
      <w:r w:rsidR="00515F3B">
        <w:rPr>
          <w:noProof/>
        </w:rPr>
        <w:fldChar w:fldCharType="begin"/>
      </w:r>
      <w:r w:rsidR="00515F3B">
        <w:rPr>
          <w:noProof/>
        </w:rPr>
        <w:instrText xml:space="preserve"> SEQ Figure \* ARABIC \s 1 </w:instrText>
      </w:r>
      <w:r w:rsidR="00515F3B">
        <w:rPr>
          <w:noProof/>
        </w:rPr>
        <w:fldChar w:fldCharType="separate"/>
      </w:r>
      <w:r w:rsidR="00BD510E">
        <w:rPr>
          <w:noProof/>
        </w:rPr>
        <w:t>15</w:t>
      </w:r>
      <w:r w:rsidR="00515F3B">
        <w:rPr>
          <w:noProof/>
        </w:rPr>
        <w:fldChar w:fldCharType="end"/>
      </w:r>
      <w:r w:rsidR="00C231C5" w:rsidRPr="00456014">
        <w:t>:</w:t>
      </w:r>
      <w:r w:rsidR="00511D7F" w:rsidRPr="00456014">
        <w:t xml:space="preserve"> </w:t>
      </w:r>
      <w:r w:rsidR="00A672DC">
        <w:t>T</w:t>
      </w:r>
      <w:r w:rsidR="00511D7F" w:rsidRPr="00456014">
        <w:t xml:space="preserve">he </w:t>
      </w:r>
      <w:r w:rsidR="00A672DC">
        <w:t xml:space="preserve">reclassified slope </w:t>
      </w:r>
      <w:r w:rsidR="003D768E" w:rsidRPr="00456014">
        <w:t xml:space="preserve">thematic map of </w:t>
      </w:r>
      <w:r w:rsidR="00A672DC">
        <w:t>Weyib Sub-basin</w:t>
      </w:r>
      <w:bookmarkEnd w:id="198"/>
    </w:p>
    <w:p w:rsidR="00931FB9" w:rsidRPr="00456014" w:rsidRDefault="00931FB9" w:rsidP="00F13B95">
      <w:pPr>
        <w:pStyle w:val="Caption"/>
        <w:keepNext/>
        <w:spacing w:before="120" w:after="120" w:line="360" w:lineRule="auto"/>
        <w:rPr>
          <w:i w:val="0"/>
          <w:iCs w:val="0"/>
          <w:color w:val="auto"/>
          <w:sz w:val="24"/>
          <w:szCs w:val="24"/>
        </w:rPr>
      </w:pPr>
      <w:bookmarkStart w:id="199" w:name="_Toc68761600"/>
      <w:r w:rsidRPr="00456014">
        <w:rPr>
          <w:i w:val="0"/>
          <w:iCs w:val="0"/>
          <w:color w:val="auto"/>
          <w:sz w:val="24"/>
          <w:szCs w:val="24"/>
        </w:rPr>
        <w:lastRenderedPageBreak/>
        <w:t xml:space="preserve">Table </w:t>
      </w:r>
      <w:r w:rsidRPr="00456014">
        <w:rPr>
          <w:i w:val="0"/>
          <w:iCs w:val="0"/>
          <w:color w:val="auto"/>
          <w:sz w:val="24"/>
          <w:szCs w:val="24"/>
        </w:rPr>
        <w:fldChar w:fldCharType="begin"/>
      </w:r>
      <w:r w:rsidRPr="00456014">
        <w:rPr>
          <w:i w:val="0"/>
          <w:iCs w:val="0"/>
          <w:color w:val="auto"/>
          <w:sz w:val="24"/>
          <w:szCs w:val="24"/>
        </w:rPr>
        <w:instrText xml:space="preserve"> STYLEREF 1 \s </w:instrText>
      </w:r>
      <w:r w:rsidRPr="00456014">
        <w:rPr>
          <w:i w:val="0"/>
          <w:iCs w:val="0"/>
          <w:color w:val="auto"/>
          <w:sz w:val="24"/>
          <w:szCs w:val="24"/>
        </w:rPr>
        <w:fldChar w:fldCharType="separate"/>
      </w:r>
      <w:r w:rsidR="00BD510E">
        <w:rPr>
          <w:i w:val="0"/>
          <w:iCs w:val="0"/>
          <w:noProof/>
          <w:color w:val="auto"/>
          <w:sz w:val="24"/>
          <w:szCs w:val="24"/>
        </w:rPr>
        <w:t>4</w:t>
      </w:r>
      <w:r w:rsidRPr="00456014">
        <w:rPr>
          <w:i w:val="0"/>
          <w:iCs w:val="0"/>
          <w:color w:val="auto"/>
          <w:sz w:val="24"/>
          <w:szCs w:val="24"/>
        </w:rPr>
        <w:fldChar w:fldCharType="end"/>
      </w:r>
      <w:r w:rsidRPr="00456014">
        <w:rPr>
          <w:i w:val="0"/>
          <w:iCs w:val="0"/>
          <w:color w:val="auto"/>
          <w:sz w:val="24"/>
          <w:szCs w:val="24"/>
        </w:rPr>
        <w:t>.</w:t>
      </w:r>
      <w:r w:rsidRPr="00456014">
        <w:rPr>
          <w:i w:val="0"/>
          <w:iCs w:val="0"/>
          <w:color w:val="auto"/>
          <w:sz w:val="24"/>
          <w:szCs w:val="24"/>
        </w:rPr>
        <w:fldChar w:fldCharType="begin"/>
      </w:r>
      <w:r w:rsidRPr="00456014">
        <w:rPr>
          <w:i w:val="0"/>
          <w:iCs w:val="0"/>
          <w:color w:val="auto"/>
          <w:sz w:val="24"/>
          <w:szCs w:val="24"/>
        </w:rPr>
        <w:instrText xml:space="preserve"> SEQ Table \* ARABIC \s 1 </w:instrText>
      </w:r>
      <w:r w:rsidRPr="00456014">
        <w:rPr>
          <w:i w:val="0"/>
          <w:iCs w:val="0"/>
          <w:color w:val="auto"/>
          <w:sz w:val="24"/>
          <w:szCs w:val="24"/>
        </w:rPr>
        <w:fldChar w:fldCharType="separate"/>
      </w:r>
      <w:r w:rsidR="00BD510E">
        <w:rPr>
          <w:i w:val="0"/>
          <w:iCs w:val="0"/>
          <w:noProof/>
          <w:color w:val="auto"/>
          <w:sz w:val="24"/>
          <w:szCs w:val="24"/>
        </w:rPr>
        <w:t>6</w:t>
      </w:r>
      <w:r w:rsidRPr="00456014">
        <w:rPr>
          <w:i w:val="0"/>
          <w:iCs w:val="0"/>
          <w:color w:val="auto"/>
          <w:sz w:val="24"/>
          <w:szCs w:val="24"/>
        </w:rPr>
        <w:fldChar w:fldCharType="end"/>
      </w:r>
      <w:r w:rsidRPr="00456014">
        <w:rPr>
          <w:i w:val="0"/>
          <w:iCs w:val="0"/>
          <w:color w:val="auto"/>
          <w:sz w:val="24"/>
          <w:szCs w:val="24"/>
        </w:rPr>
        <w:t>:</w:t>
      </w:r>
      <w:r w:rsidRPr="00456014">
        <w:rPr>
          <w:i w:val="0"/>
          <w:iCs w:val="0"/>
          <w:color w:val="auto"/>
          <w:sz w:val="24"/>
          <w:szCs w:val="36"/>
        </w:rPr>
        <w:t xml:space="preserve"> Slope range and relative weight of slope classes</w:t>
      </w:r>
      <w:bookmarkEnd w:id="199"/>
      <w:r w:rsidRPr="00456014">
        <w:rPr>
          <w:i w:val="0"/>
          <w:iCs w:val="0"/>
          <w:color w:val="auto"/>
          <w:sz w:val="24"/>
          <w:szCs w:val="36"/>
        </w:rPr>
        <w:t xml:space="preserve"> </w:t>
      </w:r>
    </w:p>
    <w:tbl>
      <w:tblPr>
        <w:tblW w:w="5000" w:type="pct"/>
        <w:jc w:val="center"/>
        <w:tblBorders>
          <w:top w:val="single" w:sz="4" w:space="0" w:color="auto"/>
          <w:bottom w:val="single" w:sz="4" w:space="0" w:color="auto"/>
        </w:tblBorders>
        <w:tblLook w:val="04A0" w:firstRow="1" w:lastRow="0" w:firstColumn="1" w:lastColumn="0" w:noHBand="0" w:noVBand="1"/>
      </w:tblPr>
      <w:tblGrid>
        <w:gridCol w:w="1183"/>
        <w:gridCol w:w="1101"/>
        <w:gridCol w:w="687"/>
        <w:gridCol w:w="1289"/>
        <w:gridCol w:w="1523"/>
        <w:gridCol w:w="736"/>
        <w:gridCol w:w="1725"/>
        <w:gridCol w:w="756"/>
      </w:tblGrid>
      <w:tr w:rsidR="00931FB9" w:rsidRPr="00456014" w:rsidTr="008511A8">
        <w:trPr>
          <w:trHeight w:val="375"/>
          <w:jc w:val="center"/>
        </w:trPr>
        <w:tc>
          <w:tcPr>
            <w:tcW w:w="550" w:type="pct"/>
            <w:tcBorders>
              <w:top w:val="single" w:sz="4" w:space="0" w:color="auto"/>
              <w:bottom w:val="single" w:sz="4" w:space="0" w:color="auto"/>
            </w:tcBorders>
            <w:shd w:val="clear" w:color="auto" w:fill="auto"/>
            <w:noWrap/>
            <w:hideMark/>
          </w:tcPr>
          <w:p w:rsidR="00931FB9" w:rsidRPr="00456014" w:rsidRDefault="00931FB9" w:rsidP="008511A8">
            <w:pPr>
              <w:spacing w:before="0" w:after="0"/>
              <w:jc w:val="center"/>
              <w:rPr>
                <w:rFonts w:eastAsia="Times New Roman"/>
                <w:iCs/>
              </w:rPr>
            </w:pPr>
            <w:r w:rsidRPr="00456014">
              <w:rPr>
                <w:rFonts w:eastAsia="Times New Roman"/>
                <w:iCs/>
                <w:lang w:val="en-GB"/>
              </w:rPr>
              <w:t>Slope (%)</w:t>
            </w:r>
          </w:p>
        </w:tc>
        <w:tc>
          <w:tcPr>
            <w:tcW w:w="666" w:type="pct"/>
            <w:tcBorders>
              <w:top w:val="single" w:sz="4" w:space="0" w:color="auto"/>
              <w:bottom w:val="single" w:sz="4" w:space="0" w:color="auto"/>
            </w:tcBorders>
            <w:shd w:val="clear" w:color="auto" w:fill="auto"/>
          </w:tcPr>
          <w:p w:rsidR="00931FB9" w:rsidRPr="00456014" w:rsidRDefault="00931FB9" w:rsidP="008511A8">
            <w:pPr>
              <w:spacing w:before="0" w:after="0"/>
              <w:jc w:val="center"/>
              <w:rPr>
                <w:rFonts w:eastAsia="Times New Roman"/>
                <w:iCs/>
              </w:rPr>
            </w:pPr>
            <w:r w:rsidRPr="00456014">
              <w:rPr>
                <w:rFonts w:eastAsia="Times New Roman"/>
                <w:iCs/>
                <w:lang w:val="en-GB"/>
              </w:rPr>
              <w:t>Area (</w:t>
            </w:r>
            <w:r w:rsidR="00BA7674" w:rsidRPr="00456014">
              <w:rPr>
                <w:rFonts w:eastAsia="Times New Roman"/>
                <w:iCs/>
                <w:lang w:val="en-GB"/>
              </w:rPr>
              <w:t>km</w:t>
            </w:r>
            <w:r w:rsidR="00BA7674" w:rsidRPr="00456014">
              <w:rPr>
                <w:rFonts w:eastAsia="Times New Roman"/>
                <w:iCs/>
                <w:vertAlign w:val="superscript"/>
                <w:lang w:val="en-GB"/>
              </w:rPr>
              <w:t>2</w:t>
            </w:r>
            <w:r w:rsidRPr="00456014">
              <w:rPr>
                <w:rFonts w:eastAsia="Times New Roman"/>
                <w:iCs/>
                <w:lang w:val="en-GB"/>
              </w:rPr>
              <w:t>)</w:t>
            </w:r>
          </w:p>
        </w:tc>
        <w:tc>
          <w:tcPr>
            <w:tcW w:w="436" w:type="pct"/>
            <w:tcBorders>
              <w:top w:val="single" w:sz="4" w:space="0" w:color="auto"/>
              <w:bottom w:val="single" w:sz="4" w:space="0" w:color="auto"/>
            </w:tcBorders>
            <w:shd w:val="clear" w:color="auto" w:fill="auto"/>
          </w:tcPr>
          <w:p w:rsidR="00931FB9" w:rsidRPr="00456014" w:rsidRDefault="00931FB9" w:rsidP="008511A8">
            <w:pPr>
              <w:spacing w:before="0" w:after="0"/>
              <w:jc w:val="center"/>
              <w:rPr>
                <w:rFonts w:eastAsia="Times New Roman"/>
                <w:iCs/>
                <w:lang w:val="en-GB"/>
              </w:rPr>
            </w:pPr>
            <w:r w:rsidRPr="00456014">
              <w:rPr>
                <w:rFonts w:eastAsia="Times New Roman"/>
                <w:iCs/>
                <w:lang w:val="en-GB"/>
              </w:rPr>
              <w:t>Area (%)</w:t>
            </w:r>
          </w:p>
        </w:tc>
        <w:tc>
          <w:tcPr>
            <w:tcW w:w="716" w:type="pct"/>
            <w:tcBorders>
              <w:top w:val="single" w:sz="4" w:space="0" w:color="auto"/>
              <w:bottom w:val="single" w:sz="4" w:space="0" w:color="auto"/>
            </w:tcBorders>
            <w:shd w:val="clear" w:color="auto" w:fill="auto"/>
            <w:noWrap/>
            <w:hideMark/>
          </w:tcPr>
          <w:p w:rsidR="00931FB9" w:rsidRPr="00456014" w:rsidRDefault="00931FB9" w:rsidP="008511A8">
            <w:pPr>
              <w:spacing w:before="0" w:after="0"/>
              <w:jc w:val="center"/>
              <w:rPr>
                <w:rFonts w:eastAsia="Times New Roman"/>
                <w:iCs/>
              </w:rPr>
            </w:pPr>
            <w:r w:rsidRPr="00456014">
              <w:rPr>
                <w:rFonts w:eastAsia="Times New Roman"/>
                <w:iCs/>
                <w:lang w:val="en-GB"/>
              </w:rPr>
              <w:t>Classes</w:t>
            </w:r>
          </w:p>
        </w:tc>
        <w:tc>
          <w:tcPr>
            <w:tcW w:w="825" w:type="pct"/>
            <w:tcBorders>
              <w:top w:val="single" w:sz="4" w:space="0" w:color="auto"/>
              <w:bottom w:val="single" w:sz="4" w:space="0" w:color="auto"/>
            </w:tcBorders>
            <w:shd w:val="clear" w:color="auto" w:fill="auto"/>
          </w:tcPr>
          <w:p w:rsidR="00931FB9" w:rsidRPr="00C1717D" w:rsidRDefault="00931FB9" w:rsidP="008511A8">
            <w:pPr>
              <w:spacing w:before="0" w:after="0"/>
              <w:jc w:val="center"/>
              <w:rPr>
                <w:rFonts w:eastAsia="Times New Roman"/>
                <w:iCs/>
                <w:vertAlign w:val="superscript"/>
              </w:rPr>
            </w:pPr>
            <w:r w:rsidRPr="00456014">
              <w:rPr>
                <w:rFonts w:eastAsia="Times New Roman"/>
                <w:iCs/>
              </w:rPr>
              <w:t>Contribution</w:t>
            </w:r>
            <w:r w:rsidR="00C1717D">
              <w:rPr>
                <w:rFonts w:eastAsia="Times New Roman"/>
                <w:iCs/>
                <w:vertAlign w:val="superscript"/>
              </w:rPr>
              <w:t>*</w:t>
            </w:r>
          </w:p>
        </w:tc>
        <w:tc>
          <w:tcPr>
            <w:tcW w:w="331" w:type="pct"/>
            <w:tcBorders>
              <w:top w:val="single" w:sz="4" w:space="0" w:color="auto"/>
              <w:bottom w:val="single" w:sz="4" w:space="0" w:color="auto"/>
            </w:tcBorders>
            <w:shd w:val="clear" w:color="auto" w:fill="auto"/>
          </w:tcPr>
          <w:p w:rsidR="00931FB9" w:rsidRPr="00456014" w:rsidRDefault="00931FB9" w:rsidP="008511A8">
            <w:pPr>
              <w:spacing w:before="0" w:after="0"/>
              <w:jc w:val="center"/>
              <w:rPr>
                <w:rFonts w:eastAsia="Times New Roman"/>
                <w:iCs/>
              </w:rPr>
            </w:pPr>
            <w:r>
              <w:rPr>
                <w:rFonts w:eastAsia="Times New Roman"/>
                <w:iCs/>
              </w:rPr>
              <w:t>Scale value</w:t>
            </w:r>
          </w:p>
        </w:tc>
        <w:tc>
          <w:tcPr>
            <w:tcW w:w="1013" w:type="pct"/>
            <w:tcBorders>
              <w:top w:val="single" w:sz="4" w:space="0" w:color="auto"/>
              <w:bottom w:val="single" w:sz="4" w:space="0" w:color="auto"/>
            </w:tcBorders>
            <w:shd w:val="clear" w:color="auto" w:fill="auto"/>
          </w:tcPr>
          <w:p w:rsidR="00931FB9" w:rsidRPr="00456014" w:rsidRDefault="00931FB9" w:rsidP="008511A8">
            <w:pPr>
              <w:spacing w:before="0" w:after="0"/>
              <w:jc w:val="center"/>
              <w:rPr>
                <w:rFonts w:eastAsia="Times New Roman"/>
                <w:iCs/>
              </w:rPr>
            </w:pPr>
            <w:r w:rsidRPr="00456014">
              <w:rPr>
                <w:rFonts w:eastAsia="Times New Roman"/>
                <w:iCs/>
              </w:rPr>
              <w:t>Relative weight (%)</w:t>
            </w:r>
          </w:p>
        </w:tc>
        <w:tc>
          <w:tcPr>
            <w:tcW w:w="463" w:type="pct"/>
            <w:tcBorders>
              <w:top w:val="single" w:sz="4" w:space="0" w:color="auto"/>
              <w:bottom w:val="single" w:sz="4" w:space="0" w:color="auto"/>
            </w:tcBorders>
            <w:shd w:val="clear" w:color="auto" w:fill="auto"/>
          </w:tcPr>
          <w:p w:rsidR="00931FB9" w:rsidRPr="00456014" w:rsidRDefault="00931FB9" w:rsidP="008511A8">
            <w:pPr>
              <w:spacing w:before="0" w:after="0"/>
              <w:jc w:val="center"/>
              <w:rPr>
                <w:rFonts w:eastAsia="Times New Roman"/>
                <w:iCs/>
              </w:rPr>
            </w:pPr>
            <w:r w:rsidRPr="00456014">
              <w:rPr>
                <w:rFonts w:eastAsia="Times New Roman"/>
                <w:iCs/>
              </w:rPr>
              <w:t>CR</w:t>
            </w:r>
          </w:p>
        </w:tc>
      </w:tr>
      <w:tr w:rsidR="00931FB9" w:rsidRPr="00456014" w:rsidTr="008511A8">
        <w:trPr>
          <w:trHeight w:val="315"/>
          <w:jc w:val="center"/>
        </w:trPr>
        <w:tc>
          <w:tcPr>
            <w:tcW w:w="550" w:type="pct"/>
            <w:tcBorders>
              <w:top w:val="single" w:sz="4" w:space="0" w:color="auto"/>
            </w:tcBorders>
            <w:shd w:val="clear" w:color="auto" w:fill="auto"/>
            <w:noWrap/>
            <w:hideMark/>
          </w:tcPr>
          <w:p w:rsidR="00931FB9" w:rsidRPr="00456014" w:rsidRDefault="00931FB9" w:rsidP="008511A8">
            <w:pPr>
              <w:spacing w:before="0" w:after="0"/>
              <w:jc w:val="center"/>
              <w:rPr>
                <w:rFonts w:eastAsia="Times New Roman"/>
              </w:rPr>
            </w:pPr>
            <w:r w:rsidRPr="00456014">
              <w:t>0-3</w:t>
            </w:r>
          </w:p>
        </w:tc>
        <w:tc>
          <w:tcPr>
            <w:tcW w:w="666" w:type="pct"/>
            <w:tcBorders>
              <w:top w:val="single" w:sz="4" w:space="0" w:color="auto"/>
            </w:tcBorders>
            <w:shd w:val="clear" w:color="auto" w:fill="auto"/>
          </w:tcPr>
          <w:p w:rsidR="00931FB9" w:rsidRPr="00456014" w:rsidRDefault="00931FB9" w:rsidP="008511A8">
            <w:pPr>
              <w:spacing w:before="0" w:after="0"/>
              <w:jc w:val="center"/>
              <w:rPr>
                <w:rFonts w:eastAsia="Times New Roman"/>
              </w:rPr>
            </w:pPr>
            <w:r w:rsidRPr="00456014">
              <w:rPr>
                <w:rFonts w:eastAsia="Times New Roman"/>
              </w:rPr>
              <w:t>660.02</w:t>
            </w:r>
          </w:p>
        </w:tc>
        <w:tc>
          <w:tcPr>
            <w:tcW w:w="436" w:type="pct"/>
            <w:tcBorders>
              <w:top w:val="single" w:sz="4" w:space="0" w:color="auto"/>
            </w:tcBorders>
            <w:shd w:val="clear" w:color="auto" w:fill="auto"/>
          </w:tcPr>
          <w:p w:rsidR="00931FB9" w:rsidRPr="00456014" w:rsidRDefault="00931FB9" w:rsidP="008511A8">
            <w:pPr>
              <w:spacing w:before="0" w:after="0"/>
              <w:jc w:val="center"/>
            </w:pPr>
            <w:r w:rsidRPr="00456014">
              <w:t>14.9</w:t>
            </w:r>
          </w:p>
        </w:tc>
        <w:tc>
          <w:tcPr>
            <w:tcW w:w="716" w:type="pct"/>
            <w:tcBorders>
              <w:top w:val="single" w:sz="4" w:space="0" w:color="auto"/>
            </w:tcBorders>
            <w:shd w:val="clear" w:color="auto" w:fill="auto"/>
            <w:noWrap/>
            <w:hideMark/>
          </w:tcPr>
          <w:p w:rsidR="00931FB9" w:rsidRPr="00456014" w:rsidRDefault="00931FB9" w:rsidP="008511A8">
            <w:pPr>
              <w:spacing w:before="0" w:after="0"/>
              <w:jc w:val="center"/>
              <w:rPr>
                <w:rFonts w:eastAsia="Times New Roman"/>
              </w:rPr>
            </w:pPr>
            <w:r w:rsidRPr="00456014">
              <w:rPr>
                <w:rFonts w:eastAsia="Times New Roman"/>
              </w:rPr>
              <w:t xml:space="preserve">Flat </w:t>
            </w:r>
          </w:p>
        </w:tc>
        <w:tc>
          <w:tcPr>
            <w:tcW w:w="825" w:type="pct"/>
            <w:tcBorders>
              <w:top w:val="single" w:sz="4" w:space="0" w:color="auto"/>
            </w:tcBorders>
            <w:shd w:val="clear" w:color="auto" w:fill="auto"/>
          </w:tcPr>
          <w:p w:rsidR="00931FB9" w:rsidRPr="00456014" w:rsidRDefault="00931FB9" w:rsidP="008511A8">
            <w:pPr>
              <w:spacing w:before="0" w:after="0"/>
            </w:pPr>
            <w:r w:rsidRPr="00456014">
              <w:t>Very high</w:t>
            </w:r>
          </w:p>
        </w:tc>
        <w:tc>
          <w:tcPr>
            <w:tcW w:w="331" w:type="pct"/>
            <w:tcBorders>
              <w:top w:val="single" w:sz="4" w:space="0" w:color="auto"/>
            </w:tcBorders>
            <w:shd w:val="clear" w:color="auto" w:fill="auto"/>
          </w:tcPr>
          <w:p w:rsidR="00931FB9" w:rsidRPr="00456014" w:rsidRDefault="00931FB9" w:rsidP="008511A8">
            <w:pPr>
              <w:spacing w:before="0" w:after="0"/>
              <w:jc w:val="center"/>
            </w:pPr>
            <w:r>
              <w:t>5</w:t>
            </w:r>
          </w:p>
        </w:tc>
        <w:tc>
          <w:tcPr>
            <w:tcW w:w="1013" w:type="pct"/>
            <w:tcBorders>
              <w:top w:val="single" w:sz="4" w:space="0" w:color="auto"/>
            </w:tcBorders>
            <w:shd w:val="clear" w:color="auto" w:fill="auto"/>
          </w:tcPr>
          <w:p w:rsidR="00931FB9" w:rsidRPr="00456014" w:rsidRDefault="00931FB9" w:rsidP="008511A8">
            <w:pPr>
              <w:spacing w:before="0" w:after="0"/>
              <w:jc w:val="center"/>
            </w:pPr>
            <w:r w:rsidRPr="00456014">
              <w:t>47</w:t>
            </w:r>
          </w:p>
        </w:tc>
        <w:tc>
          <w:tcPr>
            <w:tcW w:w="463" w:type="pct"/>
            <w:vMerge w:val="restart"/>
            <w:tcBorders>
              <w:top w:val="single" w:sz="4" w:space="0" w:color="auto"/>
            </w:tcBorders>
            <w:shd w:val="clear" w:color="auto" w:fill="auto"/>
          </w:tcPr>
          <w:p w:rsidR="00931FB9" w:rsidRPr="00456014" w:rsidRDefault="00931FB9" w:rsidP="008511A8">
            <w:pPr>
              <w:spacing w:before="0" w:after="0"/>
              <w:jc w:val="center"/>
            </w:pPr>
            <w:r w:rsidRPr="00456014">
              <w:t>0.019</w:t>
            </w:r>
          </w:p>
        </w:tc>
      </w:tr>
      <w:tr w:rsidR="00931FB9" w:rsidRPr="00456014" w:rsidTr="008511A8">
        <w:trPr>
          <w:trHeight w:val="315"/>
          <w:jc w:val="center"/>
        </w:trPr>
        <w:tc>
          <w:tcPr>
            <w:tcW w:w="550" w:type="pct"/>
            <w:shd w:val="clear" w:color="auto" w:fill="auto"/>
            <w:noWrap/>
            <w:hideMark/>
          </w:tcPr>
          <w:p w:rsidR="00931FB9" w:rsidRPr="00456014" w:rsidRDefault="00931FB9" w:rsidP="008511A8">
            <w:pPr>
              <w:spacing w:before="0" w:after="0"/>
              <w:jc w:val="center"/>
              <w:rPr>
                <w:rFonts w:eastAsia="Times New Roman"/>
              </w:rPr>
            </w:pPr>
            <w:r w:rsidRPr="00456014">
              <w:t>3-9</w:t>
            </w:r>
          </w:p>
        </w:tc>
        <w:tc>
          <w:tcPr>
            <w:tcW w:w="666" w:type="pct"/>
            <w:shd w:val="clear" w:color="auto" w:fill="auto"/>
          </w:tcPr>
          <w:p w:rsidR="00931FB9" w:rsidRPr="00456014" w:rsidRDefault="00931FB9" w:rsidP="008511A8">
            <w:pPr>
              <w:spacing w:before="0" w:after="0"/>
              <w:jc w:val="center"/>
              <w:rPr>
                <w:rFonts w:eastAsia="Times New Roman"/>
              </w:rPr>
            </w:pPr>
            <w:r w:rsidRPr="00456014">
              <w:rPr>
                <w:rFonts w:eastAsia="Times New Roman"/>
              </w:rPr>
              <w:t>2093.3</w:t>
            </w:r>
          </w:p>
        </w:tc>
        <w:tc>
          <w:tcPr>
            <w:tcW w:w="436" w:type="pct"/>
            <w:shd w:val="clear" w:color="auto" w:fill="auto"/>
          </w:tcPr>
          <w:p w:rsidR="00931FB9" w:rsidRPr="00456014" w:rsidRDefault="00931FB9" w:rsidP="008511A8">
            <w:pPr>
              <w:spacing w:before="0" w:after="0"/>
              <w:jc w:val="center"/>
            </w:pPr>
            <w:r w:rsidRPr="00456014">
              <w:t>47.4</w:t>
            </w:r>
          </w:p>
        </w:tc>
        <w:tc>
          <w:tcPr>
            <w:tcW w:w="716" w:type="pct"/>
            <w:shd w:val="clear" w:color="auto" w:fill="auto"/>
            <w:noWrap/>
            <w:hideMark/>
          </w:tcPr>
          <w:p w:rsidR="00931FB9" w:rsidRPr="00456014" w:rsidRDefault="00931FB9" w:rsidP="008511A8">
            <w:pPr>
              <w:spacing w:before="0" w:after="0"/>
              <w:jc w:val="center"/>
              <w:rPr>
                <w:rFonts w:eastAsia="Times New Roman"/>
              </w:rPr>
            </w:pPr>
            <w:r w:rsidRPr="00456014">
              <w:rPr>
                <w:rFonts w:eastAsia="Times New Roman"/>
              </w:rPr>
              <w:t xml:space="preserve">Gentle </w:t>
            </w:r>
          </w:p>
        </w:tc>
        <w:tc>
          <w:tcPr>
            <w:tcW w:w="825" w:type="pct"/>
            <w:shd w:val="clear" w:color="auto" w:fill="auto"/>
          </w:tcPr>
          <w:p w:rsidR="00931FB9" w:rsidRPr="00456014" w:rsidRDefault="00931FB9" w:rsidP="008511A8">
            <w:pPr>
              <w:spacing w:before="0" w:after="0"/>
            </w:pPr>
            <w:r w:rsidRPr="00456014">
              <w:t xml:space="preserve">High  </w:t>
            </w:r>
          </w:p>
        </w:tc>
        <w:tc>
          <w:tcPr>
            <w:tcW w:w="331" w:type="pct"/>
            <w:shd w:val="clear" w:color="auto" w:fill="auto"/>
          </w:tcPr>
          <w:p w:rsidR="00931FB9" w:rsidRPr="00456014" w:rsidRDefault="00931FB9" w:rsidP="008511A8">
            <w:pPr>
              <w:spacing w:before="0" w:after="0"/>
              <w:jc w:val="center"/>
            </w:pPr>
            <w:r>
              <w:t>4</w:t>
            </w:r>
          </w:p>
        </w:tc>
        <w:tc>
          <w:tcPr>
            <w:tcW w:w="1013" w:type="pct"/>
            <w:shd w:val="clear" w:color="auto" w:fill="auto"/>
          </w:tcPr>
          <w:p w:rsidR="00931FB9" w:rsidRPr="00456014" w:rsidRDefault="00931FB9" w:rsidP="008511A8">
            <w:pPr>
              <w:spacing w:before="0" w:after="0"/>
              <w:jc w:val="center"/>
            </w:pPr>
            <w:r w:rsidRPr="00456014">
              <w:t>32</w:t>
            </w:r>
          </w:p>
        </w:tc>
        <w:tc>
          <w:tcPr>
            <w:tcW w:w="463" w:type="pct"/>
            <w:vMerge/>
            <w:shd w:val="clear" w:color="auto" w:fill="auto"/>
          </w:tcPr>
          <w:p w:rsidR="00931FB9" w:rsidRPr="00456014" w:rsidRDefault="00931FB9" w:rsidP="008511A8">
            <w:pPr>
              <w:spacing w:before="0" w:after="0"/>
              <w:jc w:val="center"/>
            </w:pPr>
          </w:p>
        </w:tc>
      </w:tr>
      <w:tr w:rsidR="00931FB9" w:rsidRPr="00456014" w:rsidTr="008511A8">
        <w:trPr>
          <w:trHeight w:val="315"/>
          <w:jc w:val="center"/>
        </w:trPr>
        <w:tc>
          <w:tcPr>
            <w:tcW w:w="550" w:type="pct"/>
            <w:shd w:val="clear" w:color="auto" w:fill="auto"/>
            <w:noWrap/>
            <w:hideMark/>
          </w:tcPr>
          <w:p w:rsidR="00931FB9" w:rsidRPr="00456014" w:rsidRDefault="00931FB9" w:rsidP="008511A8">
            <w:pPr>
              <w:spacing w:before="0" w:after="0"/>
              <w:jc w:val="center"/>
              <w:rPr>
                <w:rFonts w:eastAsia="Times New Roman"/>
              </w:rPr>
            </w:pPr>
            <w:r w:rsidRPr="00456014">
              <w:t>9-15</w:t>
            </w:r>
          </w:p>
        </w:tc>
        <w:tc>
          <w:tcPr>
            <w:tcW w:w="666" w:type="pct"/>
            <w:shd w:val="clear" w:color="auto" w:fill="auto"/>
          </w:tcPr>
          <w:p w:rsidR="00931FB9" w:rsidRPr="00456014" w:rsidRDefault="00931FB9" w:rsidP="008511A8">
            <w:pPr>
              <w:spacing w:before="0" w:after="0"/>
              <w:jc w:val="center"/>
              <w:rPr>
                <w:rFonts w:eastAsia="Times New Roman"/>
              </w:rPr>
            </w:pPr>
            <w:r w:rsidRPr="00456014">
              <w:rPr>
                <w:rFonts w:eastAsia="Times New Roman"/>
              </w:rPr>
              <w:t>873.8</w:t>
            </w:r>
          </w:p>
        </w:tc>
        <w:tc>
          <w:tcPr>
            <w:tcW w:w="436" w:type="pct"/>
            <w:shd w:val="clear" w:color="auto" w:fill="auto"/>
          </w:tcPr>
          <w:p w:rsidR="00931FB9" w:rsidRPr="00456014" w:rsidRDefault="00931FB9" w:rsidP="008511A8">
            <w:pPr>
              <w:spacing w:before="0" w:after="0"/>
              <w:jc w:val="center"/>
            </w:pPr>
            <w:r w:rsidRPr="00456014">
              <w:t>19.8</w:t>
            </w:r>
          </w:p>
        </w:tc>
        <w:tc>
          <w:tcPr>
            <w:tcW w:w="716" w:type="pct"/>
            <w:shd w:val="clear" w:color="auto" w:fill="auto"/>
            <w:noWrap/>
            <w:hideMark/>
          </w:tcPr>
          <w:p w:rsidR="00931FB9" w:rsidRPr="00456014" w:rsidRDefault="00931FB9" w:rsidP="008511A8">
            <w:pPr>
              <w:spacing w:before="0" w:after="0"/>
              <w:jc w:val="center"/>
              <w:rPr>
                <w:rFonts w:eastAsia="Times New Roman"/>
              </w:rPr>
            </w:pPr>
            <w:r w:rsidRPr="00456014">
              <w:rPr>
                <w:rFonts w:eastAsia="Times New Roman"/>
                <w:lang w:val="en-GB"/>
              </w:rPr>
              <w:t xml:space="preserve">Moderate </w:t>
            </w:r>
          </w:p>
        </w:tc>
        <w:tc>
          <w:tcPr>
            <w:tcW w:w="825" w:type="pct"/>
            <w:shd w:val="clear" w:color="auto" w:fill="auto"/>
          </w:tcPr>
          <w:p w:rsidR="00931FB9" w:rsidRPr="00456014" w:rsidRDefault="00931FB9" w:rsidP="008511A8">
            <w:pPr>
              <w:spacing w:before="0" w:after="0"/>
            </w:pPr>
            <w:r w:rsidRPr="00456014">
              <w:t xml:space="preserve">Moderate </w:t>
            </w:r>
          </w:p>
        </w:tc>
        <w:tc>
          <w:tcPr>
            <w:tcW w:w="331" w:type="pct"/>
            <w:shd w:val="clear" w:color="auto" w:fill="auto"/>
          </w:tcPr>
          <w:p w:rsidR="00931FB9" w:rsidRPr="00456014" w:rsidRDefault="00931FB9" w:rsidP="008511A8">
            <w:pPr>
              <w:spacing w:before="0" w:after="0"/>
              <w:jc w:val="center"/>
            </w:pPr>
            <w:r>
              <w:t>3</w:t>
            </w:r>
          </w:p>
        </w:tc>
        <w:tc>
          <w:tcPr>
            <w:tcW w:w="1013" w:type="pct"/>
            <w:shd w:val="clear" w:color="auto" w:fill="auto"/>
          </w:tcPr>
          <w:p w:rsidR="00931FB9" w:rsidRPr="00456014" w:rsidRDefault="00931FB9" w:rsidP="008511A8">
            <w:pPr>
              <w:spacing w:before="0" w:after="0"/>
              <w:jc w:val="center"/>
            </w:pPr>
            <w:r w:rsidRPr="00456014">
              <w:t>11</w:t>
            </w:r>
          </w:p>
        </w:tc>
        <w:tc>
          <w:tcPr>
            <w:tcW w:w="463" w:type="pct"/>
            <w:vMerge/>
            <w:shd w:val="clear" w:color="auto" w:fill="auto"/>
          </w:tcPr>
          <w:p w:rsidR="00931FB9" w:rsidRPr="00456014" w:rsidRDefault="00931FB9" w:rsidP="008511A8">
            <w:pPr>
              <w:spacing w:before="0" w:after="0"/>
              <w:jc w:val="center"/>
            </w:pPr>
          </w:p>
        </w:tc>
      </w:tr>
      <w:tr w:rsidR="00931FB9" w:rsidRPr="00456014" w:rsidTr="008511A8">
        <w:trPr>
          <w:trHeight w:val="315"/>
          <w:jc w:val="center"/>
        </w:trPr>
        <w:tc>
          <w:tcPr>
            <w:tcW w:w="550" w:type="pct"/>
            <w:shd w:val="clear" w:color="auto" w:fill="auto"/>
            <w:noWrap/>
            <w:hideMark/>
          </w:tcPr>
          <w:p w:rsidR="00931FB9" w:rsidRPr="00456014" w:rsidRDefault="00931FB9" w:rsidP="008511A8">
            <w:pPr>
              <w:spacing w:before="0" w:after="0"/>
              <w:jc w:val="center"/>
              <w:rPr>
                <w:rFonts w:eastAsia="Times New Roman"/>
              </w:rPr>
            </w:pPr>
            <w:r w:rsidRPr="00456014">
              <w:t>15-25</w:t>
            </w:r>
          </w:p>
        </w:tc>
        <w:tc>
          <w:tcPr>
            <w:tcW w:w="666" w:type="pct"/>
            <w:shd w:val="clear" w:color="auto" w:fill="auto"/>
          </w:tcPr>
          <w:p w:rsidR="00931FB9" w:rsidRPr="00456014" w:rsidRDefault="00931FB9" w:rsidP="008511A8">
            <w:pPr>
              <w:spacing w:before="0" w:after="0"/>
              <w:jc w:val="center"/>
              <w:rPr>
                <w:rFonts w:eastAsia="Times New Roman"/>
              </w:rPr>
            </w:pPr>
            <w:r w:rsidRPr="00456014">
              <w:rPr>
                <w:rFonts w:eastAsia="Times New Roman"/>
              </w:rPr>
              <w:t>531.8</w:t>
            </w:r>
          </w:p>
        </w:tc>
        <w:tc>
          <w:tcPr>
            <w:tcW w:w="436" w:type="pct"/>
            <w:shd w:val="clear" w:color="auto" w:fill="auto"/>
          </w:tcPr>
          <w:p w:rsidR="00931FB9" w:rsidRPr="00456014" w:rsidRDefault="00931FB9" w:rsidP="008511A8">
            <w:pPr>
              <w:spacing w:before="0" w:after="0"/>
              <w:jc w:val="center"/>
            </w:pPr>
            <w:r w:rsidRPr="00456014">
              <w:t>12.0</w:t>
            </w:r>
          </w:p>
        </w:tc>
        <w:tc>
          <w:tcPr>
            <w:tcW w:w="716" w:type="pct"/>
            <w:shd w:val="clear" w:color="auto" w:fill="auto"/>
            <w:noWrap/>
            <w:hideMark/>
          </w:tcPr>
          <w:p w:rsidR="00931FB9" w:rsidRPr="00456014" w:rsidRDefault="00931FB9" w:rsidP="008511A8">
            <w:pPr>
              <w:spacing w:before="0" w:after="0"/>
              <w:jc w:val="center"/>
              <w:rPr>
                <w:rFonts w:eastAsia="Times New Roman"/>
              </w:rPr>
            </w:pPr>
            <w:r w:rsidRPr="00456014">
              <w:rPr>
                <w:rFonts w:eastAsia="Times New Roman"/>
                <w:lang w:val="en-GB"/>
              </w:rPr>
              <w:t>Steep</w:t>
            </w:r>
          </w:p>
        </w:tc>
        <w:tc>
          <w:tcPr>
            <w:tcW w:w="825" w:type="pct"/>
            <w:shd w:val="clear" w:color="auto" w:fill="auto"/>
          </w:tcPr>
          <w:p w:rsidR="00931FB9" w:rsidRPr="00456014" w:rsidRDefault="00931FB9" w:rsidP="008511A8">
            <w:pPr>
              <w:spacing w:before="0" w:after="0"/>
            </w:pPr>
            <w:r w:rsidRPr="00456014">
              <w:t xml:space="preserve">Low </w:t>
            </w:r>
          </w:p>
        </w:tc>
        <w:tc>
          <w:tcPr>
            <w:tcW w:w="331" w:type="pct"/>
            <w:shd w:val="clear" w:color="auto" w:fill="auto"/>
          </w:tcPr>
          <w:p w:rsidR="00931FB9" w:rsidRPr="00456014" w:rsidRDefault="00931FB9" w:rsidP="008511A8">
            <w:pPr>
              <w:spacing w:before="0" w:after="0"/>
              <w:jc w:val="center"/>
            </w:pPr>
            <w:r>
              <w:t>2</w:t>
            </w:r>
          </w:p>
        </w:tc>
        <w:tc>
          <w:tcPr>
            <w:tcW w:w="1013" w:type="pct"/>
            <w:shd w:val="clear" w:color="auto" w:fill="auto"/>
          </w:tcPr>
          <w:p w:rsidR="00931FB9" w:rsidRPr="00456014" w:rsidRDefault="00931FB9" w:rsidP="008511A8">
            <w:pPr>
              <w:spacing w:before="0" w:after="0"/>
              <w:jc w:val="center"/>
            </w:pPr>
            <w:r w:rsidRPr="00456014">
              <w:t>6</w:t>
            </w:r>
          </w:p>
        </w:tc>
        <w:tc>
          <w:tcPr>
            <w:tcW w:w="463" w:type="pct"/>
            <w:vMerge/>
            <w:shd w:val="clear" w:color="auto" w:fill="auto"/>
          </w:tcPr>
          <w:p w:rsidR="00931FB9" w:rsidRPr="00456014" w:rsidRDefault="00931FB9" w:rsidP="008511A8">
            <w:pPr>
              <w:spacing w:before="0" w:after="0"/>
              <w:jc w:val="center"/>
            </w:pPr>
          </w:p>
        </w:tc>
      </w:tr>
      <w:tr w:rsidR="00931FB9" w:rsidRPr="00456014" w:rsidTr="008511A8">
        <w:trPr>
          <w:trHeight w:val="315"/>
          <w:jc w:val="center"/>
        </w:trPr>
        <w:tc>
          <w:tcPr>
            <w:tcW w:w="550" w:type="pct"/>
            <w:shd w:val="clear" w:color="auto" w:fill="auto"/>
            <w:noWrap/>
            <w:hideMark/>
          </w:tcPr>
          <w:p w:rsidR="00931FB9" w:rsidRPr="00456014" w:rsidRDefault="00931FB9" w:rsidP="008511A8">
            <w:pPr>
              <w:spacing w:before="0" w:after="0"/>
              <w:jc w:val="center"/>
              <w:rPr>
                <w:rFonts w:eastAsia="Times New Roman"/>
              </w:rPr>
            </w:pPr>
            <w:r w:rsidRPr="00456014">
              <w:t>&gt;25</w:t>
            </w:r>
          </w:p>
        </w:tc>
        <w:tc>
          <w:tcPr>
            <w:tcW w:w="666" w:type="pct"/>
            <w:shd w:val="clear" w:color="auto" w:fill="auto"/>
          </w:tcPr>
          <w:p w:rsidR="00931FB9" w:rsidRPr="00456014" w:rsidRDefault="00931FB9" w:rsidP="008511A8">
            <w:pPr>
              <w:spacing w:before="0" w:after="0"/>
              <w:jc w:val="center"/>
              <w:rPr>
                <w:rFonts w:eastAsia="Times New Roman"/>
              </w:rPr>
            </w:pPr>
            <w:r w:rsidRPr="00456014">
              <w:rPr>
                <w:rFonts w:eastAsia="Times New Roman"/>
              </w:rPr>
              <w:t>254.2</w:t>
            </w:r>
          </w:p>
        </w:tc>
        <w:tc>
          <w:tcPr>
            <w:tcW w:w="436" w:type="pct"/>
            <w:shd w:val="clear" w:color="auto" w:fill="auto"/>
          </w:tcPr>
          <w:p w:rsidR="00931FB9" w:rsidRPr="00456014" w:rsidRDefault="00931FB9" w:rsidP="008511A8">
            <w:pPr>
              <w:spacing w:before="0" w:after="0"/>
              <w:jc w:val="center"/>
            </w:pPr>
            <w:r w:rsidRPr="00456014">
              <w:t>5.7</w:t>
            </w:r>
          </w:p>
        </w:tc>
        <w:tc>
          <w:tcPr>
            <w:tcW w:w="716" w:type="pct"/>
            <w:shd w:val="clear" w:color="auto" w:fill="auto"/>
            <w:noWrap/>
            <w:hideMark/>
          </w:tcPr>
          <w:p w:rsidR="00931FB9" w:rsidRPr="00456014" w:rsidRDefault="00931FB9" w:rsidP="008511A8">
            <w:pPr>
              <w:spacing w:before="0" w:after="0"/>
              <w:jc w:val="center"/>
              <w:rPr>
                <w:rFonts w:eastAsia="Times New Roman"/>
              </w:rPr>
            </w:pPr>
            <w:r w:rsidRPr="00456014">
              <w:rPr>
                <w:rFonts w:eastAsia="Times New Roman"/>
                <w:lang w:val="en-GB"/>
              </w:rPr>
              <w:t>Very Steep</w:t>
            </w:r>
          </w:p>
        </w:tc>
        <w:tc>
          <w:tcPr>
            <w:tcW w:w="825" w:type="pct"/>
            <w:shd w:val="clear" w:color="auto" w:fill="auto"/>
          </w:tcPr>
          <w:p w:rsidR="00931FB9" w:rsidRPr="00456014" w:rsidRDefault="00931FB9" w:rsidP="008511A8">
            <w:pPr>
              <w:spacing w:before="0" w:after="0"/>
            </w:pPr>
            <w:r w:rsidRPr="00456014">
              <w:t>Very low</w:t>
            </w:r>
          </w:p>
        </w:tc>
        <w:tc>
          <w:tcPr>
            <w:tcW w:w="331" w:type="pct"/>
            <w:shd w:val="clear" w:color="auto" w:fill="auto"/>
          </w:tcPr>
          <w:p w:rsidR="00931FB9" w:rsidRPr="00456014" w:rsidRDefault="00931FB9" w:rsidP="008511A8">
            <w:pPr>
              <w:spacing w:before="0" w:after="0"/>
              <w:jc w:val="center"/>
            </w:pPr>
            <w:r>
              <w:t>1</w:t>
            </w:r>
          </w:p>
        </w:tc>
        <w:tc>
          <w:tcPr>
            <w:tcW w:w="1013" w:type="pct"/>
            <w:shd w:val="clear" w:color="auto" w:fill="auto"/>
          </w:tcPr>
          <w:p w:rsidR="00931FB9" w:rsidRPr="00456014" w:rsidRDefault="00931FB9" w:rsidP="008511A8">
            <w:pPr>
              <w:spacing w:before="0" w:after="0"/>
              <w:jc w:val="center"/>
            </w:pPr>
            <w:r w:rsidRPr="00456014">
              <w:t>4</w:t>
            </w:r>
          </w:p>
        </w:tc>
        <w:tc>
          <w:tcPr>
            <w:tcW w:w="463" w:type="pct"/>
            <w:vMerge/>
            <w:shd w:val="clear" w:color="auto" w:fill="auto"/>
          </w:tcPr>
          <w:p w:rsidR="00931FB9" w:rsidRPr="00456014" w:rsidRDefault="00931FB9" w:rsidP="008511A8">
            <w:pPr>
              <w:spacing w:before="0" w:after="0"/>
              <w:jc w:val="center"/>
            </w:pPr>
          </w:p>
        </w:tc>
      </w:tr>
    </w:tbl>
    <w:p w:rsidR="00931FB9" w:rsidRDefault="00C1717D" w:rsidP="00F13B95">
      <w:r>
        <w:t xml:space="preserve">* </w:t>
      </w:r>
      <w:r w:rsidR="00931FB9" w:rsidRPr="00456014">
        <w:fldChar w:fldCharType="begin" w:fldLock="1"/>
      </w:r>
      <w:r w:rsidR="00A309A8">
        <w:instrText>ADDIN CSL_CITATION {"citationItems":[{"id":"ITEM-1","itemData":{"author":[{"dropping-particle":"","family":"Eszobedo","given":"J.","non-dropping-particle":"","parse-names":false,"suffix":""}],"id":"ITEM-1","issued":{"date-parts":[["1998"]]},"publisher-place":"Addis Ababa, Ethiopia","title":"Assistance to soil and water conservation program, phase III, field document No. 19 ETH/85/016.","type":"report"},"uris":["http://www.mendeley.com/documents/?uuid=4a890a50-548c-4837-aad4-b028bf1e51c8","http://www.mendeley.com/documents/?uuid=890d7151-b2bf-453e-9eff-e2108a3f92f0"]},{"id":"ITEM-2","itemData":{"author":[{"dropping-particle":"","family":"Alemayehu","given":"T.","non-dropping-particle":"","parse-names":false,"suffix":""}],"id":"ITEM-2","issued":{"date-parts":[["2006"]]},"page":"1-97","publisher":"Addis Abeba University Press","publisher-place":"Addis Ababa, Ethiopia","title":"Groundwater occurrence in Ethiopia","type":"chapter"},"uris":["http://www.mendeley.com/documents/?uuid=ddde486b-d367-4639-ab74-d90375787843","http://www.mendeley.com/documents/?uuid=1a7bff21-9a61-4326-96fe-ebd164569be6"]},{"id":"ITEM-3","itemData":{"author":[{"dropping-particle":"","family":"Mamo","given":"Abiy Getachow","non-dropping-particle":"","parse-names":false,"suffix":""}],"id":"ITEM-3","issued":{"date-parts":[["2007"]]},"publisher":"Addis Abeba University","title":"Integration of Remote Sensing and GIS for groundwater resources assessment in Moyale-Teltele sub-basin, South Ethiopia","type":"thesis"},"uris":["http://www.mendeley.com/documents/?uuid=a4612bda-b9ad-4651-b243-8cc550d350e5","http://www.mendeley.com/documents/?uuid=b21e7646-ce00-4c8e-98e5-626eb5fe2344"]},{"id":"ITEM-4","itemData":{"abstract":"… vulnerability assessment using the delineated vulnerable zones for contaminations for … thematically focusing on groundwater vulnerability, the requirements of groundwater … and water quality, downstream and hydrology; accordingly groundwater table has risen due to …","author":[{"dropping-particle":"","family":"Nuru","given":"Adem Berihun","non-dropping-particle":"","parse-names":false,"suffix":""}],"id":"ITEM-4","issued":{"date-parts":[["2018"]]},"publisher":"Addis Ababa University","title":"Assessment of potential groundwater zone using integrated GIS and remote sensing techniques in Sekota Wereda, Northern Ethiopia.","type":"thesis"},"uris":["http://www.mendeley.com/documents/?uuid=7f9999ea-be6a-4ff4-824a-9f0c28e1d981","http://www.mendeley.com/documents/?uuid=063088eb-4196-4c5a-a41b-436d4a9ae6e5","http://www.mendeley.com/documents/?uuid=c4cd43a9-7a73-47db-8496-806176d14ed1"]},{"id":"ITEM-5","itemData":{"author":[{"dropping-particle":"","family":"Tegegn","given":"Kassa","non-dropping-particle":"","parse-names":false,"suffix":""}],"id":"ITEM-5","issued":{"date-parts":[["2015"]]},"title":"Assessment of groundwater potential zones in Baro Basin using GIS and Remote sensing","type":"article-journal"},"uris":["http://www.mendeley.com/documents/?uuid=4832f842-a1d9-4084-a40b-bdff4a0bf1a3"]}],"mendeley":{"formattedCitation":"(T. Alemayehu, 2006; Eszobedo, 1998; Mamo, 2007; Nuru, 2018; Tegegn, 2015)","manualFormatting":"(Alemayehu, 2006; Eszobedo, 1998; Mamo, 2007; Nuru, 2018; Tegegn, 2015)","plainTextFormattedCitation":"(T. Alemayehu, 2006; Eszobedo, 1998; Mamo, 2007; Nuru, 2018; Tegegn, 2015)","previouslyFormattedCitation":"(T. Alemayehu, 2006; Eszobedo, 1998; Mamo, 2007; Nuru, 2018; Tegegn, 2015)"},"properties":{"noteIndex":0},"schema":"https://github.com/citation-style-language/schema/raw/master/csl-citation.json"}</w:instrText>
      </w:r>
      <w:r w:rsidR="00931FB9" w:rsidRPr="00456014">
        <w:fldChar w:fldCharType="separate"/>
      </w:r>
      <w:r w:rsidR="00931FB9">
        <w:rPr>
          <w:noProof/>
        </w:rPr>
        <w:t>(</w:t>
      </w:r>
      <w:r w:rsidR="00931FB9" w:rsidRPr="002256A6">
        <w:rPr>
          <w:noProof/>
        </w:rPr>
        <w:t>Alemayehu, 2006; Eszobedo, 1998; Mamo, 2007; Nuru, 2018; Tegegn, 2015)</w:t>
      </w:r>
      <w:r w:rsidR="00931FB9" w:rsidRPr="00456014">
        <w:fldChar w:fldCharType="end"/>
      </w:r>
      <w:r w:rsidR="00931FB9">
        <w:t>.</w:t>
      </w:r>
    </w:p>
    <w:p w:rsidR="00112155" w:rsidRPr="00456014" w:rsidRDefault="00112155" w:rsidP="008D3D8E">
      <w:pPr>
        <w:pStyle w:val="Heading3"/>
        <w:numPr>
          <w:ilvl w:val="2"/>
          <w:numId w:val="3"/>
        </w:numPr>
        <w:rPr>
          <w:szCs w:val="36"/>
        </w:rPr>
      </w:pPr>
      <w:bookmarkStart w:id="200" w:name="_Toc68025099"/>
      <w:bookmarkStart w:id="201" w:name="_Toc68761581"/>
      <w:r w:rsidRPr="00456014">
        <w:t xml:space="preserve">The </w:t>
      </w:r>
      <w:r w:rsidR="00705C30" w:rsidRPr="00456014">
        <w:t>Thematic Map of Elevation</w:t>
      </w:r>
      <w:bookmarkEnd w:id="200"/>
      <w:bookmarkEnd w:id="201"/>
      <w:r w:rsidR="00705C30" w:rsidRPr="00456014">
        <w:t xml:space="preserve"> </w:t>
      </w:r>
    </w:p>
    <w:p w:rsidR="00D26ECD" w:rsidRDefault="00F24239" w:rsidP="00F13B95">
      <w:pPr>
        <w:rPr>
          <w:noProof/>
        </w:rPr>
      </w:pPr>
      <w:r>
        <w:t>The e</w:t>
      </w:r>
      <w:r w:rsidR="002950CC" w:rsidRPr="00456014">
        <w:t>levation range of study area lies betwe</w:t>
      </w:r>
      <w:r w:rsidR="00522BD9">
        <w:t>en 1,199 to 4,346 m.a.s.l. The W</w:t>
      </w:r>
      <w:r w:rsidR="002950CC" w:rsidRPr="00456014">
        <w:t>estern part of the Weyib Sub-basin is a mountainous highland of elevation ranging from 3,300 m to 4346 m. The lowest elevation range from 2,3</w:t>
      </w:r>
      <w:r w:rsidR="00522BD9">
        <w:t>00 m to 1,199m is found in the E</w:t>
      </w:r>
      <w:r w:rsidR="002950CC" w:rsidRPr="00456014">
        <w:t>astern part</w:t>
      </w:r>
      <w:r w:rsidR="00912BD9">
        <w:t xml:space="preserve">. </w:t>
      </w:r>
    </w:p>
    <w:p w:rsidR="00250482" w:rsidRDefault="00250482" w:rsidP="00F13B95">
      <w:pPr>
        <w:jc w:val="center"/>
        <w:rPr>
          <w:noProof/>
        </w:rPr>
      </w:pPr>
      <w:r w:rsidRPr="00250482">
        <w:rPr>
          <w:noProof/>
        </w:rPr>
        <w:drawing>
          <wp:inline distT="0" distB="0" distL="0" distR="0" wp14:anchorId="4D7AB166" wp14:editId="76F477C2">
            <wp:extent cx="5560872" cy="3931772"/>
            <wp:effectExtent l="19050" t="19050" r="20955" b="12065"/>
            <wp:docPr id="7" name="Picture 7" descr="C:\Users\Abdul Gafar\Desktop\Report_MXD_JPEG\Elev_rec\ELEV_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bdul Gafar\Desktop\Report_MXD_JPEG\Elev_rec\ELEV_1.bmp"/>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593477" cy="3954825"/>
                    </a:xfrm>
                    <a:prstGeom prst="rect">
                      <a:avLst/>
                    </a:prstGeom>
                    <a:noFill/>
                    <a:ln w="12700">
                      <a:solidFill>
                        <a:schemeClr val="tx1"/>
                      </a:solidFill>
                    </a:ln>
                  </pic:spPr>
                </pic:pic>
              </a:graphicData>
            </a:graphic>
          </wp:inline>
        </w:drawing>
      </w:r>
    </w:p>
    <w:p w:rsidR="007011B8" w:rsidRDefault="007011B8" w:rsidP="00F13B95">
      <w:pPr>
        <w:rPr>
          <w:iCs/>
          <w:noProof/>
        </w:rPr>
      </w:pPr>
      <w:bookmarkStart w:id="202" w:name="_Toc68761634"/>
      <w:r w:rsidRPr="00456014">
        <w:t xml:space="preserve">Figure </w:t>
      </w:r>
      <w:r w:rsidR="00515F3B">
        <w:rPr>
          <w:noProof/>
        </w:rPr>
        <w:fldChar w:fldCharType="begin"/>
      </w:r>
      <w:r w:rsidR="00515F3B">
        <w:rPr>
          <w:noProof/>
        </w:rPr>
        <w:instrText xml:space="preserve"> STYLEREF 1 \s </w:instrText>
      </w:r>
      <w:r w:rsidR="00515F3B">
        <w:rPr>
          <w:noProof/>
        </w:rPr>
        <w:fldChar w:fldCharType="separate"/>
      </w:r>
      <w:r w:rsidR="00BD510E">
        <w:rPr>
          <w:noProof/>
        </w:rPr>
        <w:t>4</w:t>
      </w:r>
      <w:r w:rsidR="00515F3B">
        <w:rPr>
          <w:noProof/>
        </w:rPr>
        <w:fldChar w:fldCharType="end"/>
      </w:r>
      <w:r w:rsidR="001342E5">
        <w:t>.</w:t>
      </w:r>
      <w:r w:rsidR="00515F3B">
        <w:rPr>
          <w:noProof/>
        </w:rPr>
        <w:fldChar w:fldCharType="begin"/>
      </w:r>
      <w:r w:rsidR="00515F3B">
        <w:rPr>
          <w:noProof/>
        </w:rPr>
        <w:instrText xml:space="preserve"> SEQ Figure \* ARABIC \s 1 </w:instrText>
      </w:r>
      <w:r w:rsidR="00515F3B">
        <w:rPr>
          <w:noProof/>
        </w:rPr>
        <w:fldChar w:fldCharType="separate"/>
      </w:r>
      <w:r w:rsidR="00BD510E">
        <w:rPr>
          <w:noProof/>
        </w:rPr>
        <w:t>16</w:t>
      </w:r>
      <w:r w:rsidR="00515F3B">
        <w:rPr>
          <w:noProof/>
        </w:rPr>
        <w:fldChar w:fldCharType="end"/>
      </w:r>
      <w:r w:rsidRPr="00456014">
        <w:t xml:space="preserve">: </w:t>
      </w:r>
      <w:r w:rsidR="00C53CE3">
        <w:rPr>
          <w:noProof/>
          <w:szCs w:val="36"/>
        </w:rPr>
        <w:t>Elevation map</w:t>
      </w:r>
      <w:r w:rsidRPr="00456014">
        <w:rPr>
          <w:noProof/>
          <w:szCs w:val="36"/>
        </w:rPr>
        <w:t xml:space="preserve"> </w:t>
      </w:r>
      <w:r w:rsidRPr="00456014">
        <w:rPr>
          <w:iCs/>
          <w:noProof/>
        </w:rPr>
        <w:t>of study area</w:t>
      </w:r>
      <w:bookmarkEnd w:id="202"/>
    </w:p>
    <w:p w:rsidR="00D03354" w:rsidRDefault="00D03354" w:rsidP="00F13B95">
      <w:pPr>
        <w:rPr>
          <w:iCs/>
          <w:noProof/>
        </w:rPr>
      </w:pPr>
      <w:r w:rsidRPr="00456014">
        <w:lastRenderedPageBreak/>
        <w:t>The relatively extensive flat terra</w:t>
      </w:r>
      <w:r w:rsidR="005B7069">
        <w:t>in of Sheneka plain</w:t>
      </w:r>
      <w:r w:rsidRPr="00456014">
        <w:t xml:space="preserve"> cover</w:t>
      </w:r>
      <w:r w:rsidR="00C1717D">
        <w:t>s the</w:t>
      </w:r>
      <w:r w:rsidRPr="00456014">
        <w:t xml:space="preserve"> central part of </w:t>
      </w:r>
      <w:r w:rsidR="00962E08">
        <w:t xml:space="preserve">study area. </w:t>
      </w:r>
      <w:r w:rsidRPr="00456014">
        <w:rPr>
          <w:noProof/>
        </w:rPr>
        <w:t xml:space="preserve">The area characterized by low relief tabular plateau of flat to gentle slope separated by deep River incisions. Since water tends to be stored at lower elevation the </w:t>
      </w:r>
      <w:r>
        <w:rPr>
          <w:noProof/>
        </w:rPr>
        <w:t>E</w:t>
      </w:r>
      <w:r w:rsidRPr="00456014">
        <w:rPr>
          <w:noProof/>
        </w:rPr>
        <w:t>astern lowland has the higher relative weight</w:t>
      </w:r>
      <w:r>
        <w:rPr>
          <w:noProof/>
        </w:rPr>
        <w:t xml:space="preserve"> </w:t>
      </w:r>
      <w:r>
        <w:rPr>
          <w:noProof/>
        </w:rPr>
        <w:fldChar w:fldCharType="begin" w:fldLock="1"/>
      </w:r>
      <w:r w:rsidR="00A309A8">
        <w:rPr>
          <w:noProof/>
        </w:rPr>
        <w:instrText>ADDIN CSL_CITATION {"citationItems":[{"id":"ITEM-1","itemData":{"abstract":"Water has a significant role in day to day life of people to fulfill their requirements. Although, study area is a part of Blue Nile basin but it has great water scarcity because of its topographic and geological nature. It has been observed during the field visit that people are travelling long to get the water from remote areas. Productivity through groundwater is quite high as compared to surface water, but groundwater resources have not yet been properly exploited. The present study attempts to identify Groundwater Potential (GWP) zones in the Sede River Watershed of the Blue Nile Basin using an integrated remote sensing and GIS techniques employed Satty's Analytical Hierarchy Process (AHP). The thematic layers were integrated using weighted overlay analysis method to delineate GWP map of the study area. Study highlighted the different potential sites where the water could accumulate and resist long time. Geology and lineament are the mainly control for the occurrence and movement of groundwater in the study area. Normalized Differentiate Water Index (NDWI) results showed the positive value less than 0.09 which highlights no existence of water where the community struggling a lot. Finally extracted pixels (&gt;0.20) of NDMI and resulted groundwater potential sites has been validated by existing borehole data. Interestingly, study found very close relationships between them and out of 58 boreholes, approximately 15 were found under very good and good ground water potential zones and vicinity of extracted moisture pixels of NDMI.","author":[{"dropping-particle":"","family":"Sewnet","given":"Demeke","non-dropping-particle":"","parse-names":false,"suffix":""},{"dropping-particle":"","family":"Raja Naqvi","given":"Hasan","non-dropping-particle":"","parse-names":false,"suffix":""},{"dropping-particle":"","family":"Mohammed","given":"A S","non-dropping-particle":"","parse-names":false,"suffix":""},{"dropping-particle":"","family":"Athick","given":"Abdul","non-dropping-particle":"","parse-names":false,"suffix":""}],"id":"ITEM-1","issued":{"date-parts":[["2016"]]},"number-of-pages":"1-13","title":"Zonation of Potential Groundwater and Its Spatial Correlation with Indices and Boreholes: Western Region of Blue Nile Basin, Ethiopia","type":"report"},"uris":["http://www.mendeley.com/documents/?uuid=067c5ff0-3321-362b-826d-6d232d306a22"]},{"id":"ITEM-2","itemData":{"author":[{"dropping-particle":"","family":"Ramu","given":"Mahalingam B.","non-dropping-particle":"","parse-names":false,"suffix":""},{"dropping-particle":"","family":"Vinay","given":"M.","non-dropping-particle":"","parse-names":false,"suffix":""}],"container-title":"International Journal of Geomatics and Geosciences","id":"ITEM-2","issue":"3","issued":{"date-parts":[["2014"]]},"title":"Identification of groundwater potential zones using GIS and remote sensing techniques: A case study of Mysore taluk - Karnataka","type":"article-journal","volume":"5"},"uris":["http://www.mendeley.com/documents/?uuid=63fc33f1-5926-4933-9b1d-b20d1b47b25f","http://www.mendeley.com/documents/?uuid=93586df8-2543-4d00-a7ae-d30becb0cbcf","http://www.mendeley.com/documents/?uuid=15ec5246-9ead-47cf-88a0-62049227b74a"]}],"mendeley":{"formattedCitation":"(Ramu &amp; Vinay, 2014; Sewnet et al., 2016)","manualFormatting":"(Ramu and Vinay, 2014; Sewnet et al., 2016)","plainTextFormattedCitation":"(Ramu &amp; Vinay, 2014; Sewnet et al., 2016)","previouslyFormattedCitation":"(Ramu &amp; Vinay, 2014; Sewnet et al., 2016)"},"properties":{"noteIndex":0},"schema":"https://github.com/citation-style-language/schema/raw/master/csl-citation.json"}</w:instrText>
      </w:r>
      <w:r>
        <w:rPr>
          <w:noProof/>
        </w:rPr>
        <w:fldChar w:fldCharType="separate"/>
      </w:r>
      <w:r>
        <w:rPr>
          <w:noProof/>
        </w:rPr>
        <w:t>(Ramu and</w:t>
      </w:r>
      <w:r w:rsidRPr="00970740">
        <w:rPr>
          <w:noProof/>
        </w:rPr>
        <w:t xml:space="preserve"> Vinay, 2014; Sewnet et al., 2016)</w:t>
      </w:r>
      <w:r>
        <w:rPr>
          <w:noProof/>
        </w:rPr>
        <w:fldChar w:fldCharType="end"/>
      </w:r>
      <w:r w:rsidRPr="00456014">
        <w:rPr>
          <w:noProof/>
        </w:rPr>
        <w:t>.</w:t>
      </w:r>
    </w:p>
    <w:p w:rsidR="007011B8" w:rsidRPr="00E43904" w:rsidRDefault="00E43904" w:rsidP="00F13B95">
      <w:pPr>
        <w:jc w:val="center"/>
        <w:rPr>
          <w:iCs/>
          <w:noProof/>
        </w:rPr>
      </w:pPr>
      <w:r w:rsidRPr="00E43904">
        <w:rPr>
          <w:iCs/>
          <w:noProof/>
        </w:rPr>
        <w:drawing>
          <wp:inline distT="0" distB="0" distL="0" distR="0" wp14:anchorId="1BA34849" wp14:editId="6218E744">
            <wp:extent cx="5503941" cy="3891516"/>
            <wp:effectExtent l="19050" t="19050" r="20955" b="13970"/>
            <wp:docPr id="8" name="Picture 8" descr="C:\Users\Abdul Gafar\Desktop\Report_MXD_JPEG\Elev_rec\ELEV1_rec.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bdul Gafar\Desktop\Report_MXD_JPEG\Elev_rec\ELEV1_rec.bmp"/>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559398" cy="3930726"/>
                    </a:xfrm>
                    <a:prstGeom prst="rect">
                      <a:avLst/>
                    </a:prstGeom>
                    <a:noFill/>
                    <a:ln w="12700">
                      <a:solidFill>
                        <a:schemeClr val="tx1"/>
                      </a:solidFill>
                    </a:ln>
                  </pic:spPr>
                </pic:pic>
              </a:graphicData>
            </a:graphic>
          </wp:inline>
        </w:drawing>
      </w:r>
    </w:p>
    <w:p w:rsidR="00112155" w:rsidRDefault="00C267B4" w:rsidP="00F13B95">
      <w:pPr>
        <w:rPr>
          <w:iCs/>
          <w:noProof/>
        </w:rPr>
      </w:pPr>
      <w:bookmarkStart w:id="203" w:name="_Toc68761635"/>
      <w:r w:rsidRPr="00456014">
        <w:t>Figure</w:t>
      </w:r>
      <w:r w:rsidR="00112155" w:rsidRPr="00456014">
        <w:t xml:space="preserve"> </w:t>
      </w:r>
      <w:r w:rsidR="00515F3B">
        <w:rPr>
          <w:noProof/>
        </w:rPr>
        <w:fldChar w:fldCharType="begin"/>
      </w:r>
      <w:r w:rsidR="00515F3B">
        <w:rPr>
          <w:noProof/>
        </w:rPr>
        <w:instrText xml:space="preserve"> STYLEREF 1 \s </w:instrText>
      </w:r>
      <w:r w:rsidR="00515F3B">
        <w:rPr>
          <w:noProof/>
        </w:rPr>
        <w:fldChar w:fldCharType="separate"/>
      </w:r>
      <w:r w:rsidR="00BD510E">
        <w:rPr>
          <w:noProof/>
        </w:rPr>
        <w:t>4</w:t>
      </w:r>
      <w:r w:rsidR="00515F3B">
        <w:rPr>
          <w:noProof/>
        </w:rPr>
        <w:fldChar w:fldCharType="end"/>
      </w:r>
      <w:r w:rsidR="001342E5">
        <w:t>.</w:t>
      </w:r>
      <w:r w:rsidR="00515F3B">
        <w:rPr>
          <w:noProof/>
        </w:rPr>
        <w:fldChar w:fldCharType="begin"/>
      </w:r>
      <w:r w:rsidR="00515F3B">
        <w:rPr>
          <w:noProof/>
        </w:rPr>
        <w:instrText xml:space="preserve"> SEQ Figure \* ARABIC \s 1 </w:instrText>
      </w:r>
      <w:r w:rsidR="00515F3B">
        <w:rPr>
          <w:noProof/>
        </w:rPr>
        <w:fldChar w:fldCharType="separate"/>
      </w:r>
      <w:r w:rsidR="00BD510E">
        <w:rPr>
          <w:noProof/>
        </w:rPr>
        <w:t>17</w:t>
      </w:r>
      <w:r w:rsidR="00515F3B">
        <w:rPr>
          <w:noProof/>
        </w:rPr>
        <w:fldChar w:fldCharType="end"/>
      </w:r>
      <w:r w:rsidR="00112155" w:rsidRPr="00456014">
        <w:t xml:space="preserve">: </w:t>
      </w:r>
      <w:r w:rsidR="00C53CE3">
        <w:t>T</w:t>
      </w:r>
      <w:r w:rsidR="00112155" w:rsidRPr="00456014">
        <w:rPr>
          <w:iCs/>
          <w:noProof/>
        </w:rPr>
        <w:t>he recla</w:t>
      </w:r>
      <w:r w:rsidR="00C53CE3">
        <w:rPr>
          <w:iCs/>
          <w:noProof/>
        </w:rPr>
        <w:t xml:space="preserve">ssified elevation map </w:t>
      </w:r>
      <w:r w:rsidR="003D768E" w:rsidRPr="00456014">
        <w:rPr>
          <w:iCs/>
          <w:noProof/>
        </w:rPr>
        <w:t xml:space="preserve">of </w:t>
      </w:r>
      <w:r w:rsidR="0017388E" w:rsidRPr="00456014">
        <w:rPr>
          <w:iCs/>
          <w:noProof/>
        </w:rPr>
        <w:t>study area</w:t>
      </w:r>
      <w:bookmarkEnd w:id="203"/>
    </w:p>
    <w:p w:rsidR="007675BA" w:rsidRDefault="00D26ECD" w:rsidP="00F13B95">
      <w:pPr>
        <w:rPr>
          <w:noProof/>
        </w:rPr>
      </w:pPr>
      <w:r>
        <w:rPr>
          <w:noProof/>
        </w:rPr>
        <w:t xml:space="preserve">Depending on the </w:t>
      </w:r>
      <w:r w:rsidR="007675BA" w:rsidRPr="00456014">
        <w:rPr>
          <w:noProof/>
        </w:rPr>
        <w:t>contribution</w:t>
      </w:r>
      <w:r>
        <w:rPr>
          <w:noProof/>
        </w:rPr>
        <w:t xml:space="preserve"> of clustered elevation classes</w:t>
      </w:r>
      <w:r w:rsidR="00ED1B9E">
        <w:rPr>
          <w:noProof/>
        </w:rPr>
        <w:t>,</w:t>
      </w:r>
      <w:r>
        <w:rPr>
          <w:noProof/>
        </w:rPr>
        <w:t xml:space="preserve"> the relative </w:t>
      </w:r>
      <w:r w:rsidR="00ED1B9E">
        <w:rPr>
          <w:noProof/>
        </w:rPr>
        <w:t>weight (relative importance)</w:t>
      </w:r>
      <w:r>
        <w:rPr>
          <w:noProof/>
        </w:rPr>
        <w:t xml:space="preserve"> </w:t>
      </w:r>
      <w:r w:rsidR="007675BA">
        <w:rPr>
          <w:noProof/>
        </w:rPr>
        <w:t xml:space="preserve">and </w:t>
      </w:r>
      <w:r>
        <w:rPr>
          <w:noProof/>
        </w:rPr>
        <w:t>CR</w:t>
      </w:r>
      <w:r w:rsidR="007675BA">
        <w:rPr>
          <w:noProof/>
        </w:rPr>
        <w:t xml:space="preserve"> </w:t>
      </w:r>
      <w:r>
        <w:rPr>
          <w:noProof/>
        </w:rPr>
        <w:t xml:space="preserve">value were determined through </w:t>
      </w:r>
      <w:r w:rsidR="007675BA" w:rsidRPr="00456014">
        <w:rPr>
          <w:noProof/>
        </w:rPr>
        <w:t>AHP (</w:t>
      </w:r>
      <w:r w:rsidR="007675BA">
        <w:t>Table 4.7</w:t>
      </w:r>
      <w:r w:rsidR="007675BA" w:rsidRPr="00456014">
        <w:rPr>
          <w:noProof/>
        </w:rPr>
        <w:t xml:space="preserve">). </w:t>
      </w:r>
    </w:p>
    <w:p w:rsidR="007675BA" w:rsidRPr="00456014" w:rsidRDefault="007675BA" w:rsidP="00F13B95">
      <w:pPr>
        <w:pStyle w:val="Caption"/>
        <w:keepNext/>
        <w:spacing w:before="120" w:after="120" w:line="360" w:lineRule="auto"/>
        <w:rPr>
          <w:i w:val="0"/>
          <w:iCs w:val="0"/>
          <w:color w:val="auto"/>
          <w:sz w:val="24"/>
          <w:szCs w:val="24"/>
        </w:rPr>
      </w:pPr>
      <w:bookmarkStart w:id="204" w:name="_Toc68761601"/>
      <w:r w:rsidRPr="00456014">
        <w:rPr>
          <w:i w:val="0"/>
          <w:iCs w:val="0"/>
          <w:color w:val="auto"/>
          <w:sz w:val="24"/>
          <w:szCs w:val="24"/>
        </w:rPr>
        <w:t xml:space="preserve">Table </w:t>
      </w:r>
      <w:r w:rsidRPr="00456014">
        <w:rPr>
          <w:i w:val="0"/>
          <w:iCs w:val="0"/>
          <w:color w:val="auto"/>
          <w:sz w:val="24"/>
          <w:szCs w:val="24"/>
        </w:rPr>
        <w:fldChar w:fldCharType="begin"/>
      </w:r>
      <w:r w:rsidRPr="00456014">
        <w:rPr>
          <w:i w:val="0"/>
          <w:iCs w:val="0"/>
          <w:color w:val="auto"/>
          <w:sz w:val="24"/>
          <w:szCs w:val="24"/>
        </w:rPr>
        <w:instrText xml:space="preserve"> STYLEREF 1 \s </w:instrText>
      </w:r>
      <w:r w:rsidRPr="00456014">
        <w:rPr>
          <w:i w:val="0"/>
          <w:iCs w:val="0"/>
          <w:color w:val="auto"/>
          <w:sz w:val="24"/>
          <w:szCs w:val="24"/>
        </w:rPr>
        <w:fldChar w:fldCharType="separate"/>
      </w:r>
      <w:r w:rsidR="00BD510E">
        <w:rPr>
          <w:i w:val="0"/>
          <w:iCs w:val="0"/>
          <w:noProof/>
          <w:color w:val="auto"/>
          <w:sz w:val="24"/>
          <w:szCs w:val="24"/>
        </w:rPr>
        <w:t>4</w:t>
      </w:r>
      <w:r w:rsidRPr="00456014">
        <w:rPr>
          <w:i w:val="0"/>
          <w:iCs w:val="0"/>
          <w:color w:val="auto"/>
          <w:sz w:val="24"/>
          <w:szCs w:val="24"/>
        </w:rPr>
        <w:fldChar w:fldCharType="end"/>
      </w:r>
      <w:r w:rsidRPr="00456014">
        <w:rPr>
          <w:i w:val="0"/>
          <w:iCs w:val="0"/>
          <w:color w:val="auto"/>
          <w:sz w:val="24"/>
          <w:szCs w:val="24"/>
        </w:rPr>
        <w:t>.</w:t>
      </w:r>
      <w:r w:rsidRPr="00456014">
        <w:rPr>
          <w:i w:val="0"/>
          <w:iCs w:val="0"/>
          <w:color w:val="auto"/>
          <w:sz w:val="24"/>
          <w:szCs w:val="24"/>
        </w:rPr>
        <w:fldChar w:fldCharType="begin"/>
      </w:r>
      <w:r w:rsidRPr="00456014">
        <w:rPr>
          <w:i w:val="0"/>
          <w:iCs w:val="0"/>
          <w:color w:val="auto"/>
          <w:sz w:val="24"/>
          <w:szCs w:val="24"/>
        </w:rPr>
        <w:instrText xml:space="preserve"> SEQ Table \* ARABIC \s 1 </w:instrText>
      </w:r>
      <w:r w:rsidRPr="00456014">
        <w:rPr>
          <w:i w:val="0"/>
          <w:iCs w:val="0"/>
          <w:color w:val="auto"/>
          <w:sz w:val="24"/>
          <w:szCs w:val="24"/>
        </w:rPr>
        <w:fldChar w:fldCharType="separate"/>
      </w:r>
      <w:r w:rsidR="00BD510E">
        <w:rPr>
          <w:i w:val="0"/>
          <w:iCs w:val="0"/>
          <w:noProof/>
          <w:color w:val="auto"/>
          <w:sz w:val="24"/>
          <w:szCs w:val="24"/>
        </w:rPr>
        <w:t>7</w:t>
      </w:r>
      <w:r w:rsidRPr="00456014">
        <w:rPr>
          <w:i w:val="0"/>
          <w:iCs w:val="0"/>
          <w:color w:val="auto"/>
          <w:sz w:val="24"/>
          <w:szCs w:val="24"/>
        </w:rPr>
        <w:fldChar w:fldCharType="end"/>
      </w:r>
      <w:r w:rsidRPr="00456014">
        <w:rPr>
          <w:i w:val="0"/>
          <w:iCs w:val="0"/>
          <w:color w:val="auto"/>
          <w:sz w:val="24"/>
          <w:szCs w:val="24"/>
        </w:rPr>
        <w:t>: The elevation range and relative weight of classes</w:t>
      </w:r>
      <w:bookmarkEnd w:id="204"/>
      <w:r w:rsidRPr="00456014">
        <w:rPr>
          <w:i w:val="0"/>
          <w:iCs w:val="0"/>
          <w:color w:val="auto"/>
          <w:sz w:val="24"/>
          <w:szCs w:val="24"/>
        </w:rPr>
        <w:t xml:space="preserve"> </w:t>
      </w:r>
    </w:p>
    <w:tbl>
      <w:tblPr>
        <w:tblW w:w="5000" w:type="pct"/>
        <w:tblBorders>
          <w:top w:val="single" w:sz="4" w:space="0" w:color="auto"/>
          <w:bottom w:val="single" w:sz="4" w:space="0" w:color="auto"/>
        </w:tblBorders>
        <w:tblLook w:val="04A0" w:firstRow="1" w:lastRow="0" w:firstColumn="1" w:lastColumn="0" w:noHBand="0" w:noVBand="1"/>
      </w:tblPr>
      <w:tblGrid>
        <w:gridCol w:w="2582"/>
        <w:gridCol w:w="1821"/>
        <w:gridCol w:w="1408"/>
        <w:gridCol w:w="2239"/>
        <w:gridCol w:w="950"/>
      </w:tblGrid>
      <w:tr w:rsidR="007675BA" w:rsidRPr="00456014" w:rsidTr="00237A41">
        <w:trPr>
          <w:trHeight w:val="370"/>
        </w:trPr>
        <w:tc>
          <w:tcPr>
            <w:tcW w:w="1434" w:type="pct"/>
            <w:tcBorders>
              <w:top w:val="single" w:sz="4" w:space="0" w:color="auto"/>
              <w:bottom w:val="single" w:sz="4" w:space="0" w:color="auto"/>
            </w:tcBorders>
            <w:shd w:val="clear" w:color="auto" w:fill="auto"/>
            <w:noWrap/>
            <w:hideMark/>
          </w:tcPr>
          <w:p w:rsidR="007675BA" w:rsidRPr="00456014" w:rsidRDefault="007675BA" w:rsidP="00DD6FDA">
            <w:pPr>
              <w:spacing w:before="0" w:after="0"/>
              <w:rPr>
                <w:rFonts w:eastAsia="Times New Roman"/>
                <w:iCs/>
              </w:rPr>
            </w:pPr>
            <w:r w:rsidRPr="00456014">
              <w:rPr>
                <w:rFonts w:eastAsia="Times New Roman"/>
                <w:iCs/>
                <w:lang w:val="en-GB"/>
              </w:rPr>
              <w:t>Elevation (m.a.s.l.)</w:t>
            </w:r>
          </w:p>
        </w:tc>
        <w:tc>
          <w:tcPr>
            <w:tcW w:w="1011" w:type="pct"/>
            <w:tcBorders>
              <w:top w:val="single" w:sz="4" w:space="0" w:color="auto"/>
              <w:bottom w:val="single" w:sz="4" w:space="0" w:color="auto"/>
            </w:tcBorders>
            <w:shd w:val="clear" w:color="auto" w:fill="auto"/>
            <w:noWrap/>
            <w:hideMark/>
          </w:tcPr>
          <w:p w:rsidR="007675BA" w:rsidRPr="008502D0" w:rsidRDefault="007675BA" w:rsidP="00DD6FDA">
            <w:pPr>
              <w:spacing w:before="0" w:after="0"/>
              <w:rPr>
                <w:rFonts w:eastAsia="Times New Roman"/>
                <w:iCs/>
                <w:vertAlign w:val="superscript"/>
              </w:rPr>
            </w:pPr>
            <w:r w:rsidRPr="00456014">
              <w:rPr>
                <w:rFonts w:eastAsia="Times New Roman"/>
                <w:iCs/>
                <w:lang w:val="en-GB"/>
              </w:rPr>
              <w:t>Contribution</w:t>
            </w:r>
            <w:r w:rsidR="008502D0">
              <w:rPr>
                <w:rFonts w:eastAsia="Times New Roman"/>
                <w:iCs/>
                <w:vertAlign w:val="superscript"/>
                <w:lang w:val="en-GB"/>
              </w:rPr>
              <w:t>*</w:t>
            </w:r>
          </w:p>
        </w:tc>
        <w:tc>
          <w:tcPr>
            <w:tcW w:w="782" w:type="pct"/>
            <w:tcBorders>
              <w:top w:val="single" w:sz="4" w:space="0" w:color="auto"/>
              <w:bottom w:val="single" w:sz="4" w:space="0" w:color="auto"/>
            </w:tcBorders>
            <w:shd w:val="clear" w:color="auto" w:fill="auto"/>
          </w:tcPr>
          <w:p w:rsidR="007675BA" w:rsidRPr="00456014" w:rsidRDefault="00945989" w:rsidP="00DD6FDA">
            <w:pPr>
              <w:spacing w:before="0" w:after="0"/>
              <w:rPr>
                <w:rFonts w:eastAsia="Times New Roman"/>
                <w:iCs/>
              </w:rPr>
            </w:pPr>
            <w:r>
              <w:rPr>
                <w:rFonts w:eastAsia="Times New Roman"/>
                <w:iCs/>
              </w:rPr>
              <w:t>Scale value</w:t>
            </w:r>
            <w:r w:rsidR="007675BA" w:rsidRPr="00456014">
              <w:rPr>
                <w:rFonts w:eastAsia="Times New Roman"/>
                <w:iCs/>
              </w:rPr>
              <w:t xml:space="preserve"> </w:t>
            </w:r>
          </w:p>
        </w:tc>
        <w:tc>
          <w:tcPr>
            <w:tcW w:w="1244" w:type="pct"/>
            <w:tcBorders>
              <w:top w:val="single" w:sz="4" w:space="0" w:color="auto"/>
              <w:bottom w:val="single" w:sz="4" w:space="0" w:color="auto"/>
            </w:tcBorders>
            <w:shd w:val="clear" w:color="auto" w:fill="auto"/>
          </w:tcPr>
          <w:p w:rsidR="007675BA" w:rsidRPr="00456014" w:rsidRDefault="007675BA" w:rsidP="00DD6FDA">
            <w:pPr>
              <w:spacing w:before="0" w:after="0"/>
              <w:rPr>
                <w:rFonts w:eastAsia="Times New Roman"/>
                <w:iCs/>
              </w:rPr>
            </w:pPr>
            <w:r w:rsidRPr="00456014">
              <w:rPr>
                <w:rFonts w:eastAsia="Times New Roman"/>
                <w:iCs/>
              </w:rPr>
              <w:t>Relative weight (%)</w:t>
            </w:r>
          </w:p>
        </w:tc>
        <w:tc>
          <w:tcPr>
            <w:tcW w:w="528" w:type="pct"/>
            <w:tcBorders>
              <w:top w:val="single" w:sz="4" w:space="0" w:color="auto"/>
              <w:bottom w:val="single" w:sz="4" w:space="0" w:color="auto"/>
            </w:tcBorders>
            <w:shd w:val="clear" w:color="auto" w:fill="auto"/>
          </w:tcPr>
          <w:p w:rsidR="007675BA" w:rsidRPr="00456014" w:rsidRDefault="007675BA" w:rsidP="00DD6FDA">
            <w:pPr>
              <w:spacing w:before="0" w:after="0"/>
              <w:rPr>
                <w:rFonts w:eastAsia="Times New Roman"/>
                <w:iCs/>
              </w:rPr>
            </w:pPr>
            <w:r w:rsidRPr="00456014">
              <w:rPr>
                <w:rFonts w:eastAsia="Times New Roman"/>
                <w:iCs/>
              </w:rPr>
              <w:t>CR</w:t>
            </w:r>
          </w:p>
        </w:tc>
      </w:tr>
      <w:tr w:rsidR="007675BA" w:rsidRPr="00456014" w:rsidTr="00237A41">
        <w:trPr>
          <w:trHeight w:val="311"/>
        </w:trPr>
        <w:tc>
          <w:tcPr>
            <w:tcW w:w="1434" w:type="pct"/>
            <w:tcBorders>
              <w:top w:val="single" w:sz="4" w:space="0" w:color="auto"/>
            </w:tcBorders>
            <w:shd w:val="clear" w:color="auto" w:fill="auto"/>
            <w:noWrap/>
            <w:hideMark/>
          </w:tcPr>
          <w:p w:rsidR="007675BA" w:rsidRPr="00456014" w:rsidRDefault="007675BA" w:rsidP="00DD6FDA">
            <w:pPr>
              <w:spacing w:before="0" w:after="0"/>
              <w:rPr>
                <w:rFonts w:eastAsia="Times New Roman"/>
              </w:rPr>
            </w:pPr>
            <w:r w:rsidRPr="00456014">
              <w:rPr>
                <w:rFonts w:eastAsia="Times New Roman"/>
              </w:rPr>
              <w:t>1,199 - 2,035</w:t>
            </w:r>
          </w:p>
        </w:tc>
        <w:tc>
          <w:tcPr>
            <w:tcW w:w="1011" w:type="pct"/>
            <w:tcBorders>
              <w:top w:val="single" w:sz="4" w:space="0" w:color="auto"/>
            </w:tcBorders>
            <w:shd w:val="clear" w:color="auto" w:fill="auto"/>
            <w:noWrap/>
            <w:hideMark/>
          </w:tcPr>
          <w:p w:rsidR="007675BA" w:rsidRPr="00456014" w:rsidRDefault="007675BA" w:rsidP="00DD6FDA">
            <w:pPr>
              <w:spacing w:before="0" w:after="0"/>
              <w:rPr>
                <w:rFonts w:eastAsia="Times New Roman"/>
              </w:rPr>
            </w:pPr>
            <w:r w:rsidRPr="00456014">
              <w:rPr>
                <w:rFonts w:eastAsia="Times New Roman"/>
              </w:rPr>
              <w:t>Very high</w:t>
            </w:r>
          </w:p>
        </w:tc>
        <w:tc>
          <w:tcPr>
            <w:tcW w:w="782" w:type="pct"/>
            <w:tcBorders>
              <w:top w:val="single" w:sz="4" w:space="0" w:color="auto"/>
            </w:tcBorders>
            <w:shd w:val="clear" w:color="auto" w:fill="auto"/>
          </w:tcPr>
          <w:p w:rsidR="007675BA" w:rsidRPr="00456014" w:rsidRDefault="00945989" w:rsidP="00DD6FDA">
            <w:pPr>
              <w:spacing w:before="0" w:after="0"/>
            </w:pPr>
            <w:r>
              <w:t>5</w:t>
            </w:r>
          </w:p>
        </w:tc>
        <w:tc>
          <w:tcPr>
            <w:tcW w:w="1244" w:type="pct"/>
            <w:tcBorders>
              <w:top w:val="single" w:sz="4" w:space="0" w:color="auto"/>
            </w:tcBorders>
            <w:shd w:val="clear" w:color="auto" w:fill="auto"/>
          </w:tcPr>
          <w:p w:rsidR="007675BA" w:rsidRPr="00456014" w:rsidRDefault="007675BA" w:rsidP="00DD6FDA">
            <w:pPr>
              <w:spacing w:before="0" w:after="0"/>
            </w:pPr>
            <w:r w:rsidRPr="00456014">
              <w:t>36</w:t>
            </w:r>
          </w:p>
        </w:tc>
        <w:tc>
          <w:tcPr>
            <w:tcW w:w="528" w:type="pct"/>
            <w:vMerge w:val="restart"/>
            <w:tcBorders>
              <w:top w:val="single" w:sz="4" w:space="0" w:color="auto"/>
            </w:tcBorders>
            <w:shd w:val="clear" w:color="auto" w:fill="auto"/>
          </w:tcPr>
          <w:p w:rsidR="007675BA" w:rsidRPr="00456014" w:rsidRDefault="007675BA" w:rsidP="00DD6FDA">
            <w:pPr>
              <w:spacing w:before="0" w:after="0"/>
            </w:pPr>
            <w:r w:rsidRPr="00456014">
              <w:t>0.032</w:t>
            </w:r>
          </w:p>
        </w:tc>
      </w:tr>
      <w:tr w:rsidR="007675BA" w:rsidRPr="00456014" w:rsidTr="00237A41">
        <w:trPr>
          <w:trHeight w:val="311"/>
        </w:trPr>
        <w:tc>
          <w:tcPr>
            <w:tcW w:w="1434" w:type="pct"/>
            <w:shd w:val="clear" w:color="auto" w:fill="auto"/>
            <w:noWrap/>
          </w:tcPr>
          <w:p w:rsidR="007675BA" w:rsidRPr="00456014" w:rsidRDefault="007675BA" w:rsidP="00DD6FDA">
            <w:pPr>
              <w:spacing w:before="0" w:after="0"/>
              <w:rPr>
                <w:rFonts w:eastAsia="Times New Roman"/>
              </w:rPr>
            </w:pPr>
            <w:r w:rsidRPr="00456014">
              <w:rPr>
                <w:rFonts w:eastAsia="Times New Roman"/>
              </w:rPr>
              <w:t>2,035- 2,500</w:t>
            </w:r>
          </w:p>
        </w:tc>
        <w:tc>
          <w:tcPr>
            <w:tcW w:w="1011" w:type="pct"/>
            <w:shd w:val="clear" w:color="auto" w:fill="auto"/>
            <w:noWrap/>
            <w:hideMark/>
          </w:tcPr>
          <w:p w:rsidR="007675BA" w:rsidRPr="00456014" w:rsidRDefault="007675BA" w:rsidP="00DD6FDA">
            <w:pPr>
              <w:spacing w:before="0" w:after="0"/>
              <w:rPr>
                <w:rFonts w:eastAsia="Times New Roman"/>
              </w:rPr>
            </w:pPr>
            <w:r w:rsidRPr="00456014">
              <w:rPr>
                <w:rFonts w:eastAsia="Times New Roman"/>
                <w:lang w:val="en-GB"/>
              </w:rPr>
              <w:t>High</w:t>
            </w:r>
          </w:p>
        </w:tc>
        <w:tc>
          <w:tcPr>
            <w:tcW w:w="782" w:type="pct"/>
            <w:shd w:val="clear" w:color="auto" w:fill="auto"/>
          </w:tcPr>
          <w:p w:rsidR="007675BA" w:rsidRPr="00456014" w:rsidRDefault="00945989" w:rsidP="00DD6FDA">
            <w:pPr>
              <w:spacing w:before="0" w:after="0"/>
            </w:pPr>
            <w:r>
              <w:t>4</w:t>
            </w:r>
          </w:p>
        </w:tc>
        <w:tc>
          <w:tcPr>
            <w:tcW w:w="1244" w:type="pct"/>
            <w:shd w:val="clear" w:color="auto" w:fill="auto"/>
          </w:tcPr>
          <w:p w:rsidR="007675BA" w:rsidRPr="00456014" w:rsidRDefault="007675BA" w:rsidP="00DD6FDA">
            <w:pPr>
              <w:spacing w:before="0" w:after="0"/>
            </w:pPr>
            <w:r w:rsidRPr="00456014">
              <w:t>27</w:t>
            </w:r>
          </w:p>
        </w:tc>
        <w:tc>
          <w:tcPr>
            <w:tcW w:w="528" w:type="pct"/>
            <w:vMerge/>
            <w:shd w:val="clear" w:color="auto" w:fill="auto"/>
          </w:tcPr>
          <w:p w:rsidR="007675BA" w:rsidRPr="00456014" w:rsidRDefault="007675BA" w:rsidP="00DD6FDA">
            <w:pPr>
              <w:spacing w:before="0" w:after="0"/>
            </w:pPr>
          </w:p>
        </w:tc>
      </w:tr>
      <w:tr w:rsidR="007675BA" w:rsidRPr="00456014" w:rsidTr="00237A41">
        <w:trPr>
          <w:trHeight w:val="311"/>
        </w:trPr>
        <w:tc>
          <w:tcPr>
            <w:tcW w:w="1434" w:type="pct"/>
            <w:shd w:val="clear" w:color="auto" w:fill="auto"/>
            <w:noWrap/>
          </w:tcPr>
          <w:p w:rsidR="007675BA" w:rsidRPr="00456014" w:rsidRDefault="007675BA" w:rsidP="00DD6FDA">
            <w:pPr>
              <w:spacing w:before="0" w:after="0"/>
              <w:rPr>
                <w:rFonts w:eastAsia="Times New Roman"/>
              </w:rPr>
            </w:pPr>
            <w:r w:rsidRPr="00456014">
              <w:rPr>
                <w:rFonts w:eastAsia="Times New Roman"/>
              </w:rPr>
              <w:t>2,500- 3,170</w:t>
            </w:r>
          </w:p>
        </w:tc>
        <w:tc>
          <w:tcPr>
            <w:tcW w:w="1011" w:type="pct"/>
            <w:shd w:val="clear" w:color="auto" w:fill="auto"/>
            <w:noWrap/>
            <w:hideMark/>
          </w:tcPr>
          <w:p w:rsidR="007675BA" w:rsidRPr="00456014" w:rsidRDefault="007675BA" w:rsidP="00DD6FDA">
            <w:pPr>
              <w:spacing w:before="0" w:after="0"/>
              <w:rPr>
                <w:rFonts w:eastAsia="Times New Roman"/>
              </w:rPr>
            </w:pPr>
            <w:r w:rsidRPr="00456014">
              <w:rPr>
                <w:rFonts w:eastAsia="Times New Roman"/>
                <w:lang w:val="en-GB"/>
              </w:rPr>
              <w:t>Moderate</w:t>
            </w:r>
          </w:p>
        </w:tc>
        <w:tc>
          <w:tcPr>
            <w:tcW w:w="782" w:type="pct"/>
            <w:shd w:val="clear" w:color="auto" w:fill="auto"/>
          </w:tcPr>
          <w:p w:rsidR="007675BA" w:rsidRPr="00456014" w:rsidRDefault="00945989" w:rsidP="00DD6FDA">
            <w:pPr>
              <w:spacing w:before="0" w:after="0"/>
            </w:pPr>
            <w:r>
              <w:t>3</w:t>
            </w:r>
          </w:p>
        </w:tc>
        <w:tc>
          <w:tcPr>
            <w:tcW w:w="1244" w:type="pct"/>
            <w:shd w:val="clear" w:color="auto" w:fill="auto"/>
          </w:tcPr>
          <w:p w:rsidR="007675BA" w:rsidRPr="00456014" w:rsidRDefault="007675BA" w:rsidP="00DD6FDA">
            <w:pPr>
              <w:spacing w:before="0" w:after="0"/>
            </w:pPr>
            <w:r w:rsidRPr="00456014">
              <w:t>20</w:t>
            </w:r>
          </w:p>
        </w:tc>
        <w:tc>
          <w:tcPr>
            <w:tcW w:w="528" w:type="pct"/>
            <w:vMerge/>
            <w:shd w:val="clear" w:color="auto" w:fill="auto"/>
          </w:tcPr>
          <w:p w:rsidR="007675BA" w:rsidRPr="00456014" w:rsidRDefault="007675BA" w:rsidP="00DD6FDA">
            <w:pPr>
              <w:spacing w:before="0" w:after="0"/>
            </w:pPr>
          </w:p>
        </w:tc>
      </w:tr>
      <w:tr w:rsidR="007675BA" w:rsidRPr="00456014" w:rsidTr="00237A41">
        <w:trPr>
          <w:trHeight w:val="311"/>
        </w:trPr>
        <w:tc>
          <w:tcPr>
            <w:tcW w:w="1434" w:type="pct"/>
            <w:shd w:val="clear" w:color="auto" w:fill="auto"/>
            <w:noWrap/>
          </w:tcPr>
          <w:p w:rsidR="007675BA" w:rsidRPr="00456014" w:rsidRDefault="007675BA" w:rsidP="00DD6FDA">
            <w:pPr>
              <w:spacing w:before="0" w:after="0"/>
              <w:rPr>
                <w:rFonts w:eastAsia="Times New Roman"/>
              </w:rPr>
            </w:pPr>
            <w:r w:rsidRPr="00456014">
              <w:rPr>
                <w:rFonts w:eastAsia="Times New Roman"/>
              </w:rPr>
              <w:t>3,170- 3,588</w:t>
            </w:r>
          </w:p>
        </w:tc>
        <w:tc>
          <w:tcPr>
            <w:tcW w:w="1011" w:type="pct"/>
            <w:shd w:val="clear" w:color="auto" w:fill="auto"/>
            <w:noWrap/>
            <w:hideMark/>
          </w:tcPr>
          <w:p w:rsidR="007675BA" w:rsidRPr="00456014" w:rsidRDefault="007675BA" w:rsidP="00DD6FDA">
            <w:pPr>
              <w:spacing w:before="0" w:after="0"/>
              <w:rPr>
                <w:rFonts w:eastAsia="Times New Roman"/>
              </w:rPr>
            </w:pPr>
            <w:r w:rsidRPr="00456014">
              <w:rPr>
                <w:rFonts w:eastAsia="Times New Roman"/>
                <w:lang w:val="en-GB"/>
              </w:rPr>
              <w:t>Low</w:t>
            </w:r>
          </w:p>
        </w:tc>
        <w:tc>
          <w:tcPr>
            <w:tcW w:w="782" w:type="pct"/>
            <w:shd w:val="clear" w:color="auto" w:fill="auto"/>
          </w:tcPr>
          <w:p w:rsidR="007675BA" w:rsidRPr="00456014" w:rsidRDefault="00945989" w:rsidP="00DD6FDA">
            <w:pPr>
              <w:spacing w:before="0" w:after="0"/>
            </w:pPr>
            <w:r>
              <w:t>2</w:t>
            </w:r>
          </w:p>
        </w:tc>
        <w:tc>
          <w:tcPr>
            <w:tcW w:w="1244" w:type="pct"/>
            <w:shd w:val="clear" w:color="auto" w:fill="auto"/>
          </w:tcPr>
          <w:p w:rsidR="007675BA" w:rsidRPr="00456014" w:rsidRDefault="007675BA" w:rsidP="00DD6FDA">
            <w:pPr>
              <w:spacing w:before="0" w:after="0"/>
            </w:pPr>
            <w:r w:rsidRPr="00456014">
              <w:t>10</w:t>
            </w:r>
          </w:p>
        </w:tc>
        <w:tc>
          <w:tcPr>
            <w:tcW w:w="528" w:type="pct"/>
            <w:vMerge/>
            <w:shd w:val="clear" w:color="auto" w:fill="auto"/>
          </w:tcPr>
          <w:p w:rsidR="007675BA" w:rsidRPr="00456014" w:rsidRDefault="007675BA" w:rsidP="00DD6FDA">
            <w:pPr>
              <w:spacing w:before="0" w:after="0"/>
            </w:pPr>
          </w:p>
        </w:tc>
      </w:tr>
      <w:tr w:rsidR="007675BA" w:rsidRPr="00456014" w:rsidTr="00237A41">
        <w:trPr>
          <w:trHeight w:val="311"/>
        </w:trPr>
        <w:tc>
          <w:tcPr>
            <w:tcW w:w="1434" w:type="pct"/>
            <w:shd w:val="clear" w:color="auto" w:fill="auto"/>
            <w:noWrap/>
          </w:tcPr>
          <w:p w:rsidR="007675BA" w:rsidRPr="00456014" w:rsidRDefault="007675BA" w:rsidP="00DD6FDA">
            <w:pPr>
              <w:spacing w:before="0" w:after="0"/>
              <w:rPr>
                <w:rFonts w:eastAsia="Times New Roman"/>
              </w:rPr>
            </w:pPr>
            <w:r w:rsidRPr="00456014">
              <w:rPr>
                <w:rFonts w:eastAsia="Times New Roman"/>
              </w:rPr>
              <w:t>3,588- 4,346</w:t>
            </w:r>
          </w:p>
        </w:tc>
        <w:tc>
          <w:tcPr>
            <w:tcW w:w="1011" w:type="pct"/>
            <w:shd w:val="clear" w:color="auto" w:fill="auto"/>
            <w:noWrap/>
            <w:hideMark/>
          </w:tcPr>
          <w:p w:rsidR="007675BA" w:rsidRPr="00456014" w:rsidRDefault="007675BA" w:rsidP="00DD6FDA">
            <w:pPr>
              <w:spacing w:before="0" w:after="0"/>
              <w:rPr>
                <w:rFonts w:eastAsia="Times New Roman"/>
              </w:rPr>
            </w:pPr>
            <w:r w:rsidRPr="00456014">
              <w:rPr>
                <w:rFonts w:eastAsia="Times New Roman"/>
                <w:lang w:val="en-GB"/>
              </w:rPr>
              <w:t>Very low</w:t>
            </w:r>
          </w:p>
        </w:tc>
        <w:tc>
          <w:tcPr>
            <w:tcW w:w="782" w:type="pct"/>
            <w:shd w:val="clear" w:color="auto" w:fill="auto"/>
          </w:tcPr>
          <w:p w:rsidR="007675BA" w:rsidRPr="00456014" w:rsidRDefault="00945989" w:rsidP="00DD6FDA">
            <w:pPr>
              <w:spacing w:before="0" w:after="0"/>
            </w:pPr>
            <w:r>
              <w:t>1</w:t>
            </w:r>
          </w:p>
        </w:tc>
        <w:tc>
          <w:tcPr>
            <w:tcW w:w="1244" w:type="pct"/>
            <w:shd w:val="clear" w:color="auto" w:fill="auto"/>
          </w:tcPr>
          <w:p w:rsidR="007675BA" w:rsidRPr="00456014" w:rsidRDefault="007675BA" w:rsidP="00DD6FDA">
            <w:pPr>
              <w:spacing w:before="0" w:after="0"/>
            </w:pPr>
            <w:r w:rsidRPr="00456014">
              <w:t>7</w:t>
            </w:r>
          </w:p>
        </w:tc>
        <w:tc>
          <w:tcPr>
            <w:tcW w:w="528" w:type="pct"/>
            <w:vMerge/>
            <w:shd w:val="clear" w:color="auto" w:fill="auto"/>
          </w:tcPr>
          <w:p w:rsidR="007675BA" w:rsidRPr="00456014" w:rsidRDefault="007675BA" w:rsidP="00DD6FDA">
            <w:pPr>
              <w:spacing w:before="0" w:after="0"/>
            </w:pPr>
          </w:p>
        </w:tc>
      </w:tr>
    </w:tbl>
    <w:p w:rsidR="008502D0" w:rsidRDefault="008502D0" w:rsidP="008502D0">
      <w:r>
        <w:t xml:space="preserve">* </w:t>
      </w:r>
      <w:r w:rsidR="00181DCF" w:rsidRPr="00181DCF">
        <w:t>(Berhanu and Hatiye, 2020; God</w:t>
      </w:r>
      <w:r w:rsidR="00181DCF">
        <w:t xml:space="preserve">ebo, 2018; Kiflu et al., 2009; </w:t>
      </w:r>
      <w:r w:rsidR="00181DCF" w:rsidRPr="00181DCF">
        <w:t>Ramu and Vi</w:t>
      </w:r>
      <w:r w:rsidR="00181DCF">
        <w:t>nay, 2014; Sewnet et al., 2016)</w:t>
      </w:r>
    </w:p>
    <w:p w:rsidR="0032314D" w:rsidRPr="00543E9F" w:rsidRDefault="00FA340A" w:rsidP="008D3D8E">
      <w:pPr>
        <w:pStyle w:val="Heading3"/>
        <w:numPr>
          <w:ilvl w:val="2"/>
          <w:numId w:val="3"/>
        </w:numPr>
        <w:tabs>
          <w:tab w:val="left" w:pos="2250"/>
        </w:tabs>
      </w:pPr>
      <w:bookmarkStart w:id="205" w:name="_Toc68025100"/>
      <w:bookmarkStart w:id="206" w:name="_Toc68761582"/>
      <w:r w:rsidRPr="00543E9F">
        <w:lastRenderedPageBreak/>
        <w:t xml:space="preserve">The </w:t>
      </w:r>
      <w:r w:rsidR="00705C30" w:rsidRPr="00543E9F">
        <w:t>Thematic Map of Land Use and Land Cover</w:t>
      </w:r>
      <w:bookmarkEnd w:id="205"/>
      <w:bookmarkEnd w:id="206"/>
      <w:r w:rsidR="00705C30" w:rsidRPr="00543E9F">
        <w:t xml:space="preserve"> </w:t>
      </w:r>
    </w:p>
    <w:p w:rsidR="007675BA" w:rsidRDefault="004D77EA" w:rsidP="007675BA">
      <w:r>
        <w:t xml:space="preserve">The LU/LC </w:t>
      </w:r>
      <w:r w:rsidR="001E49DF" w:rsidRPr="00456014">
        <w:t xml:space="preserve">of </w:t>
      </w:r>
      <w:r w:rsidR="001E49DF">
        <w:t>Weyib</w:t>
      </w:r>
      <w:r w:rsidR="003D768E" w:rsidRPr="00456014">
        <w:t xml:space="preserve"> Sub-</w:t>
      </w:r>
      <w:r w:rsidR="004350CA" w:rsidRPr="00456014">
        <w:t xml:space="preserve">basin </w:t>
      </w:r>
      <w:r w:rsidR="00303D7A">
        <w:t>was</w:t>
      </w:r>
      <w:r w:rsidR="00243D20" w:rsidRPr="00456014">
        <w:t xml:space="preserve"> classified into six major </w:t>
      </w:r>
      <w:r w:rsidR="002237C2" w:rsidRPr="00456014">
        <w:t>classes</w:t>
      </w:r>
      <w:r w:rsidR="00303D7A">
        <w:t xml:space="preserve"> including; </w:t>
      </w:r>
      <w:r w:rsidR="002237C2" w:rsidRPr="00456014">
        <w:rPr>
          <w:rFonts w:eastAsia="Times New Roman"/>
          <w:lang w:val="en-GB"/>
        </w:rPr>
        <w:t>agriculture</w:t>
      </w:r>
      <w:r w:rsidR="002237C2" w:rsidRPr="00456014">
        <w:t xml:space="preserve">, </w:t>
      </w:r>
      <w:r w:rsidR="002237C2" w:rsidRPr="00456014">
        <w:rPr>
          <w:rFonts w:eastAsia="Times New Roman"/>
          <w:lang w:val="en-GB"/>
        </w:rPr>
        <w:t>bare land</w:t>
      </w:r>
      <w:r w:rsidR="002237C2" w:rsidRPr="00456014">
        <w:t xml:space="preserve">, </w:t>
      </w:r>
      <w:r w:rsidR="002237C2" w:rsidRPr="00456014">
        <w:rPr>
          <w:rFonts w:eastAsia="Times New Roman"/>
          <w:lang w:val="en-GB"/>
        </w:rPr>
        <w:t>bush land</w:t>
      </w:r>
      <w:r w:rsidR="002237C2" w:rsidRPr="00456014">
        <w:t xml:space="preserve">, </w:t>
      </w:r>
      <w:r w:rsidR="002237C2" w:rsidRPr="00456014">
        <w:rPr>
          <w:rFonts w:eastAsia="Times New Roman"/>
          <w:lang w:val="en-GB"/>
        </w:rPr>
        <w:t>forest</w:t>
      </w:r>
      <w:r w:rsidR="002237C2" w:rsidRPr="00456014">
        <w:t xml:space="preserve">, </w:t>
      </w:r>
      <w:r w:rsidR="002237C2" w:rsidRPr="00456014">
        <w:rPr>
          <w:rFonts w:eastAsia="Times New Roman"/>
          <w:lang w:val="en-GB"/>
        </w:rPr>
        <w:t>grass land</w:t>
      </w:r>
      <w:r w:rsidR="002237C2" w:rsidRPr="00456014">
        <w:rPr>
          <w:rFonts w:eastAsia="Times New Roman"/>
        </w:rPr>
        <w:t xml:space="preserve"> and </w:t>
      </w:r>
      <w:r w:rsidR="00490A70" w:rsidRPr="00456014">
        <w:rPr>
          <w:rFonts w:eastAsia="Times New Roman"/>
          <w:lang w:val="en-GB"/>
        </w:rPr>
        <w:t>settlements (</w:t>
      </w:r>
      <w:r w:rsidR="00C267B4" w:rsidRPr="00456014">
        <w:t>Figure</w:t>
      </w:r>
      <w:r w:rsidR="00C01E37">
        <w:t xml:space="preserve"> 4.18</w:t>
      </w:r>
      <w:r w:rsidR="00490A70" w:rsidRPr="00456014">
        <w:rPr>
          <w:rFonts w:eastAsia="Times New Roman"/>
          <w:lang w:val="en-GB"/>
        </w:rPr>
        <w:t>)</w:t>
      </w:r>
      <w:r w:rsidR="00490A70" w:rsidRPr="00456014">
        <w:t>.</w:t>
      </w:r>
      <w:r w:rsidR="00B864B7" w:rsidRPr="00456014">
        <w:t xml:space="preserve"> </w:t>
      </w:r>
      <w:r w:rsidR="00EB0CAF" w:rsidRPr="00456014">
        <w:t xml:space="preserve">Agriculture and settlements are mostly found in the middle plateau and downstream portion of the </w:t>
      </w:r>
      <w:r w:rsidR="001E49DF">
        <w:t>sub-</w:t>
      </w:r>
      <w:r w:rsidR="00EB0CAF" w:rsidRPr="00456014">
        <w:t xml:space="preserve">basin. </w:t>
      </w:r>
    </w:p>
    <w:p w:rsidR="00B864B7" w:rsidRPr="002F5B9E" w:rsidRDefault="002F5B9E" w:rsidP="002F5B9E">
      <w:pPr>
        <w:jc w:val="center"/>
        <w:rPr>
          <w:i/>
          <w:iCs/>
        </w:rPr>
      </w:pPr>
      <w:r w:rsidRPr="002F5B9E">
        <w:rPr>
          <w:i/>
          <w:iCs/>
          <w:noProof/>
        </w:rPr>
        <w:drawing>
          <wp:inline distT="0" distB="0" distL="0" distR="0" wp14:anchorId="706D183B" wp14:editId="24478B4B">
            <wp:extent cx="5326912" cy="3766350"/>
            <wp:effectExtent l="19050" t="19050" r="26670" b="24765"/>
            <wp:docPr id="2" name="Picture 2" descr="C:\Users\Abdul Gafar\Desktop\Report_MXD_JPEG\LULC\LULC_map.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dul Gafar\Desktop\Report_MXD_JPEG\LULC\LULC_map.bmp"/>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355169" cy="3786329"/>
                    </a:xfrm>
                    <a:prstGeom prst="rect">
                      <a:avLst/>
                    </a:prstGeom>
                    <a:noFill/>
                    <a:ln w="12700">
                      <a:solidFill>
                        <a:schemeClr val="tx1"/>
                      </a:solidFill>
                    </a:ln>
                  </pic:spPr>
                </pic:pic>
              </a:graphicData>
            </a:graphic>
          </wp:inline>
        </w:drawing>
      </w:r>
    </w:p>
    <w:p w:rsidR="00563C9C" w:rsidRDefault="00563C9C" w:rsidP="00563C9C">
      <w:bookmarkStart w:id="207" w:name="_Toc68761636"/>
      <w:r w:rsidRPr="00456014">
        <w:t xml:space="preserve">Figure </w:t>
      </w:r>
      <w:r w:rsidR="00515F3B">
        <w:rPr>
          <w:noProof/>
        </w:rPr>
        <w:fldChar w:fldCharType="begin"/>
      </w:r>
      <w:r w:rsidR="00515F3B">
        <w:rPr>
          <w:noProof/>
        </w:rPr>
        <w:instrText xml:space="preserve"> STYLEREF 1 \s </w:instrText>
      </w:r>
      <w:r w:rsidR="00515F3B">
        <w:rPr>
          <w:noProof/>
        </w:rPr>
        <w:fldChar w:fldCharType="separate"/>
      </w:r>
      <w:r w:rsidR="00BD510E">
        <w:rPr>
          <w:noProof/>
        </w:rPr>
        <w:t>4</w:t>
      </w:r>
      <w:r w:rsidR="00515F3B">
        <w:rPr>
          <w:noProof/>
        </w:rPr>
        <w:fldChar w:fldCharType="end"/>
      </w:r>
      <w:r w:rsidR="001342E5">
        <w:t>.</w:t>
      </w:r>
      <w:r w:rsidR="00515F3B">
        <w:rPr>
          <w:noProof/>
        </w:rPr>
        <w:fldChar w:fldCharType="begin"/>
      </w:r>
      <w:r w:rsidR="00515F3B">
        <w:rPr>
          <w:noProof/>
        </w:rPr>
        <w:instrText xml:space="preserve"> SEQ Figure \* ARABIC \s 1 </w:instrText>
      </w:r>
      <w:r w:rsidR="00515F3B">
        <w:rPr>
          <w:noProof/>
        </w:rPr>
        <w:fldChar w:fldCharType="separate"/>
      </w:r>
      <w:r w:rsidR="00BD510E">
        <w:rPr>
          <w:noProof/>
        </w:rPr>
        <w:t>18</w:t>
      </w:r>
      <w:r w:rsidR="00515F3B">
        <w:rPr>
          <w:noProof/>
        </w:rPr>
        <w:fldChar w:fldCharType="end"/>
      </w:r>
      <w:r w:rsidRPr="00456014">
        <w:t xml:space="preserve">: The LU/LC </w:t>
      </w:r>
      <w:r>
        <w:t>map</w:t>
      </w:r>
      <w:r w:rsidRPr="00456014">
        <w:t xml:space="preserve"> of Weyib Sub-basin</w:t>
      </w:r>
      <w:bookmarkEnd w:id="207"/>
    </w:p>
    <w:p w:rsidR="00A5132D" w:rsidRPr="00F069D3" w:rsidRDefault="00A5132D" w:rsidP="00F069D3">
      <w:r w:rsidRPr="00456014">
        <w:t xml:space="preserve">Agricultural land includes an area used for perennial and annual crop cultivation under smallholder </w:t>
      </w:r>
      <w:r w:rsidR="00EA41A4">
        <w:t xml:space="preserve">farmers and state farms. Forest occupies </w:t>
      </w:r>
      <w:r w:rsidRPr="00456014">
        <w:t xml:space="preserve">dense tall trees with widely spreading crowns and a large variety of multi-store species. It is restricted to sub-humid climates and along </w:t>
      </w:r>
      <w:r w:rsidR="00EA41A4">
        <w:t>the</w:t>
      </w:r>
      <w:r w:rsidRPr="00456014">
        <w:t xml:space="preserve"> River courses </w:t>
      </w:r>
      <w:r w:rsidRPr="00456014">
        <w:fldChar w:fldCharType="begin" w:fldLock="1"/>
      </w:r>
      <w:r w:rsidR="00A309A8">
        <w:instrText>ADDIN CSL_CITATION {"citationItems":[{"id":"ITEM-1","itemData":{"ISBN":"978-80-260-0334-2","ISSN":"1098-6596","PMID":"25246403","author":[{"dropping-particle":"","family":"Zewdie","given":"Getachew","non-dropping-particle":"","parse-names":false,"suffix":""}],"container-title":"AQUATEST","edition":"1st editio","editor":[{"dropping-particle":"","family":"Sima","given":"Jiri","non-dropping-particle":"","parse-names":false,"suffix":""}],"id":"ITEM-1","issued":{"date-parts":[["2011"]]},"number-of-pages":"1-113","publisher":"AQUATEST","publisher-place":"prague 5, Czech Republic","title":"Hydrogeological and Hydrochemical maps of Negele NB 37-11","type":"book"},"uris":["http://www.mendeley.com/documents/?uuid=b0b592c2-4272-4087-9d46-ff98d94bf955","http://www.mendeley.com/documents/?uuid=64d0d57d-19f5-4ff8-aa89-0fe3a24a45eb"]}],"mendeley":{"formattedCitation":"(Zewdie, 2011)","plainTextFormattedCitation":"(Zewdie, 2011)","previouslyFormattedCitation":"(Zewdie, 2011)"},"properties":{"noteIndex":0},"schema":"https://github.com/citation-style-language/schema/raw/master/csl-citation.json"}</w:instrText>
      </w:r>
      <w:r w:rsidRPr="00456014">
        <w:fldChar w:fldCharType="separate"/>
      </w:r>
      <w:r w:rsidRPr="00456014">
        <w:rPr>
          <w:noProof/>
        </w:rPr>
        <w:t>(Zewdie, 2011)</w:t>
      </w:r>
      <w:r w:rsidRPr="00456014">
        <w:fldChar w:fldCharType="end"/>
      </w:r>
      <w:r w:rsidRPr="00456014">
        <w:t>.</w:t>
      </w:r>
      <w:r w:rsidRPr="00A80B8E">
        <w:t xml:space="preserve"> </w:t>
      </w:r>
      <w:r w:rsidR="0082448B">
        <w:t>Shrub land compose</w:t>
      </w:r>
      <w:r w:rsidRPr="00456014">
        <w:t xml:space="preserve"> patches of shrubs and bushes interspersing grasslands with some scattered trees.</w:t>
      </w:r>
      <w:r>
        <w:t xml:space="preserve"> </w:t>
      </w:r>
      <w:r w:rsidRPr="00456014">
        <w:t>Grassland is composed of grassland with very rare shrubs, bushes and trees. The settlement is an area used for infrastructure and buildings in towns and urban centers. Bare land consists of recent lav</w:t>
      </w:r>
      <w:r>
        <w:t xml:space="preserve">a flows, exposed rock outcrops, </w:t>
      </w:r>
      <w:r w:rsidRPr="00456014">
        <w:t>sand and soil surfaces devoid of vegetative cover.</w:t>
      </w:r>
      <w:r w:rsidRPr="00C050B4">
        <w:t xml:space="preserve"> </w:t>
      </w:r>
      <w:r w:rsidR="0082448B">
        <w:t>Forest, bushland</w:t>
      </w:r>
      <w:r w:rsidRPr="00456014">
        <w:t xml:space="preserve"> and grasslands are found towards an upper and lower edge of the sub-basin, while bare land is found distributed throughout the </w:t>
      </w:r>
      <w:r>
        <w:t>area</w:t>
      </w:r>
      <w:r w:rsidRPr="00456014">
        <w:t>.</w:t>
      </w:r>
      <w:r w:rsidR="00F13B95">
        <w:t xml:space="preserve"> </w:t>
      </w:r>
      <w:r w:rsidR="00F13B95" w:rsidRPr="00456014">
        <w:t>The classi</w:t>
      </w:r>
      <w:r w:rsidR="00F13B95">
        <w:t>fied LU/LC of the study area were</w:t>
      </w:r>
      <w:r w:rsidR="00F13B95" w:rsidRPr="00456014">
        <w:t xml:space="preserve"> ranked and reclassifi</w:t>
      </w:r>
      <w:r w:rsidR="00F13B95">
        <w:t>ed into five classes (Figure 4.19</w:t>
      </w:r>
      <w:r w:rsidR="00F13B95" w:rsidRPr="00456014">
        <w:t>).</w:t>
      </w:r>
    </w:p>
    <w:p w:rsidR="00F069D3" w:rsidRPr="00456014" w:rsidRDefault="00F069D3" w:rsidP="00A80B8E">
      <w:pPr>
        <w:jc w:val="center"/>
      </w:pPr>
      <w:r w:rsidRPr="00F069D3">
        <w:rPr>
          <w:noProof/>
        </w:rPr>
        <w:lastRenderedPageBreak/>
        <w:drawing>
          <wp:inline distT="0" distB="0" distL="0" distR="0" wp14:anchorId="67B77976" wp14:editId="04BB8D12">
            <wp:extent cx="5490985" cy="3882357"/>
            <wp:effectExtent l="19050" t="19050" r="14605" b="23495"/>
            <wp:docPr id="5" name="Picture 5" descr="C:\Users\Abdul Gafar\Desktop\Report_MXD_JPEG\LULC\LULC_Rec.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bdul Gafar\Desktop\Report_MXD_JPEG\LULC\LULC_Rec.bmp"/>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495264" cy="3885382"/>
                    </a:xfrm>
                    <a:prstGeom prst="rect">
                      <a:avLst/>
                    </a:prstGeom>
                    <a:noFill/>
                    <a:ln w="12700">
                      <a:solidFill>
                        <a:schemeClr val="tx1"/>
                      </a:solidFill>
                    </a:ln>
                  </pic:spPr>
                </pic:pic>
              </a:graphicData>
            </a:graphic>
          </wp:inline>
        </w:drawing>
      </w:r>
    </w:p>
    <w:p w:rsidR="00A80B8E" w:rsidRDefault="00A80B8E" w:rsidP="00961DEE">
      <w:bookmarkStart w:id="208" w:name="_Toc68761637"/>
      <w:r w:rsidRPr="00456014">
        <w:t xml:space="preserve">Figure </w:t>
      </w:r>
      <w:r w:rsidR="00515F3B">
        <w:rPr>
          <w:noProof/>
        </w:rPr>
        <w:fldChar w:fldCharType="begin"/>
      </w:r>
      <w:r w:rsidR="00515F3B">
        <w:rPr>
          <w:noProof/>
        </w:rPr>
        <w:instrText xml:space="preserve"> STYLEREF 1 \s </w:instrText>
      </w:r>
      <w:r w:rsidR="00515F3B">
        <w:rPr>
          <w:noProof/>
        </w:rPr>
        <w:fldChar w:fldCharType="separate"/>
      </w:r>
      <w:r w:rsidR="00BD510E">
        <w:rPr>
          <w:noProof/>
        </w:rPr>
        <w:t>4</w:t>
      </w:r>
      <w:r w:rsidR="00515F3B">
        <w:rPr>
          <w:noProof/>
        </w:rPr>
        <w:fldChar w:fldCharType="end"/>
      </w:r>
      <w:r w:rsidR="001342E5">
        <w:t>.</w:t>
      </w:r>
      <w:r w:rsidR="00515F3B">
        <w:rPr>
          <w:noProof/>
        </w:rPr>
        <w:fldChar w:fldCharType="begin"/>
      </w:r>
      <w:r w:rsidR="00515F3B">
        <w:rPr>
          <w:noProof/>
        </w:rPr>
        <w:instrText xml:space="preserve"> SEQ Figure \* ARABIC \s 1 </w:instrText>
      </w:r>
      <w:r w:rsidR="00515F3B">
        <w:rPr>
          <w:noProof/>
        </w:rPr>
        <w:fldChar w:fldCharType="separate"/>
      </w:r>
      <w:r w:rsidR="00BD510E">
        <w:rPr>
          <w:noProof/>
        </w:rPr>
        <w:t>19</w:t>
      </w:r>
      <w:r w:rsidR="00515F3B">
        <w:rPr>
          <w:noProof/>
        </w:rPr>
        <w:fldChar w:fldCharType="end"/>
      </w:r>
      <w:r w:rsidRPr="00456014">
        <w:t xml:space="preserve">: The reclassified </w:t>
      </w:r>
      <w:r>
        <w:t xml:space="preserve">LU/LC map </w:t>
      </w:r>
      <w:r w:rsidRPr="00456014">
        <w:t>of Weyib Sub-basin</w:t>
      </w:r>
      <w:bookmarkEnd w:id="208"/>
    </w:p>
    <w:p w:rsidR="00B3424B" w:rsidRDefault="00B3424B" w:rsidP="00B3424B">
      <w:r w:rsidRPr="00456014">
        <w:t xml:space="preserve">Depending on the contributions of LU/LC classes for groundwater potential the relative weight of each class and </w:t>
      </w:r>
      <w:r w:rsidR="00E71297">
        <w:t xml:space="preserve">CR </w:t>
      </w:r>
      <w:r w:rsidR="00221584">
        <w:t>was</w:t>
      </w:r>
      <w:r w:rsidRPr="00456014">
        <w:t xml:space="preserve"> computed </w:t>
      </w:r>
      <w:r>
        <w:t>(Table 4.8</w:t>
      </w:r>
      <w:r w:rsidRPr="00456014">
        <w:t xml:space="preserve">). The CR value of 0.062 is within the acceptable limit. </w:t>
      </w:r>
    </w:p>
    <w:p w:rsidR="00B3424B" w:rsidRPr="00456014" w:rsidRDefault="00B3424B" w:rsidP="00B3424B">
      <w:pPr>
        <w:pStyle w:val="Caption"/>
        <w:keepNext/>
        <w:spacing w:before="120" w:after="120" w:line="360" w:lineRule="auto"/>
        <w:rPr>
          <w:i w:val="0"/>
          <w:iCs w:val="0"/>
          <w:color w:val="auto"/>
          <w:sz w:val="24"/>
          <w:szCs w:val="24"/>
        </w:rPr>
      </w:pPr>
      <w:bookmarkStart w:id="209" w:name="_Toc68761602"/>
      <w:r w:rsidRPr="00456014">
        <w:rPr>
          <w:i w:val="0"/>
          <w:iCs w:val="0"/>
          <w:color w:val="auto"/>
          <w:sz w:val="24"/>
          <w:szCs w:val="24"/>
        </w:rPr>
        <w:t xml:space="preserve">Table </w:t>
      </w:r>
      <w:r w:rsidRPr="00456014">
        <w:rPr>
          <w:i w:val="0"/>
          <w:iCs w:val="0"/>
          <w:color w:val="auto"/>
          <w:sz w:val="24"/>
          <w:szCs w:val="24"/>
        </w:rPr>
        <w:fldChar w:fldCharType="begin"/>
      </w:r>
      <w:r w:rsidRPr="00456014">
        <w:rPr>
          <w:i w:val="0"/>
          <w:iCs w:val="0"/>
          <w:color w:val="auto"/>
          <w:sz w:val="24"/>
          <w:szCs w:val="24"/>
        </w:rPr>
        <w:instrText xml:space="preserve"> STYLEREF 1 \s </w:instrText>
      </w:r>
      <w:r w:rsidRPr="00456014">
        <w:rPr>
          <w:i w:val="0"/>
          <w:iCs w:val="0"/>
          <w:color w:val="auto"/>
          <w:sz w:val="24"/>
          <w:szCs w:val="24"/>
        </w:rPr>
        <w:fldChar w:fldCharType="separate"/>
      </w:r>
      <w:r w:rsidR="00BD510E">
        <w:rPr>
          <w:i w:val="0"/>
          <w:iCs w:val="0"/>
          <w:noProof/>
          <w:color w:val="auto"/>
          <w:sz w:val="24"/>
          <w:szCs w:val="24"/>
        </w:rPr>
        <w:t>4</w:t>
      </w:r>
      <w:r w:rsidRPr="00456014">
        <w:rPr>
          <w:i w:val="0"/>
          <w:iCs w:val="0"/>
          <w:color w:val="auto"/>
          <w:sz w:val="24"/>
          <w:szCs w:val="24"/>
        </w:rPr>
        <w:fldChar w:fldCharType="end"/>
      </w:r>
      <w:r w:rsidRPr="00456014">
        <w:rPr>
          <w:i w:val="0"/>
          <w:iCs w:val="0"/>
          <w:color w:val="auto"/>
          <w:sz w:val="24"/>
          <w:szCs w:val="24"/>
        </w:rPr>
        <w:t>.</w:t>
      </w:r>
      <w:r w:rsidRPr="00456014">
        <w:rPr>
          <w:i w:val="0"/>
          <w:iCs w:val="0"/>
          <w:color w:val="auto"/>
          <w:sz w:val="24"/>
          <w:szCs w:val="24"/>
        </w:rPr>
        <w:fldChar w:fldCharType="begin"/>
      </w:r>
      <w:r w:rsidRPr="00456014">
        <w:rPr>
          <w:i w:val="0"/>
          <w:iCs w:val="0"/>
          <w:color w:val="auto"/>
          <w:sz w:val="24"/>
          <w:szCs w:val="24"/>
        </w:rPr>
        <w:instrText xml:space="preserve"> SEQ Table \* ARABIC \s 1 </w:instrText>
      </w:r>
      <w:r w:rsidRPr="00456014">
        <w:rPr>
          <w:i w:val="0"/>
          <w:iCs w:val="0"/>
          <w:color w:val="auto"/>
          <w:sz w:val="24"/>
          <w:szCs w:val="24"/>
        </w:rPr>
        <w:fldChar w:fldCharType="separate"/>
      </w:r>
      <w:r w:rsidR="00BD510E">
        <w:rPr>
          <w:i w:val="0"/>
          <w:iCs w:val="0"/>
          <w:noProof/>
          <w:color w:val="auto"/>
          <w:sz w:val="24"/>
          <w:szCs w:val="24"/>
        </w:rPr>
        <w:t>8</w:t>
      </w:r>
      <w:r w:rsidRPr="00456014">
        <w:rPr>
          <w:i w:val="0"/>
          <w:iCs w:val="0"/>
          <w:color w:val="auto"/>
          <w:sz w:val="24"/>
          <w:szCs w:val="24"/>
        </w:rPr>
        <w:fldChar w:fldCharType="end"/>
      </w:r>
      <w:r w:rsidRPr="00456014">
        <w:rPr>
          <w:i w:val="0"/>
          <w:iCs w:val="0"/>
          <w:color w:val="auto"/>
          <w:sz w:val="24"/>
          <w:szCs w:val="24"/>
        </w:rPr>
        <w:t>: The classified LU/LC</w:t>
      </w:r>
      <w:r w:rsidR="001F2292">
        <w:rPr>
          <w:i w:val="0"/>
          <w:iCs w:val="0"/>
          <w:color w:val="auto"/>
          <w:sz w:val="24"/>
          <w:szCs w:val="36"/>
        </w:rPr>
        <w:t>, contribution</w:t>
      </w:r>
      <w:r w:rsidRPr="00456014">
        <w:rPr>
          <w:i w:val="0"/>
          <w:iCs w:val="0"/>
          <w:color w:val="auto"/>
          <w:sz w:val="24"/>
          <w:szCs w:val="36"/>
        </w:rPr>
        <w:t xml:space="preserve"> and relative weight of </w:t>
      </w:r>
      <w:r w:rsidRPr="00456014">
        <w:rPr>
          <w:i w:val="0"/>
          <w:iCs w:val="0"/>
          <w:color w:val="auto"/>
          <w:sz w:val="24"/>
          <w:szCs w:val="24"/>
        </w:rPr>
        <w:t>c</w:t>
      </w:r>
      <w:r w:rsidRPr="00456014">
        <w:rPr>
          <w:i w:val="0"/>
          <w:iCs w:val="0"/>
          <w:color w:val="auto"/>
          <w:sz w:val="24"/>
          <w:szCs w:val="36"/>
        </w:rPr>
        <w:t>lasses</w:t>
      </w:r>
      <w:bookmarkEnd w:id="209"/>
    </w:p>
    <w:tbl>
      <w:tblPr>
        <w:tblW w:w="5000" w:type="pct"/>
        <w:tblBorders>
          <w:top w:val="single" w:sz="4" w:space="0" w:color="auto"/>
          <w:bottom w:val="single" w:sz="4" w:space="0" w:color="auto"/>
        </w:tblBorders>
        <w:tblLook w:val="04A0" w:firstRow="1" w:lastRow="0" w:firstColumn="1" w:lastColumn="0" w:noHBand="0" w:noVBand="1"/>
      </w:tblPr>
      <w:tblGrid>
        <w:gridCol w:w="230"/>
        <w:gridCol w:w="1338"/>
        <w:gridCol w:w="1340"/>
        <w:gridCol w:w="1092"/>
        <w:gridCol w:w="1523"/>
        <w:gridCol w:w="728"/>
        <w:gridCol w:w="1541"/>
        <w:gridCol w:w="1208"/>
      </w:tblGrid>
      <w:tr w:rsidR="00B3424B" w:rsidRPr="00456014" w:rsidTr="00DD6FDA">
        <w:trPr>
          <w:trHeight w:val="375"/>
        </w:trPr>
        <w:tc>
          <w:tcPr>
            <w:tcW w:w="132" w:type="pct"/>
            <w:tcBorders>
              <w:top w:val="single" w:sz="4" w:space="0" w:color="auto"/>
              <w:bottom w:val="single" w:sz="4" w:space="0" w:color="auto"/>
            </w:tcBorders>
            <w:shd w:val="clear" w:color="auto" w:fill="auto"/>
          </w:tcPr>
          <w:p w:rsidR="00B3424B" w:rsidRPr="00456014" w:rsidRDefault="00B3424B" w:rsidP="00DD6FDA">
            <w:pPr>
              <w:spacing w:before="0" w:after="0"/>
              <w:jc w:val="center"/>
              <w:rPr>
                <w:rFonts w:eastAsia="Times New Roman"/>
                <w:iCs/>
                <w:lang w:val="en-GB"/>
              </w:rPr>
            </w:pPr>
          </w:p>
        </w:tc>
        <w:tc>
          <w:tcPr>
            <w:tcW w:w="748" w:type="pct"/>
            <w:tcBorders>
              <w:top w:val="single" w:sz="4" w:space="0" w:color="auto"/>
              <w:bottom w:val="single" w:sz="4" w:space="0" w:color="auto"/>
            </w:tcBorders>
            <w:shd w:val="clear" w:color="auto" w:fill="auto"/>
            <w:noWrap/>
            <w:hideMark/>
          </w:tcPr>
          <w:p w:rsidR="00B3424B" w:rsidRPr="00456014" w:rsidRDefault="00B3424B" w:rsidP="00DD6FDA">
            <w:pPr>
              <w:spacing w:before="0" w:after="0"/>
              <w:jc w:val="center"/>
              <w:rPr>
                <w:rFonts w:eastAsia="Times New Roman"/>
                <w:iCs/>
              </w:rPr>
            </w:pPr>
            <w:r w:rsidRPr="00456014">
              <w:rPr>
                <w:rFonts w:eastAsia="Times New Roman"/>
                <w:iCs/>
                <w:lang w:val="en-GB"/>
              </w:rPr>
              <w:t>Class name</w:t>
            </w:r>
          </w:p>
        </w:tc>
        <w:tc>
          <w:tcPr>
            <w:tcW w:w="749" w:type="pct"/>
            <w:tcBorders>
              <w:top w:val="single" w:sz="4" w:space="0" w:color="auto"/>
              <w:bottom w:val="single" w:sz="4" w:space="0" w:color="auto"/>
            </w:tcBorders>
            <w:shd w:val="clear" w:color="auto" w:fill="auto"/>
            <w:noWrap/>
            <w:hideMark/>
          </w:tcPr>
          <w:p w:rsidR="00B3424B" w:rsidRPr="00456014" w:rsidRDefault="00B3424B" w:rsidP="00DD6FDA">
            <w:pPr>
              <w:spacing w:before="0" w:after="0"/>
              <w:jc w:val="center"/>
              <w:rPr>
                <w:rFonts w:eastAsia="Times New Roman"/>
                <w:iCs/>
                <w:lang w:val="en-GB"/>
              </w:rPr>
            </w:pPr>
            <w:r w:rsidRPr="00456014">
              <w:rPr>
                <w:rFonts w:eastAsia="Times New Roman"/>
                <w:iCs/>
                <w:lang w:val="en-GB"/>
              </w:rPr>
              <w:t xml:space="preserve">Area </w:t>
            </w:r>
          </w:p>
          <w:p w:rsidR="00B3424B" w:rsidRPr="00456014" w:rsidRDefault="00B3424B" w:rsidP="00DD6FDA">
            <w:pPr>
              <w:spacing w:before="0" w:after="0"/>
              <w:jc w:val="center"/>
              <w:rPr>
                <w:rFonts w:eastAsia="Times New Roman"/>
                <w:iCs/>
              </w:rPr>
            </w:pPr>
            <w:r w:rsidRPr="00456014">
              <w:rPr>
                <w:rFonts w:eastAsia="Times New Roman"/>
                <w:iCs/>
                <w:lang w:val="en-GB"/>
              </w:rPr>
              <w:t>(</w:t>
            </w:r>
            <w:r w:rsidR="00BA7674" w:rsidRPr="00456014">
              <w:rPr>
                <w:rFonts w:eastAsia="Times New Roman"/>
                <w:iCs/>
                <w:lang w:val="en-GB"/>
              </w:rPr>
              <w:t>km</w:t>
            </w:r>
            <w:r w:rsidR="00BA7674" w:rsidRPr="00456014">
              <w:rPr>
                <w:rFonts w:eastAsia="Times New Roman"/>
                <w:iCs/>
                <w:vertAlign w:val="superscript"/>
                <w:lang w:val="en-GB"/>
              </w:rPr>
              <w:t>2</w:t>
            </w:r>
            <w:r w:rsidRPr="00456014">
              <w:rPr>
                <w:rFonts w:eastAsia="Times New Roman"/>
                <w:iCs/>
                <w:lang w:val="en-GB"/>
              </w:rPr>
              <w:t>)</w:t>
            </w:r>
          </w:p>
        </w:tc>
        <w:tc>
          <w:tcPr>
            <w:tcW w:w="611" w:type="pct"/>
            <w:tcBorders>
              <w:top w:val="single" w:sz="4" w:space="0" w:color="auto"/>
              <w:bottom w:val="single" w:sz="4" w:space="0" w:color="auto"/>
            </w:tcBorders>
            <w:shd w:val="clear" w:color="auto" w:fill="auto"/>
            <w:noWrap/>
            <w:hideMark/>
          </w:tcPr>
          <w:p w:rsidR="00B3424B" w:rsidRPr="00456014" w:rsidRDefault="00B3424B" w:rsidP="00DD6FDA">
            <w:pPr>
              <w:spacing w:before="0" w:after="0"/>
              <w:jc w:val="center"/>
              <w:rPr>
                <w:rFonts w:eastAsia="Times New Roman"/>
                <w:iCs/>
                <w:lang w:val="en-GB"/>
              </w:rPr>
            </w:pPr>
            <w:r w:rsidRPr="00456014">
              <w:rPr>
                <w:rFonts w:eastAsia="Times New Roman"/>
                <w:iCs/>
                <w:lang w:val="en-GB"/>
              </w:rPr>
              <w:t xml:space="preserve">Area </w:t>
            </w:r>
          </w:p>
          <w:p w:rsidR="00B3424B" w:rsidRPr="00456014" w:rsidRDefault="00B3424B" w:rsidP="00DD6FDA">
            <w:pPr>
              <w:spacing w:before="0" w:after="0"/>
              <w:jc w:val="center"/>
              <w:rPr>
                <w:rFonts w:eastAsia="Times New Roman"/>
                <w:iCs/>
              </w:rPr>
            </w:pPr>
            <w:r w:rsidRPr="00456014">
              <w:rPr>
                <w:rFonts w:eastAsia="Times New Roman"/>
                <w:iCs/>
                <w:lang w:val="en-GB"/>
              </w:rPr>
              <w:t>(%)</w:t>
            </w:r>
          </w:p>
        </w:tc>
        <w:tc>
          <w:tcPr>
            <w:tcW w:w="816" w:type="pct"/>
            <w:tcBorders>
              <w:top w:val="single" w:sz="4" w:space="0" w:color="auto"/>
              <w:bottom w:val="single" w:sz="4" w:space="0" w:color="auto"/>
            </w:tcBorders>
            <w:shd w:val="clear" w:color="auto" w:fill="auto"/>
          </w:tcPr>
          <w:p w:rsidR="00B3424B" w:rsidRPr="009847DC" w:rsidRDefault="00B3424B" w:rsidP="00DD6FDA">
            <w:pPr>
              <w:spacing w:before="0" w:after="0"/>
              <w:jc w:val="center"/>
              <w:rPr>
                <w:rFonts w:eastAsia="Times New Roman"/>
                <w:iCs/>
                <w:vertAlign w:val="superscript"/>
              </w:rPr>
            </w:pPr>
            <w:r w:rsidRPr="00456014">
              <w:rPr>
                <w:rFonts w:eastAsia="Times New Roman"/>
                <w:iCs/>
              </w:rPr>
              <w:t>Contribution</w:t>
            </w:r>
            <w:r w:rsidR="009847DC">
              <w:rPr>
                <w:rFonts w:eastAsia="Times New Roman"/>
                <w:iCs/>
                <w:vertAlign w:val="superscript"/>
              </w:rPr>
              <w:t>*</w:t>
            </w:r>
          </w:p>
        </w:tc>
        <w:tc>
          <w:tcPr>
            <w:tcW w:w="409" w:type="pct"/>
            <w:tcBorders>
              <w:top w:val="single" w:sz="4" w:space="0" w:color="auto"/>
              <w:bottom w:val="single" w:sz="4" w:space="0" w:color="auto"/>
            </w:tcBorders>
            <w:shd w:val="clear" w:color="auto" w:fill="auto"/>
          </w:tcPr>
          <w:p w:rsidR="00B3424B" w:rsidRPr="00456014" w:rsidRDefault="00B3424B" w:rsidP="00DD6FDA">
            <w:pPr>
              <w:spacing w:before="0" w:after="0"/>
              <w:jc w:val="center"/>
              <w:rPr>
                <w:rFonts w:eastAsia="Times New Roman"/>
                <w:iCs/>
              </w:rPr>
            </w:pPr>
            <w:r w:rsidRPr="00456014">
              <w:rPr>
                <w:rFonts w:eastAsia="Times New Roman"/>
                <w:iCs/>
              </w:rPr>
              <w:t>Rank</w:t>
            </w:r>
          </w:p>
        </w:tc>
        <w:tc>
          <w:tcPr>
            <w:tcW w:w="860" w:type="pct"/>
            <w:tcBorders>
              <w:top w:val="single" w:sz="4" w:space="0" w:color="auto"/>
              <w:bottom w:val="single" w:sz="4" w:space="0" w:color="auto"/>
            </w:tcBorders>
            <w:shd w:val="clear" w:color="auto" w:fill="auto"/>
          </w:tcPr>
          <w:p w:rsidR="00B3424B" w:rsidRPr="00456014" w:rsidRDefault="00B3424B" w:rsidP="00DD6FDA">
            <w:pPr>
              <w:spacing w:before="0" w:after="0"/>
              <w:jc w:val="center"/>
              <w:rPr>
                <w:rFonts w:eastAsia="Times New Roman"/>
                <w:iCs/>
              </w:rPr>
            </w:pPr>
            <w:r w:rsidRPr="00456014">
              <w:rPr>
                <w:rFonts w:eastAsia="Times New Roman"/>
                <w:iCs/>
              </w:rPr>
              <w:t>Relative weight (%)</w:t>
            </w:r>
          </w:p>
        </w:tc>
        <w:tc>
          <w:tcPr>
            <w:tcW w:w="675" w:type="pct"/>
            <w:tcBorders>
              <w:top w:val="single" w:sz="4" w:space="0" w:color="auto"/>
              <w:bottom w:val="single" w:sz="4" w:space="0" w:color="auto"/>
            </w:tcBorders>
            <w:shd w:val="clear" w:color="auto" w:fill="auto"/>
          </w:tcPr>
          <w:p w:rsidR="00B3424B" w:rsidRPr="00456014" w:rsidRDefault="00B3424B" w:rsidP="00DD6FDA">
            <w:pPr>
              <w:spacing w:before="0" w:after="0"/>
              <w:jc w:val="center"/>
              <w:rPr>
                <w:rFonts w:eastAsia="Times New Roman"/>
                <w:iCs/>
              </w:rPr>
            </w:pPr>
            <w:r w:rsidRPr="00456014">
              <w:rPr>
                <w:rFonts w:eastAsia="Times New Roman"/>
                <w:iCs/>
              </w:rPr>
              <w:t>CR</w:t>
            </w:r>
          </w:p>
        </w:tc>
      </w:tr>
      <w:tr w:rsidR="00B3424B" w:rsidRPr="00456014" w:rsidTr="00DD6FDA">
        <w:trPr>
          <w:trHeight w:val="315"/>
        </w:trPr>
        <w:tc>
          <w:tcPr>
            <w:tcW w:w="132" w:type="pct"/>
            <w:tcBorders>
              <w:top w:val="single" w:sz="4" w:space="0" w:color="auto"/>
            </w:tcBorders>
            <w:shd w:val="clear" w:color="auto" w:fill="auto"/>
          </w:tcPr>
          <w:p w:rsidR="00B3424B" w:rsidRPr="00456014" w:rsidRDefault="00B3424B" w:rsidP="00DD6FDA">
            <w:pPr>
              <w:spacing w:before="0" w:after="0"/>
              <w:rPr>
                <w:rFonts w:eastAsia="Times New Roman"/>
                <w:lang w:val="en-GB"/>
              </w:rPr>
            </w:pPr>
          </w:p>
        </w:tc>
        <w:tc>
          <w:tcPr>
            <w:tcW w:w="748" w:type="pct"/>
            <w:tcBorders>
              <w:top w:val="single" w:sz="4" w:space="0" w:color="auto"/>
            </w:tcBorders>
            <w:shd w:val="clear" w:color="auto" w:fill="auto"/>
            <w:noWrap/>
            <w:hideMark/>
          </w:tcPr>
          <w:p w:rsidR="00B3424B" w:rsidRPr="00456014" w:rsidRDefault="00B3424B" w:rsidP="00DD6FDA">
            <w:pPr>
              <w:spacing w:before="0" w:after="0"/>
              <w:rPr>
                <w:rFonts w:eastAsia="Times New Roman"/>
              </w:rPr>
            </w:pPr>
            <w:r w:rsidRPr="00456014">
              <w:rPr>
                <w:rFonts w:eastAsia="Times New Roman"/>
                <w:lang w:val="en-GB"/>
              </w:rPr>
              <w:t>Agriculture</w:t>
            </w:r>
          </w:p>
        </w:tc>
        <w:tc>
          <w:tcPr>
            <w:tcW w:w="749" w:type="pct"/>
            <w:tcBorders>
              <w:top w:val="single" w:sz="4" w:space="0" w:color="auto"/>
            </w:tcBorders>
            <w:shd w:val="clear" w:color="auto" w:fill="auto"/>
            <w:noWrap/>
            <w:hideMark/>
          </w:tcPr>
          <w:p w:rsidR="00B3424B" w:rsidRPr="00456014" w:rsidRDefault="00B3424B" w:rsidP="00DD6FDA">
            <w:pPr>
              <w:spacing w:before="0" w:after="0"/>
              <w:jc w:val="center"/>
              <w:rPr>
                <w:rFonts w:eastAsia="Times New Roman"/>
              </w:rPr>
            </w:pPr>
            <w:r w:rsidRPr="00456014">
              <w:rPr>
                <w:rFonts w:eastAsia="Times New Roman"/>
              </w:rPr>
              <w:t>1864.05</w:t>
            </w:r>
          </w:p>
        </w:tc>
        <w:tc>
          <w:tcPr>
            <w:tcW w:w="611" w:type="pct"/>
            <w:tcBorders>
              <w:top w:val="single" w:sz="4" w:space="0" w:color="auto"/>
            </w:tcBorders>
            <w:shd w:val="clear" w:color="auto" w:fill="auto"/>
            <w:noWrap/>
            <w:hideMark/>
          </w:tcPr>
          <w:p w:rsidR="00B3424B" w:rsidRPr="00456014" w:rsidRDefault="00B3424B" w:rsidP="00DD6FDA">
            <w:pPr>
              <w:spacing w:before="0" w:after="0"/>
              <w:jc w:val="center"/>
              <w:rPr>
                <w:rFonts w:eastAsia="Times New Roman"/>
              </w:rPr>
            </w:pPr>
            <w:r w:rsidRPr="00456014">
              <w:rPr>
                <w:rFonts w:eastAsia="Times New Roman"/>
              </w:rPr>
              <w:t>42.24</w:t>
            </w:r>
          </w:p>
        </w:tc>
        <w:tc>
          <w:tcPr>
            <w:tcW w:w="816" w:type="pct"/>
            <w:tcBorders>
              <w:top w:val="single" w:sz="4" w:space="0" w:color="auto"/>
            </w:tcBorders>
            <w:shd w:val="clear" w:color="auto" w:fill="auto"/>
          </w:tcPr>
          <w:p w:rsidR="00B3424B" w:rsidRPr="00456014" w:rsidRDefault="00B3424B" w:rsidP="00DD6FDA">
            <w:pPr>
              <w:spacing w:before="0" w:after="0"/>
              <w:jc w:val="center"/>
            </w:pPr>
            <w:r w:rsidRPr="00456014">
              <w:t xml:space="preserve">Low </w:t>
            </w:r>
          </w:p>
        </w:tc>
        <w:tc>
          <w:tcPr>
            <w:tcW w:w="409" w:type="pct"/>
            <w:tcBorders>
              <w:top w:val="single" w:sz="4" w:space="0" w:color="auto"/>
            </w:tcBorders>
            <w:shd w:val="clear" w:color="auto" w:fill="auto"/>
          </w:tcPr>
          <w:p w:rsidR="00B3424B" w:rsidRPr="00456014" w:rsidRDefault="00B3424B" w:rsidP="00DD6FDA">
            <w:pPr>
              <w:spacing w:before="0" w:after="0"/>
              <w:jc w:val="center"/>
            </w:pPr>
            <w:r>
              <w:t>2</w:t>
            </w:r>
          </w:p>
        </w:tc>
        <w:tc>
          <w:tcPr>
            <w:tcW w:w="860" w:type="pct"/>
            <w:tcBorders>
              <w:top w:val="single" w:sz="4" w:space="0" w:color="auto"/>
            </w:tcBorders>
            <w:shd w:val="clear" w:color="auto" w:fill="auto"/>
          </w:tcPr>
          <w:p w:rsidR="00B3424B" w:rsidRPr="00456014" w:rsidRDefault="00B3424B" w:rsidP="00DD6FDA">
            <w:pPr>
              <w:spacing w:before="0" w:after="0"/>
              <w:jc w:val="center"/>
            </w:pPr>
            <w:r w:rsidRPr="00456014">
              <w:t>7</w:t>
            </w:r>
          </w:p>
        </w:tc>
        <w:tc>
          <w:tcPr>
            <w:tcW w:w="675" w:type="pct"/>
            <w:vMerge w:val="restart"/>
            <w:tcBorders>
              <w:top w:val="single" w:sz="4" w:space="0" w:color="auto"/>
            </w:tcBorders>
            <w:shd w:val="clear" w:color="auto" w:fill="auto"/>
          </w:tcPr>
          <w:p w:rsidR="00B3424B" w:rsidRPr="00456014" w:rsidRDefault="00B3424B" w:rsidP="00DD6FDA">
            <w:pPr>
              <w:spacing w:before="0" w:after="0"/>
              <w:jc w:val="center"/>
            </w:pPr>
            <w:r w:rsidRPr="00456014">
              <w:t>0.062</w:t>
            </w:r>
          </w:p>
        </w:tc>
      </w:tr>
      <w:tr w:rsidR="00B3424B" w:rsidRPr="00456014" w:rsidTr="00DD6FDA">
        <w:trPr>
          <w:trHeight w:val="315"/>
        </w:trPr>
        <w:tc>
          <w:tcPr>
            <w:tcW w:w="132" w:type="pct"/>
            <w:shd w:val="clear" w:color="auto" w:fill="auto"/>
          </w:tcPr>
          <w:p w:rsidR="00B3424B" w:rsidRPr="00456014" w:rsidRDefault="00B3424B" w:rsidP="00DD6FDA">
            <w:pPr>
              <w:spacing w:before="0" w:after="0"/>
              <w:rPr>
                <w:rFonts w:eastAsia="Times New Roman"/>
                <w:lang w:val="en-GB"/>
              </w:rPr>
            </w:pPr>
          </w:p>
        </w:tc>
        <w:tc>
          <w:tcPr>
            <w:tcW w:w="748" w:type="pct"/>
            <w:shd w:val="clear" w:color="auto" w:fill="auto"/>
            <w:noWrap/>
            <w:hideMark/>
          </w:tcPr>
          <w:p w:rsidR="00B3424B" w:rsidRPr="00456014" w:rsidRDefault="00B3424B" w:rsidP="00DD6FDA">
            <w:pPr>
              <w:spacing w:before="0" w:after="0"/>
              <w:rPr>
                <w:rFonts w:eastAsia="Times New Roman"/>
              </w:rPr>
            </w:pPr>
            <w:r w:rsidRPr="00456014">
              <w:rPr>
                <w:rFonts w:eastAsia="Times New Roman"/>
                <w:lang w:val="en-GB"/>
              </w:rPr>
              <w:t>Bare land</w:t>
            </w:r>
          </w:p>
        </w:tc>
        <w:tc>
          <w:tcPr>
            <w:tcW w:w="749" w:type="pct"/>
            <w:shd w:val="clear" w:color="auto" w:fill="auto"/>
            <w:noWrap/>
            <w:hideMark/>
          </w:tcPr>
          <w:p w:rsidR="00B3424B" w:rsidRPr="00456014" w:rsidRDefault="00B3424B" w:rsidP="00DD6FDA">
            <w:pPr>
              <w:spacing w:before="0" w:after="0"/>
              <w:jc w:val="center"/>
              <w:rPr>
                <w:rFonts w:eastAsia="Times New Roman"/>
              </w:rPr>
            </w:pPr>
            <w:r w:rsidRPr="00456014">
              <w:rPr>
                <w:rFonts w:eastAsia="Times New Roman"/>
              </w:rPr>
              <w:t>265.32</w:t>
            </w:r>
          </w:p>
        </w:tc>
        <w:tc>
          <w:tcPr>
            <w:tcW w:w="611" w:type="pct"/>
            <w:shd w:val="clear" w:color="auto" w:fill="auto"/>
            <w:noWrap/>
            <w:hideMark/>
          </w:tcPr>
          <w:p w:rsidR="00B3424B" w:rsidRPr="00456014" w:rsidRDefault="00B3424B" w:rsidP="00DD6FDA">
            <w:pPr>
              <w:spacing w:before="0" w:after="0"/>
              <w:jc w:val="center"/>
              <w:rPr>
                <w:rFonts w:eastAsia="Times New Roman"/>
              </w:rPr>
            </w:pPr>
            <w:r w:rsidRPr="00456014">
              <w:rPr>
                <w:rFonts w:eastAsia="Times New Roman"/>
                <w:lang w:val="en-GB"/>
              </w:rPr>
              <w:t>6.01</w:t>
            </w:r>
          </w:p>
        </w:tc>
        <w:tc>
          <w:tcPr>
            <w:tcW w:w="816" w:type="pct"/>
            <w:shd w:val="clear" w:color="auto" w:fill="auto"/>
          </w:tcPr>
          <w:p w:rsidR="00B3424B" w:rsidRPr="00456014" w:rsidRDefault="00B3424B" w:rsidP="00DD6FDA">
            <w:pPr>
              <w:spacing w:before="0" w:after="0"/>
              <w:jc w:val="center"/>
            </w:pPr>
            <w:r w:rsidRPr="00456014">
              <w:t>Very low</w:t>
            </w:r>
          </w:p>
        </w:tc>
        <w:tc>
          <w:tcPr>
            <w:tcW w:w="409" w:type="pct"/>
            <w:shd w:val="clear" w:color="auto" w:fill="auto"/>
          </w:tcPr>
          <w:p w:rsidR="00B3424B" w:rsidRPr="00456014" w:rsidRDefault="00B3424B" w:rsidP="00DD6FDA">
            <w:pPr>
              <w:spacing w:before="0" w:after="0"/>
              <w:jc w:val="center"/>
            </w:pPr>
            <w:r>
              <w:t>1</w:t>
            </w:r>
          </w:p>
        </w:tc>
        <w:tc>
          <w:tcPr>
            <w:tcW w:w="860" w:type="pct"/>
            <w:shd w:val="clear" w:color="auto" w:fill="auto"/>
          </w:tcPr>
          <w:p w:rsidR="00B3424B" w:rsidRPr="00456014" w:rsidRDefault="00B3424B" w:rsidP="00DD6FDA">
            <w:pPr>
              <w:spacing w:before="0" w:after="0"/>
              <w:jc w:val="center"/>
            </w:pPr>
            <w:r w:rsidRPr="00456014">
              <w:t>3</w:t>
            </w:r>
          </w:p>
        </w:tc>
        <w:tc>
          <w:tcPr>
            <w:tcW w:w="675" w:type="pct"/>
            <w:vMerge/>
            <w:shd w:val="clear" w:color="auto" w:fill="auto"/>
          </w:tcPr>
          <w:p w:rsidR="00B3424B" w:rsidRPr="00456014" w:rsidRDefault="00B3424B" w:rsidP="00DD6FDA">
            <w:pPr>
              <w:spacing w:before="0" w:after="0"/>
              <w:jc w:val="center"/>
            </w:pPr>
          </w:p>
        </w:tc>
      </w:tr>
      <w:tr w:rsidR="00B3424B" w:rsidRPr="00456014" w:rsidTr="00DD6FDA">
        <w:trPr>
          <w:trHeight w:val="315"/>
        </w:trPr>
        <w:tc>
          <w:tcPr>
            <w:tcW w:w="132" w:type="pct"/>
            <w:shd w:val="clear" w:color="auto" w:fill="auto"/>
          </w:tcPr>
          <w:p w:rsidR="00B3424B" w:rsidRPr="00456014" w:rsidRDefault="00B3424B" w:rsidP="00DD6FDA">
            <w:pPr>
              <w:spacing w:before="0" w:after="0"/>
              <w:rPr>
                <w:rFonts w:eastAsia="Times New Roman"/>
                <w:lang w:val="en-GB"/>
              </w:rPr>
            </w:pPr>
          </w:p>
        </w:tc>
        <w:tc>
          <w:tcPr>
            <w:tcW w:w="748" w:type="pct"/>
            <w:shd w:val="clear" w:color="auto" w:fill="auto"/>
            <w:noWrap/>
            <w:hideMark/>
          </w:tcPr>
          <w:p w:rsidR="00B3424B" w:rsidRPr="00456014" w:rsidRDefault="00B3424B" w:rsidP="00DD6FDA">
            <w:pPr>
              <w:spacing w:before="0" w:after="0"/>
              <w:rPr>
                <w:rFonts w:eastAsia="Times New Roman"/>
              </w:rPr>
            </w:pPr>
            <w:r w:rsidRPr="00456014">
              <w:rPr>
                <w:rFonts w:eastAsia="Times New Roman"/>
                <w:lang w:val="en-GB"/>
              </w:rPr>
              <w:t>Bush land</w:t>
            </w:r>
          </w:p>
        </w:tc>
        <w:tc>
          <w:tcPr>
            <w:tcW w:w="749" w:type="pct"/>
            <w:shd w:val="clear" w:color="auto" w:fill="auto"/>
            <w:noWrap/>
            <w:hideMark/>
          </w:tcPr>
          <w:p w:rsidR="00B3424B" w:rsidRPr="00456014" w:rsidRDefault="00B3424B" w:rsidP="00DD6FDA">
            <w:pPr>
              <w:spacing w:before="0" w:after="0"/>
              <w:jc w:val="center"/>
              <w:rPr>
                <w:rFonts w:eastAsia="Times New Roman"/>
              </w:rPr>
            </w:pPr>
            <w:r w:rsidRPr="00456014">
              <w:rPr>
                <w:rFonts w:eastAsia="Times New Roman"/>
              </w:rPr>
              <w:t>837.94</w:t>
            </w:r>
          </w:p>
        </w:tc>
        <w:tc>
          <w:tcPr>
            <w:tcW w:w="611" w:type="pct"/>
            <w:shd w:val="clear" w:color="auto" w:fill="auto"/>
            <w:noWrap/>
            <w:hideMark/>
          </w:tcPr>
          <w:p w:rsidR="00B3424B" w:rsidRPr="00456014" w:rsidRDefault="00B3424B" w:rsidP="00DD6FDA">
            <w:pPr>
              <w:spacing w:before="0" w:after="0"/>
              <w:jc w:val="center"/>
              <w:rPr>
                <w:rFonts w:eastAsia="Times New Roman"/>
              </w:rPr>
            </w:pPr>
            <w:r w:rsidRPr="00456014">
              <w:rPr>
                <w:rFonts w:eastAsia="Times New Roman"/>
                <w:lang w:val="en-GB"/>
              </w:rPr>
              <w:t>18.99</w:t>
            </w:r>
          </w:p>
        </w:tc>
        <w:tc>
          <w:tcPr>
            <w:tcW w:w="816" w:type="pct"/>
            <w:shd w:val="clear" w:color="auto" w:fill="auto"/>
          </w:tcPr>
          <w:p w:rsidR="00B3424B" w:rsidRPr="00456014" w:rsidRDefault="00B3424B" w:rsidP="00DD6FDA">
            <w:pPr>
              <w:spacing w:before="0" w:after="0"/>
              <w:jc w:val="center"/>
            </w:pPr>
            <w:r w:rsidRPr="00456014">
              <w:t>High</w:t>
            </w:r>
          </w:p>
        </w:tc>
        <w:tc>
          <w:tcPr>
            <w:tcW w:w="409" w:type="pct"/>
            <w:shd w:val="clear" w:color="auto" w:fill="auto"/>
          </w:tcPr>
          <w:p w:rsidR="00B3424B" w:rsidRPr="00456014" w:rsidRDefault="00B3424B" w:rsidP="00DD6FDA">
            <w:pPr>
              <w:spacing w:before="0" w:after="0"/>
              <w:jc w:val="center"/>
            </w:pPr>
            <w:r>
              <w:t>4</w:t>
            </w:r>
          </w:p>
        </w:tc>
        <w:tc>
          <w:tcPr>
            <w:tcW w:w="860" w:type="pct"/>
            <w:shd w:val="clear" w:color="auto" w:fill="auto"/>
          </w:tcPr>
          <w:p w:rsidR="00B3424B" w:rsidRPr="00456014" w:rsidRDefault="00B3424B" w:rsidP="00DD6FDA">
            <w:pPr>
              <w:spacing w:before="0" w:after="0"/>
              <w:jc w:val="center"/>
            </w:pPr>
            <w:r w:rsidRPr="00456014">
              <w:t>26</w:t>
            </w:r>
          </w:p>
        </w:tc>
        <w:tc>
          <w:tcPr>
            <w:tcW w:w="675" w:type="pct"/>
            <w:vMerge/>
            <w:shd w:val="clear" w:color="auto" w:fill="auto"/>
          </w:tcPr>
          <w:p w:rsidR="00B3424B" w:rsidRPr="00456014" w:rsidRDefault="00B3424B" w:rsidP="00DD6FDA">
            <w:pPr>
              <w:spacing w:before="0" w:after="0"/>
              <w:jc w:val="center"/>
            </w:pPr>
          </w:p>
        </w:tc>
      </w:tr>
      <w:tr w:rsidR="00B3424B" w:rsidRPr="00456014" w:rsidTr="00DD6FDA">
        <w:trPr>
          <w:trHeight w:val="315"/>
        </w:trPr>
        <w:tc>
          <w:tcPr>
            <w:tcW w:w="132" w:type="pct"/>
            <w:shd w:val="clear" w:color="auto" w:fill="auto"/>
          </w:tcPr>
          <w:p w:rsidR="00B3424B" w:rsidRPr="00456014" w:rsidRDefault="00B3424B" w:rsidP="00DD6FDA">
            <w:pPr>
              <w:spacing w:before="0" w:after="0"/>
              <w:rPr>
                <w:rFonts w:eastAsia="Times New Roman"/>
                <w:lang w:val="en-GB"/>
              </w:rPr>
            </w:pPr>
          </w:p>
        </w:tc>
        <w:tc>
          <w:tcPr>
            <w:tcW w:w="748" w:type="pct"/>
            <w:shd w:val="clear" w:color="auto" w:fill="auto"/>
            <w:noWrap/>
            <w:hideMark/>
          </w:tcPr>
          <w:p w:rsidR="00B3424B" w:rsidRPr="00456014" w:rsidRDefault="00B3424B" w:rsidP="00DD6FDA">
            <w:pPr>
              <w:spacing w:before="0" w:after="0"/>
              <w:rPr>
                <w:rFonts w:eastAsia="Times New Roman"/>
              </w:rPr>
            </w:pPr>
            <w:r w:rsidRPr="00456014">
              <w:rPr>
                <w:rFonts w:eastAsia="Times New Roman"/>
                <w:lang w:val="en-GB"/>
              </w:rPr>
              <w:t>Forest</w:t>
            </w:r>
          </w:p>
        </w:tc>
        <w:tc>
          <w:tcPr>
            <w:tcW w:w="749" w:type="pct"/>
            <w:shd w:val="clear" w:color="auto" w:fill="auto"/>
            <w:noWrap/>
            <w:hideMark/>
          </w:tcPr>
          <w:p w:rsidR="00B3424B" w:rsidRPr="00456014" w:rsidRDefault="00B3424B" w:rsidP="00DD6FDA">
            <w:pPr>
              <w:spacing w:before="0" w:after="0"/>
              <w:jc w:val="center"/>
              <w:rPr>
                <w:rFonts w:eastAsia="Times New Roman"/>
              </w:rPr>
            </w:pPr>
            <w:r w:rsidRPr="00456014">
              <w:rPr>
                <w:rFonts w:eastAsia="Times New Roman"/>
              </w:rPr>
              <w:t>483.45</w:t>
            </w:r>
          </w:p>
        </w:tc>
        <w:tc>
          <w:tcPr>
            <w:tcW w:w="611" w:type="pct"/>
            <w:shd w:val="clear" w:color="auto" w:fill="auto"/>
            <w:noWrap/>
            <w:hideMark/>
          </w:tcPr>
          <w:p w:rsidR="00B3424B" w:rsidRPr="00456014" w:rsidRDefault="00B3424B" w:rsidP="00DD6FDA">
            <w:pPr>
              <w:spacing w:before="0" w:after="0"/>
              <w:jc w:val="center"/>
              <w:rPr>
                <w:rFonts w:eastAsia="Times New Roman"/>
              </w:rPr>
            </w:pPr>
            <w:r w:rsidRPr="00456014">
              <w:rPr>
                <w:rFonts w:eastAsia="Times New Roman"/>
                <w:lang w:val="en-GB"/>
              </w:rPr>
              <w:t>10.95</w:t>
            </w:r>
          </w:p>
        </w:tc>
        <w:tc>
          <w:tcPr>
            <w:tcW w:w="816" w:type="pct"/>
            <w:shd w:val="clear" w:color="auto" w:fill="auto"/>
          </w:tcPr>
          <w:p w:rsidR="00B3424B" w:rsidRPr="00456014" w:rsidRDefault="00B3424B" w:rsidP="00DD6FDA">
            <w:pPr>
              <w:spacing w:before="0" w:after="0"/>
              <w:jc w:val="center"/>
            </w:pPr>
            <w:r w:rsidRPr="00456014">
              <w:t>Very high</w:t>
            </w:r>
          </w:p>
        </w:tc>
        <w:tc>
          <w:tcPr>
            <w:tcW w:w="409" w:type="pct"/>
            <w:shd w:val="clear" w:color="auto" w:fill="auto"/>
          </w:tcPr>
          <w:p w:rsidR="00B3424B" w:rsidRPr="00456014" w:rsidRDefault="00B3424B" w:rsidP="00DD6FDA">
            <w:pPr>
              <w:spacing w:before="0" w:after="0"/>
              <w:jc w:val="center"/>
            </w:pPr>
            <w:r>
              <w:t>5</w:t>
            </w:r>
          </w:p>
        </w:tc>
        <w:tc>
          <w:tcPr>
            <w:tcW w:w="860" w:type="pct"/>
            <w:shd w:val="clear" w:color="auto" w:fill="auto"/>
          </w:tcPr>
          <w:p w:rsidR="00B3424B" w:rsidRPr="00456014" w:rsidRDefault="00B3424B" w:rsidP="00DD6FDA">
            <w:pPr>
              <w:spacing w:before="0" w:after="0"/>
              <w:jc w:val="center"/>
            </w:pPr>
            <w:r w:rsidRPr="00456014">
              <w:t>49</w:t>
            </w:r>
          </w:p>
        </w:tc>
        <w:tc>
          <w:tcPr>
            <w:tcW w:w="675" w:type="pct"/>
            <w:vMerge/>
            <w:shd w:val="clear" w:color="auto" w:fill="auto"/>
          </w:tcPr>
          <w:p w:rsidR="00B3424B" w:rsidRPr="00456014" w:rsidRDefault="00B3424B" w:rsidP="00DD6FDA">
            <w:pPr>
              <w:spacing w:before="0" w:after="0"/>
              <w:jc w:val="center"/>
            </w:pPr>
          </w:p>
        </w:tc>
      </w:tr>
      <w:tr w:rsidR="00B3424B" w:rsidRPr="00456014" w:rsidTr="00DD6FDA">
        <w:trPr>
          <w:trHeight w:val="315"/>
        </w:trPr>
        <w:tc>
          <w:tcPr>
            <w:tcW w:w="132" w:type="pct"/>
            <w:shd w:val="clear" w:color="auto" w:fill="auto"/>
          </w:tcPr>
          <w:p w:rsidR="00B3424B" w:rsidRPr="00456014" w:rsidRDefault="00B3424B" w:rsidP="00DD6FDA">
            <w:pPr>
              <w:spacing w:before="0" w:after="0"/>
              <w:rPr>
                <w:rFonts w:eastAsia="Times New Roman"/>
                <w:lang w:val="en-GB"/>
              </w:rPr>
            </w:pPr>
          </w:p>
        </w:tc>
        <w:tc>
          <w:tcPr>
            <w:tcW w:w="748" w:type="pct"/>
            <w:shd w:val="clear" w:color="auto" w:fill="auto"/>
            <w:noWrap/>
            <w:hideMark/>
          </w:tcPr>
          <w:p w:rsidR="00B3424B" w:rsidRPr="00456014" w:rsidRDefault="00B3424B" w:rsidP="00DD6FDA">
            <w:pPr>
              <w:spacing w:before="0" w:after="0"/>
              <w:rPr>
                <w:rFonts w:eastAsia="Times New Roman"/>
              </w:rPr>
            </w:pPr>
            <w:r w:rsidRPr="00456014">
              <w:rPr>
                <w:rFonts w:eastAsia="Times New Roman"/>
                <w:lang w:val="en-GB"/>
              </w:rPr>
              <w:t>Grass land</w:t>
            </w:r>
          </w:p>
        </w:tc>
        <w:tc>
          <w:tcPr>
            <w:tcW w:w="749" w:type="pct"/>
            <w:shd w:val="clear" w:color="auto" w:fill="auto"/>
            <w:noWrap/>
            <w:hideMark/>
          </w:tcPr>
          <w:p w:rsidR="00B3424B" w:rsidRPr="00456014" w:rsidRDefault="00B3424B" w:rsidP="00DD6FDA">
            <w:pPr>
              <w:spacing w:before="0" w:after="0"/>
              <w:jc w:val="center"/>
              <w:rPr>
                <w:rFonts w:eastAsia="Times New Roman"/>
              </w:rPr>
            </w:pPr>
            <w:r w:rsidRPr="00456014">
              <w:rPr>
                <w:rFonts w:eastAsia="Times New Roman"/>
              </w:rPr>
              <w:t>326.44</w:t>
            </w:r>
          </w:p>
        </w:tc>
        <w:tc>
          <w:tcPr>
            <w:tcW w:w="611" w:type="pct"/>
            <w:shd w:val="clear" w:color="auto" w:fill="auto"/>
            <w:noWrap/>
            <w:hideMark/>
          </w:tcPr>
          <w:p w:rsidR="00B3424B" w:rsidRPr="00456014" w:rsidRDefault="00B3424B" w:rsidP="00DD6FDA">
            <w:pPr>
              <w:spacing w:before="0" w:after="0"/>
              <w:jc w:val="center"/>
              <w:rPr>
                <w:rFonts w:eastAsia="Times New Roman"/>
              </w:rPr>
            </w:pPr>
            <w:r w:rsidRPr="00456014">
              <w:rPr>
                <w:rFonts w:eastAsia="Times New Roman"/>
                <w:lang w:val="en-GB"/>
              </w:rPr>
              <w:t>7.40</w:t>
            </w:r>
          </w:p>
        </w:tc>
        <w:tc>
          <w:tcPr>
            <w:tcW w:w="816" w:type="pct"/>
            <w:shd w:val="clear" w:color="auto" w:fill="auto"/>
          </w:tcPr>
          <w:p w:rsidR="00B3424B" w:rsidRPr="00456014" w:rsidRDefault="00B3424B" w:rsidP="00DD6FDA">
            <w:pPr>
              <w:spacing w:before="0" w:after="0"/>
              <w:jc w:val="center"/>
            </w:pPr>
            <w:r w:rsidRPr="00456014">
              <w:t xml:space="preserve">Moderate </w:t>
            </w:r>
          </w:p>
        </w:tc>
        <w:tc>
          <w:tcPr>
            <w:tcW w:w="409" w:type="pct"/>
            <w:shd w:val="clear" w:color="auto" w:fill="auto"/>
          </w:tcPr>
          <w:p w:rsidR="00B3424B" w:rsidRPr="00456014" w:rsidRDefault="00B3424B" w:rsidP="00DD6FDA">
            <w:pPr>
              <w:spacing w:before="0" w:after="0"/>
              <w:jc w:val="center"/>
            </w:pPr>
            <w:r w:rsidRPr="00456014">
              <w:t>3</w:t>
            </w:r>
          </w:p>
        </w:tc>
        <w:tc>
          <w:tcPr>
            <w:tcW w:w="860" w:type="pct"/>
            <w:shd w:val="clear" w:color="auto" w:fill="auto"/>
          </w:tcPr>
          <w:p w:rsidR="00B3424B" w:rsidRPr="00456014" w:rsidRDefault="00B3424B" w:rsidP="00DD6FDA">
            <w:pPr>
              <w:spacing w:before="0" w:after="0"/>
              <w:jc w:val="center"/>
            </w:pPr>
            <w:r w:rsidRPr="00456014">
              <w:t>15</w:t>
            </w:r>
          </w:p>
        </w:tc>
        <w:tc>
          <w:tcPr>
            <w:tcW w:w="675" w:type="pct"/>
            <w:vMerge/>
            <w:shd w:val="clear" w:color="auto" w:fill="auto"/>
          </w:tcPr>
          <w:p w:rsidR="00B3424B" w:rsidRPr="00456014" w:rsidRDefault="00B3424B" w:rsidP="00DD6FDA">
            <w:pPr>
              <w:spacing w:before="0" w:after="0"/>
              <w:jc w:val="center"/>
            </w:pPr>
          </w:p>
        </w:tc>
      </w:tr>
      <w:tr w:rsidR="00B3424B" w:rsidRPr="00456014" w:rsidTr="00DD6FDA">
        <w:trPr>
          <w:trHeight w:val="315"/>
        </w:trPr>
        <w:tc>
          <w:tcPr>
            <w:tcW w:w="132" w:type="pct"/>
            <w:shd w:val="clear" w:color="auto" w:fill="auto"/>
          </w:tcPr>
          <w:p w:rsidR="00B3424B" w:rsidRPr="00456014" w:rsidRDefault="00B3424B" w:rsidP="00DD6FDA">
            <w:pPr>
              <w:spacing w:before="0" w:after="0"/>
              <w:rPr>
                <w:rFonts w:eastAsia="Times New Roman"/>
                <w:lang w:val="en-GB"/>
              </w:rPr>
            </w:pPr>
          </w:p>
        </w:tc>
        <w:tc>
          <w:tcPr>
            <w:tcW w:w="748" w:type="pct"/>
            <w:shd w:val="clear" w:color="auto" w:fill="auto"/>
            <w:noWrap/>
            <w:hideMark/>
          </w:tcPr>
          <w:p w:rsidR="00B3424B" w:rsidRPr="00456014" w:rsidRDefault="00B3424B" w:rsidP="00DD6FDA">
            <w:pPr>
              <w:spacing w:before="0" w:after="0"/>
              <w:rPr>
                <w:rFonts w:eastAsia="Times New Roman"/>
              </w:rPr>
            </w:pPr>
            <w:r w:rsidRPr="00456014">
              <w:rPr>
                <w:rFonts w:eastAsia="Times New Roman"/>
                <w:lang w:val="en-GB"/>
              </w:rPr>
              <w:t>Settlement</w:t>
            </w:r>
          </w:p>
        </w:tc>
        <w:tc>
          <w:tcPr>
            <w:tcW w:w="749" w:type="pct"/>
            <w:shd w:val="clear" w:color="auto" w:fill="auto"/>
            <w:noWrap/>
            <w:hideMark/>
          </w:tcPr>
          <w:p w:rsidR="00B3424B" w:rsidRPr="00456014" w:rsidRDefault="00B3424B" w:rsidP="00DD6FDA">
            <w:pPr>
              <w:spacing w:before="0" w:after="0"/>
              <w:jc w:val="center"/>
              <w:rPr>
                <w:rFonts w:eastAsia="Times New Roman"/>
              </w:rPr>
            </w:pPr>
            <w:r w:rsidRPr="00456014">
              <w:rPr>
                <w:rFonts w:eastAsia="Times New Roman"/>
              </w:rPr>
              <w:t>635.90</w:t>
            </w:r>
          </w:p>
        </w:tc>
        <w:tc>
          <w:tcPr>
            <w:tcW w:w="611" w:type="pct"/>
            <w:shd w:val="clear" w:color="auto" w:fill="auto"/>
            <w:noWrap/>
            <w:hideMark/>
          </w:tcPr>
          <w:p w:rsidR="00B3424B" w:rsidRPr="00456014" w:rsidRDefault="00B3424B" w:rsidP="00DD6FDA">
            <w:pPr>
              <w:spacing w:before="0" w:after="0"/>
              <w:jc w:val="center"/>
              <w:rPr>
                <w:rFonts w:eastAsia="Times New Roman"/>
              </w:rPr>
            </w:pPr>
            <w:r w:rsidRPr="00456014">
              <w:rPr>
                <w:rFonts w:eastAsia="Times New Roman"/>
                <w:lang w:val="en-GB"/>
              </w:rPr>
              <w:t>14.41</w:t>
            </w:r>
          </w:p>
        </w:tc>
        <w:tc>
          <w:tcPr>
            <w:tcW w:w="816" w:type="pct"/>
            <w:shd w:val="clear" w:color="auto" w:fill="auto"/>
          </w:tcPr>
          <w:p w:rsidR="00B3424B" w:rsidRPr="00456014" w:rsidRDefault="00B3424B" w:rsidP="00DD6FDA">
            <w:pPr>
              <w:spacing w:before="0" w:after="0"/>
              <w:jc w:val="center"/>
            </w:pPr>
            <w:r w:rsidRPr="00456014">
              <w:t>Very low</w:t>
            </w:r>
          </w:p>
        </w:tc>
        <w:tc>
          <w:tcPr>
            <w:tcW w:w="409" w:type="pct"/>
            <w:shd w:val="clear" w:color="auto" w:fill="auto"/>
          </w:tcPr>
          <w:p w:rsidR="00B3424B" w:rsidRPr="00456014" w:rsidRDefault="00B3424B" w:rsidP="00DD6FDA">
            <w:pPr>
              <w:spacing w:before="0" w:after="0"/>
              <w:jc w:val="center"/>
            </w:pPr>
            <w:r>
              <w:t>1</w:t>
            </w:r>
          </w:p>
        </w:tc>
        <w:tc>
          <w:tcPr>
            <w:tcW w:w="860" w:type="pct"/>
            <w:shd w:val="clear" w:color="auto" w:fill="auto"/>
          </w:tcPr>
          <w:p w:rsidR="00B3424B" w:rsidRPr="00456014" w:rsidRDefault="00B3424B" w:rsidP="00DD6FDA">
            <w:pPr>
              <w:spacing w:before="0" w:after="0"/>
              <w:jc w:val="center"/>
            </w:pPr>
            <w:r w:rsidRPr="00456014">
              <w:t>3</w:t>
            </w:r>
          </w:p>
        </w:tc>
        <w:tc>
          <w:tcPr>
            <w:tcW w:w="675" w:type="pct"/>
            <w:vMerge/>
            <w:shd w:val="clear" w:color="auto" w:fill="auto"/>
          </w:tcPr>
          <w:p w:rsidR="00B3424B" w:rsidRPr="00456014" w:rsidRDefault="00B3424B" w:rsidP="00DD6FDA">
            <w:pPr>
              <w:spacing w:before="0" w:after="0"/>
              <w:jc w:val="center"/>
            </w:pPr>
          </w:p>
        </w:tc>
      </w:tr>
    </w:tbl>
    <w:p w:rsidR="00B3424B" w:rsidRDefault="009847DC" w:rsidP="00961DEE">
      <w:r>
        <w:t xml:space="preserve">* </w:t>
      </w:r>
      <w:r w:rsidR="00B3424B" w:rsidRPr="00456014">
        <w:rPr>
          <w:rStyle w:val="FootnoteReference"/>
        </w:rPr>
        <w:fldChar w:fldCharType="begin" w:fldLock="1"/>
      </w:r>
      <w:r w:rsidR="00A309A8">
        <w:instrText>ADDIN CSL_CITATION {"citationItems":[{"id":"ITEM-1","itemData":{"author":[{"dropping-particle":"","family":"Serur","given":"Abdulkerim Bedewi","non-dropping-particle":"","parse-names":false,"suffix":""},{"dropping-particle":"","family":"Sarma","given":"Arup Kumar","non-dropping-particle":"","parse-names":false,"suffix":""}],"container-title":"International journal of innovative research in science, Engineering and Technology","id":"ITEM-1","issue":"6","issued":{"date-parts":[["2016"]]},"page":"9704-9712","title":"Impact of climate change on water availability in the Weyib River Basin, Southeastern Ethiopia","type":"article-journal","volume":"5"},"uris":["http://www.mendeley.com/documents/?uuid=69c0ddab-aa34-461b-a3f6-8d224682296a","http://www.mendeley.com/documents/?uuid=a9d7ddba-f8b7-42c3-8b53-bd7560930015"]},{"id":"ITEM-2","itemData":{"author":[{"dropping-particle":"","family":"Lagesse","given":"Abel","non-dropping-particle":"","parse-names":false,"suffix":""}],"id":"ITEM-2","issued":{"date-parts":[["2017"]]},"number-of-pages":"1-108","publisher":"Addis Abeba University","title":"Hydrological trend, variability and time series modeling of Weyib Catchment","type":"thesis"},"uris":["http://www.mendeley.com/documents/?uuid=8f89ba8d-e6e0-4c41-94c8-9bdaed16c6f9","http://www.mendeley.com/documents/?uuid=c86a6f1f-60aa-4207-9e6a-58c0771b1666"]},{"id":"ITEM-3","itemData":{"author":[{"dropping-particle":"","family":"Tegegn","given":"Kassa","non-dropping-particle":"","parse-names":false,"suffix":""}],"id":"ITEM-3","issued":{"date-parts":[["2015"]]},"title":"Assessment of groundwater potential zones in Baro Basin using GIS and Remote sensing","type":"article-journal"},"uris":["http://www.mendeley.com/documents/?uuid=4832f842-a1d9-4084-a40b-bdff4a0bf1a3"]}],"mendeley":{"formattedCitation":"(Lagesse, 2017; Serur &amp; Sarma, 2016b; Tegegn, 2015)","manualFormatting":"(Lagesse, 2017; Serur and Sarma, 2016b; Tegegn, 2015)","plainTextFormattedCitation":"(Lagesse, 2017; Serur &amp; Sarma, 2016b; Tegegn, 2015)","previouslyFormattedCitation":"(Lagesse, 2017; Serur &amp; Sarma, 2016b; Tegegn, 2015)"},"properties":{"noteIndex":0},"schema":"https://github.com/citation-style-language/schema/raw/master/csl-citation.json"}</w:instrText>
      </w:r>
      <w:r w:rsidR="00B3424B" w:rsidRPr="00456014">
        <w:rPr>
          <w:rStyle w:val="FootnoteReference"/>
        </w:rPr>
        <w:fldChar w:fldCharType="separate"/>
      </w:r>
      <w:r w:rsidR="00B3424B" w:rsidRPr="0038470B">
        <w:rPr>
          <w:noProof/>
        </w:rPr>
        <w:t xml:space="preserve">(Lagesse, 2017; Serur </w:t>
      </w:r>
      <w:r w:rsidR="00B457F8">
        <w:rPr>
          <w:noProof/>
        </w:rPr>
        <w:t>and</w:t>
      </w:r>
      <w:r w:rsidR="00B3424B" w:rsidRPr="0038470B">
        <w:rPr>
          <w:noProof/>
        </w:rPr>
        <w:t xml:space="preserve"> Sarma, 2016b; Tegegn, 2015)</w:t>
      </w:r>
      <w:r w:rsidR="00B3424B" w:rsidRPr="00456014">
        <w:rPr>
          <w:rStyle w:val="FootnoteReference"/>
        </w:rPr>
        <w:fldChar w:fldCharType="end"/>
      </w:r>
    </w:p>
    <w:p w:rsidR="00560FD5" w:rsidRDefault="00E4729A" w:rsidP="00961DEE">
      <w:r w:rsidRPr="00456014">
        <w:t xml:space="preserve">The accuracy </w:t>
      </w:r>
      <w:r w:rsidR="00AF4894">
        <w:t xml:space="preserve">assessment </w:t>
      </w:r>
      <w:r w:rsidRPr="00456014">
        <w:t xml:space="preserve">of classified LU/LC </w:t>
      </w:r>
      <w:r w:rsidR="00FD7090" w:rsidRPr="00456014">
        <w:t xml:space="preserve">map </w:t>
      </w:r>
      <w:r w:rsidR="00621AF8">
        <w:t xml:space="preserve">was </w:t>
      </w:r>
      <w:r w:rsidR="00AF4894">
        <w:t xml:space="preserve">accomplished </w:t>
      </w:r>
      <w:r w:rsidR="000C092E">
        <w:t xml:space="preserve">by </w:t>
      </w:r>
      <w:r w:rsidRPr="00456014">
        <w:t>using the covariance matrix</w:t>
      </w:r>
      <w:r w:rsidR="00C93283">
        <w:t>.</w:t>
      </w:r>
      <w:r w:rsidR="009847DC">
        <w:t xml:space="preserve"> </w:t>
      </w:r>
    </w:p>
    <w:p w:rsidR="00E4729A" w:rsidRPr="00456014" w:rsidRDefault="00C93283" w:rsidP="00961DEE">
      <w:pPr>
        <w:rPr>
          <w:rFonts w:eastAsia="Times New Roman"/>
        </w:rPr>
      </w:pPr>
      <w:r w:rsidRPr="00456014">
        <w:lastRenderedPageBreak/>
        <w:t>T</w:t>
      </w:r>
      <w:r w:rsidR="00761A93" w:rsidRPr="00456014">
        <w:t xml:space="preserve">he </w:t>
      </w:r>
      <w:r w:rsidR="00E4729A" w:rsidRPr="00456014">
        <w:t>overall</w:t>
      </w:r>
      <w:r w:rsidR="003511C6" w:rsidRPr="00456014">
        <w:t xml:space="preserve"> accuracy</w:t>
      </w:r>
      <w:r w:rsidR="00761A93" w:rsidRPr="00456014">
        <w:t>,</w:t>
      </w:r>
      <w:r w:rsidR="003511C6" w:rsidRPr="00456014">
        <w:t xml:space="preserve"> producer’s accuracy</w:t>
      </w:r>
      <w:r w:rsidR="00FD7090" w:rsidRPr="00456014">
        <w:t xml:space="preserve"> (PA)</w:t>
      </w:r>
      <w:r w:rsidR="003511C6" w:rsidRPr="00456014">
        <w:t>, user’s accuracy</w:t>
      </w:r>
      <w:r w:rsidR="001D7C8D" w:rsidRPr="00456014">
        <w:t xml:space="preserve"> (UA)</w:t>
      </w:r>
      <w:r w:rsidR="003511C6" w:rsidRPr="00456014">
        <w:t>, and Kappa coefficient</w:t>
      </w:r>
      <w:r w:rsidR="001D7C8D" w:rsidRPr="00456014">
        <w:t xml:space="preserve"> (K)</w:t>
      </w:r>
      <w:r>
        <w:t xml:space="preserve"> was tested</w:t>
      </w:r>
      <w:r w:rsidR="003511C6" w:rsidRPr="00456014">
        <w:t>.</w:t>
      </w:r>
      <w:r w:rsidR="004A062C" w:rsidRPr="00456014">
        <w:t xml:space="preserve"> Thus, t</w:t>
      </w:r>
      <w:r w:rsidR="00E4729A" w:rsidRPr="00456014">
        <w:t xml:space="preserve">he classified LU/LC shows </w:t>
      </w:r>
      <w:r w:rsidR="001D7C8D" w:rsidRPr="00456014">
        <w:t>91.5</w:t>
      </w:r>
      <w:r w:rsidR="004A062C" w:rsidRPr="00456014">
        <w:t xml:space="preserve">% </w:t>
      </w:r>
      <w:r w:rsidR="00E4729A" w:rsidRPr="00456014">
        <w:t xml:space="preserve">overall </w:t>
      </w:r>
      <w:r w:rsidR="001D7C8D" w:rsidRPr="00456014">
        <w:t xml:space="preserve">accuracy </w:t>
      </w:r>
      <w:r w:rsidR="002F5FF3" w:rsidRPr="00456014">
        <w:t>and</w:t>
      </w:r>
      <w:r w:rsidR="00E4729A" w:rsidRPr="00456014">
        <w:t xml:space="preserve"> Kappa accuracy </w:t>
      </w:r>
      <w:r w:rsidR="004A062C" w:rsidRPr="00456014">
        <w:t xml:space="preserve">of </w:t>
      </w:r>
      <w:r w:rsidR="001D7C8D" w:rsidRPr="00456014">
        <w:t>91.4</w:t>
      </w:r>
      <w:r w:rsidR="00E4729A" w:rsidRPr="00456014">
        <w:t xml:space="preserve">%. </w:t>
      </w:r>
    </w:p>
    <w:p w:rsidR="00CE6E6E" w:rsidRPr="00456014" w:rsidRDefault="00407E51" w:rsidP="00961DEE">
      <w:pPr>
        <w:pStyle w:val="Caption"/>
        <w:keepNext/>
        <w:spacing w:before="120" w:after="120" w:line="360" w:lineRule="auto"/>
        <w:rPr>
          <w:rFonts w:eastAsia="Times New Roman"/>
          <w:i w:val="0"/>
          <w:color w:val="auto"/>
          <w:sz w:val="24"/>
          <w:szCs w:val="24"/>
        </w:rPr>
      </w:pPr>
      <w:bookmarkStart w:id="210" w:name="_Toc68761603"/>
      <w:r w:rsidRPr="00456014">
        <w:rPr>
          <w:i w:val="0"/>
          <w:color w:val="auto"/>
          <w:sz w:val="24"/>
        </w:rPr>
        <w:t xml:space="preserve">Table </w:t>
      </w:r>
      <w:r w:rsidR="001578A8" w:rsidRPr="00456014">
        <w:rPr>
          <w:i w:val="0"/>
          <w:color w:val="auto"/>
          <w:sz w:val="24"/>
        </w:rPr>
        <w:fldChar w:fldCharType="begin"/>
      </w:r>
      <w:r w:rsidR="001578A8" w:rsidRPr="00456014">
        <w:rPr>
          <w:i w:val="0"/>
          <w:color w:val="auto"/>
          <w:sz w:val="24"/>
        </w:rPr>
        <w:instrText xml:space="preserve"> STYLEREF 1 \s </w:instrText>
      </w:r>
      <w:r w:rsidR="001578A8" w:rsidRPr="00456014">
        <w:rPr>
          <w:i w:val="0"/>
          <w:color w:val="auto"/>
          <w:sz w:val="24"/>
        </w:rPr>
        <w:fldChar w:fldCharType="separate"/>
      </w:r>
      <w:r w:rsidR="00BD510E">
        <w:rPr>
          <w:i w:val="0"/>
          <w:noProof/>
          <w:color w:val="auto"/>
          <w:sz w:val="24"/>
        </w:rPr>
        <w:t>4</w:t>
      </w:r>
      <w:r w:rsidR="001578A8" w:rsidRPr="00456014">
        <w:rPr>
          <w:i w:val="0"/>
          <w:color w:val="auto"/>
          <w:sz w:val="24"/>
        </w:rPr>
        <w:fldChar w:fldCharType="end"/>
      </w:r>
      <w:r w:rsidR="001578A8" w:rsidRPr="00456014">
        <w:rPr>
          <w:i w:val="0"/>
          <w:color w:val="auto"/>
          <w:sz w:val="24"/>
        </w:rPr>
        <w:t>.</w:t>
      </w:r>
      <w:r w:rsidR="001578A8" w:rsidRPr="00456014">
        <w:rPr>
          <w:i w:val="0"/>
          <w:color w:val="auto"/>
          <w:sz w:val="24"/>
        </w:rPr>
        <w:fldChar w:fldCharType="begin"/>
      </w:r>
      <w:r w:rsidR="001578A8" w:rsidRPr="00456014">
        <w:rPr>
          <w:i w:val="0"/>
          <w:color w:val="auto"/>
          <w:sz w:val="24"/>
        </w:rPr>
        <w:instrText xml:space="preserve"> SEQ Table \* ARABIC \s 1 </w:instrText>
      </w:r>
      <w:r w:rsidR="001578A8" w:rsidRPr="00456014">
        <w:rPr>
          <w:i w:val="0"/>
          <w:color w:val="auto"/>
          <w:sz w:val="24"/>
        </w:rPr>
        <w:fldChar w:fldCharType="separate"/>
      </w:r>
      <w:r w:rsidR="00BD510E">
        <w:rPr>
          <w:i w:val="0"/>
          <w:noProof/>
          <w:color w:val="auto"/>
          <w:sz w:val="24"/>
        </w:rPr>
        <w:t>9</w:t>
      </w:r>
      <w:r w:rsidR="001578A8" w:rsidRPr="00456014">
        <w:rPr>
          <w:i w:val="0"/>
          <w:color w:val="auto"/>
          <w:sz w:val="24"/>
        </w:rPr>
        <w:fldChar w:fldCharType="end"/>
      </w:r>
      <w:r w:rsidR="00416B82" w:rsidRPr="00456014">
        <w:rPr>
          <w:i w:val="0"/>
          <w:color w:val="auto"/>
          <w:sz w:val="24"/>
        </w:rPr>
        <w:t>:</w:t>
      </w:r>
      <w:r w:rsidRPr="00456014">
        <w:rPr>
          <w:i w:val="0"/>
          <w:color w:val="auto"/>
          <w:sz w:val="24"/>
        </w:rPr>
        <w:t xml:space="preserve"> </w:t>
      </w:r>
      <w:r w:rsidR="00130D1D" w:rsidRPr="00456014">
        <w:rPr>
          <w:i w:val="0"/>
          <w:color w:val="auto"/>
          <w:sz w:val="24"/>
        </w:rPr>
        <w:t>E</w:t>
      </w:r>
      <w:r w:rsidR="00CE6E6E" w:rsidRPr="00456014">
        <w:rPr>
          <w:rFonts w:eastAsia="Times New Roman"/>
          <w:i w:val="0"/>
          <w:color w:val="auto"/>
          <w:sz w:val="24"/>
          <w:szCs w:val="24"/>
        </w:rPr>
        <w:t xml:space="preserve">rror matrix </w:t>
      </w:r>
      <w:r w:rsidR="00130D1D" w:rsidRPr="00456014">
        <w:rPr>
          <w:rFonts w:eastAsia="Times New Roman"/>
          <w:i w:val="0"/>
          <w:color w:val="auto"/>
          <w:sz w:val="24"/>
          <w:szCs w:val="24"/>
        </w:rPr>
        <w:t xml:space="preserve">and accuracy </w:t>
      </w:r>
      <w:r w:rsidR="00CE6E6E" w:rsidRPr="00456014">
        <w:rPr>
          <w:rFonts w:eastAsia="Times New Roman"/>
          <w:i w:val="0"/>
          <w:color w:val="auto"/>
          <w:sz w:val="24"/>
          <w:szCs w:val="24"/>
        </w:rPr>
        <w:t>of the classified LU</w:t>
      </w:r>
      <w:r w:rsidR="00ED4E6F">
        <w:rPr>
          <w:rFonts w:eastAsia="Times New Roman"/>
          <w:i w:val="0"/>
          <w:color w:val="auto"/>
          <w:sz w:val="24"/>
          <w:szCs w:val="24"/>
        </w:rPr>
        <w:t>/</w:t>
      </w:r>
      <w:r w:rsidR="00CE6E6E" w:rsidRPr="00456014">
        <w:rPr>
          <w:rFonts w:eastAsia="Times New Roman"/>
          <w:i w:val="0"/>
          <w:color w:val="auto"/>
          <w:sz w:val="24"/>
          <w:szCs w:val="24"/>
        </w:rPr>
        <w:t xml:space="preserve">LC </w:t>
      </w:r>
      <w:r w:rsidRPr="00456014">
        <w:rPr>
          <w:rFonts w:eastAsia="Times New Roman"/>
          <w:i w:val="0"/>
          <w:color w:val="auto"/>
          <w:sz w:val="24"/>
          <w:szCs w:val="24"/>
        </w:rPr>
        <w:t>map</w:t>
      </w:r>
      <w:bookmarkEnd w:id="210"/>
    </w:p>
    <w:tbl>
      <w:tblPr>
        <w:tblW w:w="5000" w:type="pct"/>
        <w:jc w:val="center"/>
        <w:tblBorders>
          <w:top w:val="single" w:sz="4" w:space="0" w:color="auto"/>
          <w:bottom w:val="single" w:sz="4" w:space="0" w:color="auto"/>
        </w:tblBorders>
        <w:tblLook w:val="04A0" w:firstRow="1" w:lastRow="0" w:firstColumn="1" w:lastColumn="0" w:noHBand="0" w:noVBand="1"/>
      </w:tblPr>
      <w:tblGrid>
        <w:gridCol w:w="1621"/>
        <w:gridCol w:w="1296"/>
        <w:gridCol w:w="1379"/>
        <w:gridCol w:w="698"/>
        <w:gridCol w:w="796"/>
        <w:gridCol w:w="740"/>
        <w:gridCol w:w="850"/>
        <w:gridCol w:w="1620"/>
      </w:tblGrid>
      <w:tr w:rsidR="00456014" w:rsidRPr="00456014" w:rsidTr="00E6320A">
        <w:trPr>
          <w:trHeight w:val="300"/>
          <w:jc w:val="center"/>
        </w:trPr>
        <w:tc>
          <w:tcPr>
            <w:tcW w:w="901" w:type="pct"/>
            <w:tcBorders>
              <w:top w:val="single" w:sz="4" w:space="0" w:color="auto"/>
              <w:left w:val="nil"/>
              <w:bottom w:val="single" w:sz="4" w:space="0" w:color="auto"/>
              <w:right w:val="nil"/>
            </w:tcBorders>
            <w:shd w:val="clear" w:color="auto" w:fill="auto"/>
            <w:noWrap/>
            <w:vAlign w:val="bottom"/>
            <w:hideMark/>
          </w:tcPr>
          <w:p w:rsidR="00AD3106" w:rsidRPr="00456014" w:rsidRDefault="00AD3106" w:rsidP="00961DEE">
            <w:pPr>
              <w:spacing w:before="0" w:after="0"/>
              <w:rPr>
                <w:rFonts w:eastAsia="Times New Roman"/>
              </w:rPr>
            </w:pPr>
            <w:r w:rsidRPr="00456014">
              <w:rPr>
                <w:rFonts w:eastAsia="Times New Roman"/>
              </w:rPr>
              <w:t>Classes</w:t>
            </w:r>
          </w:p>
        </w:tc>
        <w:tc>
          <w:tcPr>
            <w:tcW w:w="720" w:type="pct"/>
            <w:tcBorders>
              <w:top w:val="single" w:sz="4" w:space="0" w:color="auto"/>
              <w:left w:val="nil"/>
              <w:bottom w:val="single" w:sz="4" w:space="0" w:color="auto"/>
              <w:right w:val="nil"/>
            </w:tcBorders>
            <w:shd w:val="clear" w:color="auto" w:fill="auto"/>
            <w:noWrap/>
            <w:vAlign w:val="bottom"/>
            <w:hideMark/>
          </w:tcPr>
          <w:p w:rsidR="00AD3106" w:rsidRPr="00456014" w:rsidRDefault="00AD3106" w:rsidP="00961DEE">
            <w:pPr>
              <w:spacing w:before="0" w:after="0"/>
              <w:rPr>
                <w:rFonts w:eastAsia="Times New Roman"/>
              </w:rPr>
            </w:pPr>
            <w:r w:rsidRPr="00456014">
              <w:rPr>
                <w:rFonts w:eastAsia="Times New Roman"/>
              </w:rPr>
              <w:t>Settlement</w:t>
            </w:r>
          </w:p>
        </w:tc>
        <w:tc>
          <w:tcPr>
            <w:tcW w:w="766" w:type="pct"/>
            <w:tcBorders>
              <w:top w:val="single" w:sz="4" w:space="0" w:color="auto"/>
              <w:left w:val="nil"/>
              <w:bottom w:val="single" w:sz="4" w:space="0" w:color="auto"/>
              <w:right w:val="nil"/>
            </w:tcBorders>
            <w:shd w:val="clear" w:color="auto" w:fill="auto"/>
            <w:noWrap/>
            <w:vAlign w:val="bottom"/>
            <w:hideMark/>
          </w:tcPr>
          <w:p w:rsidR="00AD3106" w:rsidRPr="00456014" w:rsidRDefault="00AD3106" w:rsidP="00961DEE">
            <w:pPr>
              <w:spacing w:before="0" w:after="0"/>
              <w:rPr>
                <w:rFonts w:eastAsia="Times New Roman"/>
              </w:rPr>
            </w:pPr>
            <w:r w:rsidRPr="00456014">
              <w:rPr>
                <w:rFonts w:eastAsia="Times New Roman"/>
              </w:rPr>
              <w:t>Agriculture</w:t>
            </w:r>
          </w:p>
        </w:tc>
        <w:tc>
          <w:tcPr>
            <w:tcW w:w="388" w:type="pct"/>
            <w:tcBorders>
              <w:top w:val="single" w:sz="4" w:space="0" w:color="auto"/>
              <w:left w:val="nil"/>
              <w:bottom w:val="single" w:sz="4" w:space="0" w:color="auto"/>
              <w:right w:val="nil"/>
            </w:tcBorders>
            <w:shd w:val="clear" w:color="auto" w:fill="auto"/>
            <w:noWrap/>
            <w:vAlign w:val="bottom"/>
            <w:hideMark/>
          </w:tcPr>
          <w:p w:rsidR="0052063B" w:rsidRPr="00456014" w:rsidRDefault="00AD3106" w:rsidP="00961DEE">
            <w:pPr>
              <w:spacing w:before="0" w:after="0"/>
              <w:rPr>
                <w:rFonts w:eastAsia="Times New Roman"/>
              </w:rPr>
            </w:pPr>
            <w:r w:rsidRPr="00456014">
              <w:rPr>
                <w:rFonts w:eastAsia="Times New Roman"/>
              </w:rPr>
              <w:t>Bar</w:t>
            </w:r>
            <w:r w:rsidR="0052063B" w:rsidRPr="00456014">
              <w:rPr>
                <w:rFonts w:eastAsia="Times New Roman"/>
              </w:rPr>
              <w:t>e</w:t>
            </w:r>
          </w:p>
          <w:p w:rsidR="00AD3106" w:rsidRPr="00456014" w:rsidRDefault="0052063B" w:rsidP="00961DEE">
            <w:pPr>
              <w:spacing w:before="0" w:after="0"/>
              <w:rPr>
                <w:rFonts w:eastAsia="Times New Roman"/>
              </w:rPr>
            </w:pPr>
            <w:r w:rsidRPr="00456014">
              <w:rPr>
                <w:rFonts w:eastAsia="Times New Roman"/>
              </w:rPr>
              <w:t>l</w:t>
            </w:r>
            <w:r w:rsidR="00AD3106" w:rsidRPr="00456014">
              <w:rPr>
                <w:rFonts w:eastAsia="Times New Roman"/>
              </w:rPr>
              <w:t>and</w:t>
            </w:r>
          </w:p>
        </w:tc>
        <w:tc>
          <w:tcPr>
            <w:tcW w:w="442" w:type="pct"/>
            <w:tcBorders>
              <w:top w:val="single" w:sz="4" w:space="0" w:color="auto"/>
              <w:left w:val="nil"/>
              <w:bottom w:val="single" w:sz="4" w:space="0" w:color="auto"/>
              <w:right w:val="nil"/>
            </w:tcBorders>
            <w:shd w:val="clear" w:color="auto" w:fill="auto"/>
            <w:noWrap/>
            <w:vAlign w:val="bottom"/>
            <w:hideMark/>
          </w:tcPr>
          <w:p w:rsidR="0052063B" w:rsidRPr="00456014" w:rsidRDefault="0052063B" w:rsidP="00961DEE">
            <w:pPr>
              <w:spacing w:before="0" w:after="0"/>
              <w:rPr>
                <w:rFonts w:eastAsia="Times New Roman"/>
              </w:rPr>
            </w:pPr>
            <w:r w:rsidRPr="00456014">
              <w:rPr>
                <w:rFonts w:eastAsia="Times New Roman"/>
              </w:rPr>
              <w:t>Grass</w:t>
            </w:r>
          </w:p>
          <w:p w:rsidR="00AD3106" w:rsidRPr="00456014" w:rsidRDefault="0052063B" w:rsidP="00961DEE">
            <w:pPr>
              <w:spacing w:before="0" w:after="0"/>
              <w:rPr>
                <w:rFonts w:eastAsia="Times New Roman"/>
              </w:rPr>
            </w:pPr>
            <w:r w:rsidRPr="00456014">
              <w:rPr>
                <w:rFonts w:eastAsia="Times New Roman"/>
              </w:rPr>
              <w:t>l</w:t>
            </w:r>
            <w:r w:rsidR="00AD3106" w:rsidRPr="00456014">
              <w:rPr>
                <w:rFonts w:eastAsia="Times New Roman"/>
              </w:rPr>
              <w:t>and</w:t>
            </w:r>
          </w:p>
        </w:tc>
        <w:tc>
          <w:tcPr>
            <w:tcW w:w="411" w:type="pct"/>
            <w:tcBorders>
              <w:top w:val="single" w:sz="4" w:space="0" w:color="auto"/>
              <w:left w:val="nil"/>
              <w:bottom w:val="single" w:sz="4" w:space="0" w:color="auto"/>
              <w:right w:val="nil"/>
            </w:tcBorders>
            <w:shd w:val="clear" w:color="auto" w:fill="auto"/>
            <w:noWrap/>
            <w:vAlign w:val="bottom"/>
            <w:hideMark/>
          </w:tcPr>
          <w:p w:rsidR="0052063B" w:rsidRPr="00456014" w:rsidRDefault="00AD3106" w:rsidP="00961DEE">
            <w:pPr>
              <w:spacing w:before="0" w:after="0"/>
              <w:rPr>
                <w:rFonts w:eastAsia="Times New Roman"/>
              </w:rPr>
            </w:pPr>
            <w:r w:rsidRPr="00456014">
              <w:rPr>
                <w:rFonts w:eastAsia="Times New Roman"/>
              </w:rPr>
              <w:t>Bush</w:t>
            </w:r>
          </w:p>
          <w:p w:rsidR="00AD3106" w:rsidRPr="00456014" w:rsidRDefault="0052063B" w:rsidP="00961DEE">
            <w:pPr>
              <w:spacing w:before="0" w:after="0"/>
              <w:rPr>
                <w:rFonts w:eastAsia="Times New Roman"/>
              </w:rPr>
            </w:pPr>
            <w:r w:rsidRPr="00456014">
              <w:rPr>
                <w:rFonts w:eastAsia="Times New Roman"/>
              </w:rPr>
              <w:t>l</w:t>
            </w:r>
            <w:r w:rsidR="00AD3106" w:rsidRPr="00456014">
              <w:rPr>
                <w:rFonts w:eastAsia="Times New Roman"/>
              </w:rPr>
              <w:t>and</w:t>
            </w:r>
          </w:p>
        </w:tc>
        <w:tc>
          <w:tcPr>
            <w:tcW w:w="472" w:type="pct"/>
            <w:tcBorders>
              <w:top w:val="single" w:sz="4" w:space="0" w:color="auto"/>
              <w:left w:val="nil"/>
              <w:bottom w:val="single" w:sz="4" w:space="0" w:color="auto"/>
              <w:right w:val="single" w:sz="4" w:space="0" w:color="auto"/>
            </w:tcBorders>
            <w:shd w:val="clear" w:color="auto" w:fill="auto"/>
            <w:noWrap/>
            <w:vAlign w:val="bottom"/>
            <w:hideMark/>
          </w:tcPr>
          <w:p w:rsidR="00AD3106" w:rsidRPr="00456014" w:rsidRDefault="00AD3106" w:rsidP="00961DEE">
            <w:pPr>
              <w:spacing w:before="0" w:after="0"/>
              <w:rPr>
                <w:rFonts w:eastAsia="Times New Roman"/>
              </w:rPr>
            </w:pPr>
            <w:r w:rsidRPr="00456014">
              <w:rPr>
                <w:rFonts w:eastAsia="Times New Roman"/>
              </w:rPr>
              <w:t>Forest</w:t>
            </w:r>
          </w:p>
        </w:tc>
        <w:tc>
          <w:tcPr>
            <w:tcW w:w="900" w:type="pct"/>
            <w:tcBorders>
              <w:top w:val="single" w:sz="4" w:space="0" w:color="auto"/>
              <w:left w:val="single" w:sz="4" w:space="0" w:color="auto"/>
              <w:bottom w:val="single" w:sz="4" w:space="0" w:color="auto"/>
              <w:right w:val="nil"/>
            </w:tcBorders>
            <w:shd w:val="clear" w:color="auto" w:fill="auto"/>
            <w:noWrap/>
            <w:vAlign w:val="bottom"/>
            <w:hideMark/>
          </w:tcPr>
          <w:p w:rsidR="00AD3106" w:rsidRPr="00456014" w:rsidRDefault="001D7C8D" w:rsidP="00961DEE">
            <w:pPr>
              <w:spacing w:before="0" w:after="0"/>
              <w:rPr>
                <w:rFonts w:eastAsia="Times New Roman"/>
              </w:rPr>
            </w:pPr>
            <w:r w:rsidRPr="00456014">
              <w:rPr>
                <w:rFonts w:eastAsia="Times New Roman"/>
              </w:rPr>
              <w:t>UA</w:t>
            </w:r>
            <w:r w:rsidR="00C33087" w:rsidRPr="00456014">
              <w:rPr>
                <w:rFonts w:eastAsia="Times New Roman"/>
              </w:rPr>
              <w:t xml:space="preserve"> </w:t>
            </w:r>
            <w:r w:rsidR="004F16D8" w:rsidRPr="00456014">
              <w:rPr>
                <w:rFonts w:eastAsia="Times New Roman"/>
              </w:rPr>
              <w:t>(%)</w:t>
            </w:r>
          </w:p>
        </w:tc>
      </w:tr>
      <w:tr w:rsidR="00456014" w:rsidRPr="00456014" w:rsidTr="00E6320A">
        <w:trPr>
          <w:trHeight w:val="300"/>
          <w:jc w:val="center"/>
        </w:trPr>
        <w:tc>
          <w:tcPr>
            <w:tcW w:w="901" w:type="pct"/>
            <w:tcBorders>
              <w:top w:val="single" w:sz="4" w:space="0" w:color="auto"/>
              <w:bottom w:val="nil"/>
            </w:tcBorders>
            <w:shd w:val="clear" w:color="auto" w:fill="auto"/>
            <w:noWrap/>
            <w:vAlign w:val="bottom"/>
            <w:hideMark/>
          </w:tcPr>
          <w:p w:rsidR="00AD3106" w:rsidRPr="00456014" w:rsidRDefault="00AD3106" w:rsidP="00961DEE">
            <w:pPr>
              <w:spacing w:before="0" w:after="0"/>
              <w:rPr>
                <w:rFonts w:eastAsia="Times New Roman"/>
              </w:rPr>
            </w:pPr>
            <w:r w:rsidRPr="00456014">
              <w:rPr>
                <w:rFonts w:eastAsia="Times New Roman"/>
              </w:rPr>
              <w:t>Settlement</w:t>
            </w:r>
          </w:p>
        </w:tc>
        <w:tc>
          <w:tcPr>
            <w:tcW w:w="720" w:type="pct"/>
            <w:tcBorders>
              <w:top w:val="single" w:sz="4" w:space="0" w:color="auto"/>
              <w:bottom w:val="nil"/>
            </w:tcBorders>
            <w:shd w:val="clear" w:color="auto" w:fill="auto"/>
            <w:noWrap/>
            <w:vAlign w:val="bottom"/>
            <w:hideMark/>
          </w:tcPr>
          <w:p w:rsidR="00AD3106" w:rsidRPr="00456014" w:rsidRDefault="00AD3106" w:rsidP="00961DEE">
            <w:pPr>
              <w:spacing w:before="0" w:after="0"/>
              <w:rPr>
                <w:rFonts w:eastAsia="Times New Roman"/>
              </w:rPr>
            </w:pPr>
            <w:r w:rsidRPr="00456014">
              <w:rPr>
                <w:rFonts w:eastAsia="Times New Roman"/>
              </w:rPr>
              <w:t>12</w:t>
            </w:r>
          </w:p>
        </w:tc>
        <w:tc>
          <w:tcPr>
            <w:tcW w:w="766" w:type="pct"/>
            <w:tcBorders>
              <w:top w:val="single" w:sz="4" w:space="0" w:color="auto"/>
              <w:bottom w:val="nil"/>
            </w:tcBorders>
            <w:shd w:val="clear" w:color="auto" w:fill="auto"/>
            <w:noWrap/>
            <w:vAlign w:val="bottom"/>
            <w:hideMark/>
          </w:tcPr>
          <w:p w:rsidR="00AD3106" w:rsidRPr="00456014" w:rsidRDefault="00AD3106" w:rsidP="00961DEE">
            <w:pPr>
              <w:spacing w:before="0" w:after="0"/>
              <w:rPr>
                <w:rFonts w:eastAsia="Times New Roman"/>
              </w:rPr>
            </w:pPr>
            <w:r w:rsidRPr="00456014">
              <w:rPr>
                <w:rFonts w:eastAsia="Times New Roman"/>
              </w:rPr>
              <w:t>2</w:t>
            </w:r>
          </w:p>
        </w:tc>
        <w:tc>
          <w:tcPr>
            <w:tcW w:w="388" w:type="pct"/>
            <w:tcBorders>
              <w:top w:val="single" w:sz="4" w:space="0" w:color="auto"/>
              <w:bottom w:val="nil"/>
            </w:tcBorders>
            <w:shd w:val="clear" w:color="auto" w:fill="auto"/>
            <w:noWrap/>
            <w:vAlign w:val="bottom"/>
            <w:hideMark/>
          </w:tcPr>
          <w:p w:rsidR="00AD3106" w:rsidRPr="00456014" w:rsidRDefault="00AD3106" w:rsidP="00961DEE">
            <w:pPr>
              <w:spacing w:before="0" w:after="0"/>
              <w:rPr>
                <w:rFonts w:eastAsia="Times New Roman"/>
              </w:rPr>
            </w:pPr>
            <w:r w:rsidRPr="00456014">
              <w:rPr>
                <w:rFonts w:eastAsia="Times New Roman"/>
              </w:rPr>
              <w:t>0</w:t>
            </w:r>
          </w:p>
        </w:tc>
        <w:tc>
          <w:tcPr>
            <w:tcW w:w="442" w:type="pct"/>
            <w:tcBorders>
              <w:top w:val="single" w:sz="4" w:space="0" w:color="auto"/>
              <w:bottom w:val="nil"/>
            </w:tcBorders>
            <w:shd w:val="clear" w:color="auto" w:fill="auto"/>
            <w:noWrap/>
            <w:vAlign w:val="bottom"/>
            <w:hideMark/>
          </w:tcPr>
          <w:p w:rsidR="00AD3106" w:rsidRPr="00456014" w:rsidRDefault="00AD3106" w:rsidP="00961DEE">
            <w:pPr>
              <w:spacing w:before="0" w:after="0"/>
              <w:rPr>
                <w:rFonts w:eastAsia="Times New Roman"/>
              </w:rPr>
            </w:pPr>
            <w:r w:rsidRPr="00456014">
              <w:rPr>
                <w:rFonts w:eastAsia="Times New Roman"/>
              </w:rPr>
              <w:t>1</w:t>
            </w:r>
          </w:p>
        </w:tc>
        <w:tc>
          <w:tcPr>
            <w:tcW w:w="411" w:type="pct"/>
            <w:tcBorders>
              <w:top w:val="single" w:sz="4" w:space="0" w:color="auto"/>
              <w:bottom w:val="nil"/>
            </w:tcBorders>
            <w:shd w:val="clear" w:color="auto" w:fill="auto"/>
            <w:noWrap/>
            <w:vAlign w:val="bottom"/>
            <w:hideMark/>
          </w:tcPr>
          <w:p w:rsidR="00AD3106" w:rsidRPr="00456014" w:rsidRDefault="00AD3106" w:rsidP="00961DEE">
            <w:pPr>
              <w:spacing w:before="0" w:after="0"/>
              <w:rPr>
                <w:rFonts w:eastAsia="Times New Roman"/>
              </w:rPr>
            </w:pPr>
            <w:r w:rsidRPr="00456014">
              <w:rPr>
                <w:rFonts w:eastAsia="Times New Roman"/>
              </w:rPr>
              <w:t>0</w:t>
            </w:r>
          </w:p>
        </w:tc>
        <w:tc>
          <w:tcPr>
            <w:tcW w:w="472" w:type="pct"/>
            <w:tcBorders>
              <w:top w:val="single" w:sz="4" w:space="0" w:color="auto"/>
              <w:bottom w:val="nil"/>
              <w:right w:val="single" w:sz="4" w:space="0" w:color="auto"/>
            </w:tcBorders>
            <w:shd w:val="clear" w:color="auto" w:fill="auto"/>
            <w:noWrap/>
            <w:vAlign w:val="bottom"/>
            <w:hideMark/>
          </w:tcPr>
          <w:p w:rsidR="00AD3106" w:rsidRPr="00456014" w:rsidRDefault="00AD3106" w:rsidP="00961DEE">
            <w:pPr>
              <w:spacing w:before="0" w:after="0"/>
              <w:rPr>
                <w:rFonts w:eastAsia="Times New Roman"/>
              </w:rPr>
            </w:pPr>
            <w:r w:rsidRPr="00456014">
              <w:rPr>
                <w:rFonts w:eastAsia="Times New Roman"/>
              </w:rPr>
              <w:t>0</w:t>
            </w:r>
          </w:p>
        </w:tc>
        <w:tc>
          <w:tcPr>
            <w:tcW w:w="900" w:type="pct"/>
            <w:tcBorders>
              <w:top w:val="single" w:sz="4" w:space="0" w:color="auto"/>
              <w:left w:val="single" w:sz="4" w:space="0" w:color="auto"/>
              <w:bottom w:val="nil"/>
            </w:tcBorders>
            <w:shd w:val="clear" w:color="auto" w:fill="auto"/>
            <w:noWrap/>
            <w:vAlign w:val="bottom"/>
            <w:hideMark/>
          </w:tcPr>
          <w:p w:rsidR="00AD3106" w:rsidRPr="00456014" w:rsidRDefault="00AD3106" w:rsidP="00961DEE">
            <w:pPr>
              <w:spacing w:before="0" w:after="0"/>
              <w:rPr>
                <w:rFonts w:eastAsia="Times New Roman"/>
              </w:rPr>
            </w:pPr>
            <w:r w:rsidRPr="00456014">
              <w:rPr>
                <w:rFonts w:eastAsia="Times New Roman"/>
              </w:rPr>
              <w:t>80</w:t>
            </w:r>
          </w:p>
        </w:tc>
      </w:tr>
      <w:tr w:rsidR="00456014" w:rsidRPr="00456014" w:rsidTr="00E6320A">
        <w:trPr>
          <w:trHeight w:val="300"/>
          <w:jc w:val="center"/>
        </w:trPr>
        <w:tc>
          <w:tcPr>
            <w:tcW w:w="901" w:type="pct"/>
            <w:tcBorders>
              <w:top w:val="nil"/>
              <w:bottom w:val="nil"/>
            </w:tcBorders>
            <w:shd w:val="clear" w:color="auto" w:fill="auto"/>
            <w:noWrap/>
            <w:vAlign w:val="bottom"/>
            <w:hideMark/>
          </w:tcPr>
          <w:p w:rsidR="00AD3106" w:rsidRPr="00456014" w:rsidRDefault="00AD3106" w:rsidP="00961DEE">
            <w:pPr>
              <w:spacing w:before="0" w:after="0"/>
              <w:rPr>
                <w:rFonts w:eastAsia="Times New Roman"/>
              </w:rPr>
            </w:pPr>
            <w:r w:rsidRPr="00456014">
              <w:rPr>
                <w:rFonts w:eastAsia="Times New Roman"/>
              </w:rPr>
              <w:t>Agriculture</w:t>
            </w:r>
          </w:p>
        </w:tc>
        <w:tc>
          <w:tcPr>
            <w:tcW w:w="720" w:type="pct"/>
            <w:tcBorders>
              <w:top w:val="nil"/>
              <w:bottom w:val="nil"/>
            </w:tcBorders>
            <w:shd w:val="clear" w:color="auto" w:fill="auto"/>
            <w:noWrap/>
            <w:vAlign w:val="bottom"/>
            <w:hideMark/>
          </w:tcPr>
          <w:p w:rsidR="00AD3106" w:rsidRPr="00456014" w:rsidRDefault="00AD3106" w:rsidP="00961DEE">
            <w:pPr>
              <w:spacing w:before="0" w:after="0"/>
              <w:rPr>
                <w:rFonts w:eastAsia="Times New Roman"/>
              </w:rPr>
            </w:pPr>
            <w:r w:rsidRPr="00456014">
              <w:rPr>
                <w:rFonts w:eastAsia="Times New Roman"/>
              </w:rPr>
              <w:t>0</w:t>
            </w:r>
          </w:p>
        </w:tc>
        <w:tc>
          <w:tcPr>
            <w:tcW w:w="766" w:type="pct"/>
            <w:tcBorders>
              <w:top w:val="nil"/>
              <w:bottom w:val="nil"/>
            </w:tcBorders>
            <w:shd w:val="clear" w:color="auto" w:fill="auto"/>
            <w:noWrap/>
            <w:vAlign w:val="bottom"/>
            <w:hideMark/>
          </w:tcPr>
          <w:p w:rsidR="00AD3106" w:rsidRPr="00456014" w:rsidRDefault="00AD3106" w:rsidP="00961DEE">
            <w:pPr>
              <w:spacing w:before="0" w:after="0"/>
              <w:rPr>
                <w:rFonts w:eastAsia="Times New Roman"/>
              </w:rPr>
            </w:pPr>
            <w:r w:rsidRPr="00456014">
              <w:rPr>
                <w:rFonts w:eastAsia="Times New Roman"/>
              </w:rPr>
              <w:t>61</w:t>
            </w:r>
          </w:p>
        </w:tc>
        <w:tc>
          <w:tcPr>
            <w:tcW w:w="388" w:type="pct"/>
            <w:tcBorders>
              <w:top w:val="nil"/>
              <w:bottom w:val="nil"/>
            </w:tcBorders>
            <w:shd w:val="clear" w:color="auto" w:fill="auto"/>
            <w:noWrap/>
            <w:vAlign w:val="bottom"/>
            <w:hideMark/>
          </w:tcPr>
          <w:p w:rsidR="00AD3106" w:rsidRPr="00456014" w:rsidRDefault="00AD3106" w:rsidP="00961DEE">
            <w:pPr>
              <w:spacing w:before="0" w:after="0"/>
              <w:rPr>
                <w:rFonts w:eastAsia="Times New Roman"/>
              </w:rPr>
            </w:pPr>
            <w:r w:rsidRPr="00456014">
              <w:rPr>
                <w:rFonts w:eastAsia="Times New Roman"/>
              </w:rPr>
              <w:t>0</w:t>
            </w:r>
          </w:p>
        </w:tc>
        <w:tc>
          <w:tcPr>
            <w:tcW w:w="442" w:type="pct"/>
            <w:tcBorders>
              <w:top w:val="nil"/>
              <w:bottom w:val="nil"/>
            </w:tcBorders>
            <w:shd w:val="clear" w:color="auto" w:fill="auto"/>
            <w:noWrap/>
            <w:vAlign w:val="bottom"/>
            <w:hideMark/>
          </w:tcPr>
          <w:p w:rsidR="00AD3106" w:rsidRPr="00456014" w:rsidRDefault="00AD3106" w:rsidP="00961DEE">
            <w:pPr>
              <w:spacing w:before="0" w:after="0"/>
              <w:rPr>
                <w:rFonts w:eastAsia="Times New Roman"/>
              </w:rPr>
            </w:pPr>
            <w:r w:rsidRPr="00456014">
              <w:rPr>
                <w:rFonts w:eastAsia="Times New Roman"/>
              </w:rPr>
              <w:t>1</w:t>
            </w:r>
          </w:p>
        </w:tc>
        <w:tc>
          <w:tcPr>
            <w:tcW w:w="411" w:type="pct"/>
            <w:tcBorders>
              <w:top w:val="nil"/>
              <w:bottom w:val="nil"/>
            </w:tcBorders>
            <w:shd w:val="clear" w:color="auto" w:fill="auto"/>
            <w:noWrap/>
            <w:vAlign w:val="bottom"/>
            <w:hideMark/>
          </w:tcPr>
          <w:p w:rsidR="00AD3106" w:rsidRPr="00456014" w:rsidRDefault="00AD3106" w:rsidP="00961DEE">
            <w:pPr>
              <w:spacing w:before="0" w:after="0"/>
              <w:rPr>
                <w:rFonts w:eastAsia="Times New Roman"/>
              </w:rPr>
            </w:pPr>
            <w:r w:rsidRPr="00456014">
              <w:rPr>
                <w:rFonts w:eastAsia="Times New Roman"/>
              </w:rPr>
              <w:t>0</w:t>
            </w:r>
          </w:p>
        </w:tc>
        <w:tc>
          <w:tcPr>
            <w:tcW w:w="472" w:type="pct"/>
            <w:tcBorders>
              <w:top w:val="nil"/>
              <w:bottom w:val="nil"/>
              <w:right w:val="single" w:sz="4" w:space="0" w:color="auto"/>
            </w:tcBorders>
            <w:shd w:val="clear" w:color="auto" w:fill="auto"/>
            <w:noWrap/>
            <w:vAlign w:val="bottom"/>
            <w:hideMark/>
          </w:tcPr>
          <w:p w:rsidR="00AD3106" w:rsidRPr="00456014" w:rsidRDefault="00AD3106" w:rsidP="00961DEE">
            <w:pPr>
              <w:spacing w:before="0" w:after="0"/>
              <w:rPr>
                <w:rFonts w:eastAsia="Times New Roman"/>
              </w:rPr>
            </w:pPr>
            <w:r w:rsidRPr="00456014">
              <w:rPr>
                <w:rFonts w:eastAsia="Times New Roman"/>
              </w:rPr>
              <w:t>0</w:t>
            </w:r>
          </w:p>
        </w:tc>
        <w:tc>
          <w:tcPr>
            <w:tcW w:w="900" w:type="pct"/>
            <w:tcBorders>
              <w:top w:val="nil"/>
              <w:left w:val="single" w:sz="4" w:space="0" w:color="auto"/>
              <w:bottom w:val="nil"/>
            </w:tcBorders>
            <w:shd w:val="clear" w:color="auto" w:fill="auto"/>
            <w:noWrap/>
            <w:vAlign w:val="bottom"/>
            <w:hideMark/>
          </w:tcPr>
          <w:p w:rsidR="00AD3106" w:rsidRPr="00456014" w:rsidRDefault="00AD3106" w:rsidP="00961DEE">
            <w:pPr>
              <w:spacing w:before="0" w:after="0"/>
              <w:rPr>
                <w:rFonts w:eastAsia="Times New Roman"/>
              </w:rPr>
            </w:pPr>
            <w:r w:rsidRPr="00456014">
              <w:rPr>
                <w:rFonts w:eastAsia="Times New Roman"/>
              </w:rPr>
              <w:t>98</w:t>
            </w:r>
          </w:p>
        </w:tc>
      </w:tr>
      <w:tr w:rsidR="00456014" w:rsidRPr="00456014" w:rsidTr="00E6320A">
        <w:trPr>
          <w:trHeight w:val="300"/>
          <w:jc w:val="center"/>
        </w:trPr>
        <w:tc>
          <w:tcPr>
            <w:tcW w:w="901" w:type="pct"/>
            <w:tcBorders>
              <w:top w:val="nil"/>
              <w:bottom w:val="nil"/>
            </w:tcBorders>
            <w:shd w:val="clear" w:color="auto" w:fill="auto"/>
            <w:noWrap/>
            <w:vAlign w:val="bottom"/>
            <w:hideMark/>
          </w:tcPr>
          <w:p w:rsidR="00AD3106" w:rsidRPr="00456014" w:rsidRDefault="0052063B" w:rsidP="00961DEE">
            <w:pPr>
              <w:spacing w:before="0" w:after="0"/>
              <w:rPr>
                <w:rFonts w:eastAsia="Times New Roman"/>
              </w:rPr>
            </w:pPr>
            <w:r w:rsidRPr="00456014">
              <w:rPr>
                <w:rFonts w:eastAsia="Times New Roman"/>
              </w:rPr>
              <w:t>Bare l</w:t>
            </w:r>
            <w:r w:rsidR="00AD3106" w:rsidRPr="00456014">
              <w:rPr>
                <w:rFonts w:eastAsia="Times New Roman"/>
              </w:rPr>
              <w:t>and</w:t>
            </w:r>
          </w:p>
        </w:tc>
        <w:tc>
          <w:tcPr>
            <w:tcW w:w="720" w:type="pct"/>
            <w:tcBorders>
              <w:top w:val="nil"/>
              <w:bottom w:val="nil"/>
            </w:tcBorders>
            <w:shd w:val="clear" w:color="auto" w:fill="auto"/>
            <w:noWrap/>
            <w:vAlign w:val="bottom"/>
            <w:hideMark/>
          </w:tcPr>
          <w:p w:rsidR="00AD3106" w:rsidRPr="00456014" w:rsidRDefault="00AD3106" w:rsidP="00961DEE">
            <w:pPr>
              <w:spacing w:before="0" w:after="0"/>
              <w:rPr>
                <w:rFonts w:eastAsia="Times New Roman"/>
              </w:rPr>
            </w:pPr>
            <w:r w:rsidRPr="00456014">
              <w:rPr>
                <w:rFonts w:eastAsia="Times New Roman"/>
              </w:rPr>
              <w:t>0</w:t>
            </w:r>
          </w:p>
        </w:tc>
        <w:tc>
          <w:tcPr>
            <w:tcW w:w="766" w:type="pct"/>
            <w:tcBorders>
              <w:top w:val="nil"/>
              <w:bottom w:val="nil"/>
            </w:tcBorders>
            <w:shd w:val="clear" w:color="auto" w:fill="auto"/>
            <w:noWrap/>
            <w:vAlign w:val="bottom"/>
            <w:hideMark/>
          </w:tcPr>
          <w:p w:rsidR="00AD3106" w:rsidRPr="00456014" w:rsidRDefault="00AD3106" w:rsidP="00961DEE">
            <w:pPr>
              <w:spacing w:before="0" w:after="0"/>
              <w:rPr>
                <w:rFonts w:eastAsia="Times New Roman"/>
              </w:rPr>
            </w:pPr>
            <w:r w:rsidRPr="00456014">
              <w:rPr>
                <w:rFonts w:eastAsia="Times New Roman"/>
              </w:rPr>
              <w:t>0</w:t>
            </w:r>
          </w:p>
        </w:tc>
        <w:tc>
          <w:tcPr>
            <w:tcW w:w="388" w:type="pct"/>
            <w:tcBorders>
              <w:top w:val="nil"/>
              <w:bottom w:val="nil"/>
            </w:tcBorders>
            <w:shd w:val="clear" w:color="auto" w:fill="auto"/>
            <w:noWrap/>
            <w:vAlign w:val="bottom"/>
            <w:hideMark/>
          </w:tcPr>
          <w:p w:rsidR="00AD3106" w:rsidRPr="00456014" w:rsidRDefault="00AD3106" w:rsidP="00961DEE">
            <w:pPr>
              <w:spacing w:before="0" w:after="0"/>
              <w:rPr>
                <w:rFonts w:eastAsia="Times New Roman"/>
              </w:rPr>
            </w:pPr>
            <w:r w:rsidRPr="00456014">
              <w:rPr>
                <w:rFonts w:eastAsia="Times New Roman"/>
              </w:rPr>
              <w:t>7</w:t>
            </w:r>
          </w:p>
        </w:tc>
        <w:tc>
          <w:tcPr>
            <w:tcW w:w="442" w:type="pct"/>
            <w:tcBorders>
              <w:top w:val="nil"/>
              <w:bottom w:val="nil"/>
            </w:tcBorders>
            <w:shd w:val="clear" w:color="auto" w:fill="auto"/>
            <w:noWrap/>
            <w:vAlign w:val="bottom"/>
            <w:hideMark/>
          </w:tcPr>
          <w:p w:rsidR="00AD3106" w:rsidRPr="00456014" w:rsidRDefault="00AD3106" w:rsidP="00961DEE">
            <w:pPr>
              <w:spacing w:before="0" w:after="0"/>
              <w:rPr>
                <w:rFonts w:eastAsia="Times New Roman"/>
              </w:rPr>
            </w:pPr>
            <w:r w:rsidRPr="00456014">
              <w:rPr>
                <w:rFonts w:eastAsia="Times New Roman"/>
              </w:rPr>
              <w:t>1</w:t>
            </w:r>
          </w:p>
        </w:tc>
        <w:tc>
          <w:tcPr>
            <w:tcW w:w="411" w:type="pct"/>
            <w:tcBorders>
              <w:top w:val="nil"/>
              <w:bottom w:val="nil"/>
            </w:tcBorders>
            <w:shd w:val="clear" w:color="auto" w:fill="auto"/>
            <w:noWrap/>
            <w:vAlign w:val="bottom"/>
            <w:hideMark/>
          </w:tcPr>
          <w:p w:rsidR="00AD3106" w:rsidRPr="00456014" w:rsidRDefault="00AD3106" w:rsidP="00961DEE">
            <w:pPr>
              <w:spacing w:before="0" w:after="0"/>
              <w:rPr>
                <w:rFonts w:eastAsia="Times New Roman"/>
              </w:rPr>
            </w:pPr>
            <w:r w:rsidRPr="00456014">
              <w:rPr>
                <w:rFonts w:eastAsia="Times New Roman"/>
              </w:rPr>
              <w:t>0</w:t>
            </w:r>
          </w:p>
        </w:tc>
        <w:tc>
          <w:tcPr>
            <w:tcW w:w="472" w:type="pct"/>
            <w:tcBorders>
              <w:top w:val="nil"/>
              <w:bottom w:val="nil"/>
              <w:right w:val="single" w:sz="4" w:space="0" w:color="auto"/>
            </w:tcBorders>
            <w:shd w:val="clear" w:color="auto" w:fill="auto"/>
            <w:noWrap/>
            <w:vAlign w:val="bottom"/>
            <w:hideMark/>
          </w:tcPr>
          <w:p w:rsidR="00AD3106" w:rsidRPr="00456014" w:rsidRDefault="00AD3106" w:rsidP="00961DEE">
            <w:pPr>
              <w:spacing w:before="0" w:after="0"/>
              <w:rPr>
                <w:rFonts w:eastAsia="Times New Roman"/>
              </w:rPr>
            </w:pPr>
            <w:r w:rsidRPr="00456014">
              <w:rPr>
                <w:rFonts w:eastAsia="Times New Roman"/>
              </w:rPr>
              <w:t>0</w:t>
            </w:r>
          </w:p>
        </w:tc>
        <w:tc>
          <w:tcPr>
            <w:tcW w:w="900" w:type="pct"/>
            <w:tcBorders>
              <w:top w:val="nil"/>
              <w:left w:val="single" w:sz="4" w:space="0" w:color="auto"/>
              <w:bottom w:val="nil"/>
            </w:tcBorders>
            <w:shd w:val="clear" w:color="auto" w:fill="auto"/>
            <w:noWrap/>
            <w:vAlign w:val="bottom"/>
            <w:hideMark/>
          </w:tcPr>
          <w:p w:rsidR="00AD3106" w:rsidRPr="00456014" w:rsidRDefault="00AD3106" w:rsidP="00961DEE">
            <w:pPr>
              <w:spacing w:before="0" w:after="0"/>
              <w:rPr>
                <w:rFonts w:eastAsia="Times New Roman"/>
              </w:rPr>
            </w:pPr>
            <w:r w:rsidRPr="00456014">
              <w:rPr>
                <w:rFonts w:eastAsia="Times New Roman"/>
              </w:rPr>
              <w:t>88</w:t>
            </w:r>
          </w:p>
        </w:tc>
      </w:tr>
      <w:tr w:rsidR="00456014" w:rsidRPr="00456014" w:rsidTr="00E6320A">
        <w:trPr>
          <w:trHeight w:val="300"/>
          <w:jc w:val="center"/>
        </w:trPr>
        <w:tc>
          <w:tcPr>
            <w:tcW w:w="901" w:type="pct"/>
            <w:tcBorders>
              <w:top w:val="nil"/>
              <w:bottom w:val="nil"/>
            </w:tcBorders>
            <w:shd w:val="clear" w:color="auto" w:fill="auto"/>
            <w:noWrap/>
            <w:vAlign w:val="bottom"/>
            <w:hideMark/>
          </w:tcPr>
          <w:p w:rsidR="00AD3106" w:rsidRPr="00456014" w:rsidRDefault="0052063B" w:rsidP="00961DEE">
            <w:pPr>
              <w:spacing w:before="0" w:after="0"/>
              <w:rPr>
                <w:rFonts w:eastAsia="Times New Roman"/>
              </w:rPr>
            </w:pPr>
            <w:r w:rsidRPr="00456014">
              <w:rPr>
                <w:rFonts w:eastAsia="Times New Roman"/>
              </w:rPr>
              <w:t>Grass l</w:t>
            </w:r>
            <w:r w:rsidR="00AD3106" w:rsidRPr="00456014">
              <w:rPr>
                <w:rFonts w:eastAsia="Times New Roman"/>
              </w:rPr>
              <w:t>and</w:t>
            </w:r>
          </w:p>
        </w:tc>
        <w:tc>
          <w:tcPr>
            <w:tcW w:w="720" w:type="pct"/>
            <w:tcBorders>
              <w:top w:val="nil"/>
              <w:bottom w:val="nil"/>
            </w:tcBorders>
            <w:shd w:val="clear" w:color="auto" w:fill="auto"/>
            <w:noWrap/>
            <w:vAlign w:val="bottom"/>
            <w:hideMark/>
          </w:tcPr>
          <w:p w:rsidR="00AD3106" w:rsidRPr="00456014" w:rsidRDefault="00AD3106" w:rsidP="00961DEE">
            <w:pPr>
              <w:spacing w:before="0" w:after="0"/>
              <w:rPr>
                <w:rFonts w:eastAsia="Times New Roman"/>
              </w:rPr>
            </w:pPr>
            <w:r w:rsidRPr="00456014">
              <w:rPr>
                <w:rFonts w:eastAsia="Times New Roman"/>
              </w:rPr>
              <w:t>0</w:t>
            </w:r>
          </w:p>
        </w:tc>
        <w:tc>
          <w:tcPr>
            <w:tcW w:w="766" w:type="pct"/>
            <w:tcBorders>
              <w:top w:val="nil"/>
              <w:bottom w:val="nil"/>
            </w:tcBorders>
            <w:shd w:val="clear" w:color="auto" w:fill="auto"/>
            <w:noWrap/>
            <w:vAlign w:val="bottom"/>
            <w:hideMark/>
          </w:tcPr>
          <w:p w:rsidR="00AD3106" w:rsidRPr="00456014" w:rsidRDefault="00AD3106" w:rsidP="00961DEE">
            <w:pPr>
              <w:spacing w:before="0" w:after="0"/>
              <w:rPr>
                <w:rFonts w:eastAsia="Times New Roman"/>
              </w:rPr>
            </w:pPr>
            <w:r w:rsidRPr="00456014">
              <w:rPr>
                <w:rFonts w:eastAsia="Times New Roman"/>
              </w:rPr>
              <w:t>3</w:t>
            </w:r>
          </w:p>
        </w:tc>
        <w:tc>
          <w:tcPr>
            <w:tcW w:w="388" w:type="pct"/>
            <w:tcBorders>
              <w:top w:val="nil"/>
              <w:bottom w:val="nil"/>
            </w:tcBorders>
            <w:shd w:val="clear" w:color="auto" w:fill="auto"/>
            <w:noWrap/>
            <w:vAlign w:val="bottom"/>
            <w:hideMark/>
          </w:tcPr>
          <w:p w:rsidR="00AD3106" w:rsidRPr="00456014" w:rsidRDefault="00AD3106" w:rsidP="00961DEE">
            <w:pPr>
              <w:spacing w:before="0" w:after="0"/>
              <w:rPr>
                <w:rFonts w:eastAsia="Times New Roman"/>
              </w:rPr>
            </w:pPr>
            <w:r w:rsidRPr="00456014">
              <w:rPr>
                <w:rFonts w:eastAsia="Times New Roman"/>
              </w:rPr>
              <w:t>1</w:t>
            </w:r>
          </w:p>
        </w:tc>
        <w:tc>
          <w:tcPr>
            <w:tcW w:w="442" w:type="pct"/>
            <w:tcBorders>
              <w:top w:val="nil"/>
              <w:bottom w:val="nil"/>
            </w:tcBorders>
            <w:shd w:val="clear" w:color="auto" w:fill="auto"/>
            <w:noWrap/>
            <w:vAlign w:val="bottom"/>
            <w:hideMark/>
          </w:tcPr>
          <w:p w:rsidR="00AD3106" w:rsidRPr="00456014" w:rsidRDefault="00AD3106" w:rsidP="00961DEE">
            <w:pPr>
              <w:spacing w:before="0" w:after="0"/>
              <w:rPr>
                <w:rFonts w:eastAsia="Times New Roman"/>
              </w:rPr>
            </w:pPr>
            <w:r w:rsidRPr="00456014">
              <w:rPr>
                <w:rFonts w:eastAsia="Times New Roman"/>
              </w:rPr>
              <w:t>24</w:t>
            </w:r>
          </w:p>
        </w:tc>
        <w:tc>
          <w:tcPr>
            <w:tcW w:w="411" w:type="pct"/>
            <w:tcBorders>
              <w:top w:val="nil"/>
              <w:bottom w:val="nil"/>
            </w:tcBorders>
            <w:shd w:val="clear" w:color="auto" w:fill="auto"/>
            <w:noWrap/>
            <w:vAlign w:val="bottom"/>
            <w:hideMark/>
          </w:tcPr>
          <w:p w:rsidR="00AD3106" w:rsidRPr="00456014" w:rsidRDefault="00AD3106" w:rsidP="00961DEE">
            <w:pPr>
              <w:spacing w:before="0" w:after="0"/>
              <w:rPr>
                <w:rFonts w:eastAsia="Times New Roman"/>
              </w:rPr>
            </w:pPr>
            <w:r w:rsidRPr="00456014">
              <w:rPr>
                <w:rFonts w:eastAsia="Times New Roman"/>
              </w:rPr>
              <w:t>0</w:t>
            </w:r>
          </w:p>
        </w:tc>
        <w:tc>
          <w:tcPr>
            <w:tcW w:w="472" w:type="pct"/>
            <w:tcBorders>
              <w:top w:val="nil"/>
              <w:bottom w:val="nil"/>
              <w:right w:val="single" w:sz="4" w:space="0" w:color="auto"/>
            </w:tcBorders>
            <w:shd w:val="clear" w:color="auto" w:fill="auto"/>
            <w:noWrap/>
            <w:vAlign w:val="bottom"/>
            <w:hideMark/>
          </w:tcPr>
          <w:p w:rsidR="00AD3106" w:rsidRPr="00456014" w:rsidRDefault="00AD3106" w:rsidP="00961DEE">
            <w:pPr>
              <w:spacing w:before="0" w:after="0"/>
              <w:rPr>
                <w:rFonts w:eastAsia="Times New Roman"/>
              </w:rPr>
            </w:pPr>
            <w:r w:rsidRPr="00456014">
              <w:rPr>
                <w:rFonts w:eastAsia="Times New Roman"/>
              </w:rPr>
              <w:t>0</w:t>
            </w:r>
          </w:p>
        </w:tc>
        <w:tc>
          <w:tcPr>
            <w:tcW w:w="900" w:type="pct"/>
            <w:tcBorders>
              <w:top w:val="nil"/>
              <w:left w:val="single" w:sz="4" w:space="0" w:color="auto"/>
              <w:bottom w:val="nil"/>
            </w:tcBorders>
            <w:shd w:val="clear" w:color="auto" w:fill="auto"/>
            <w:noWrap/>
            <w:vAlign w:val="bottom"/>
            <w:hideMark/>
          </w:tcPr>
          <w:p w:rsidR="00AD3106" w:rsidRPr="00456014" w:rsidRDefault="00AD3106" w:rsidP="00961DEE">
            <w:pPr>
              <w:spacing w:before="0" w:after="0"/>
              <w:rPr>
                <w:rFonts w:eastAsia="Times New Roman"/>
              </w:rPr>
            </w:pPr>
            <w:r w:rsidRPr="00456014">
              <w:rPr>
                <w:rFonts w:eastAsia="Times New Roman"/>
              </w:rPr>
              <w:t>86</w:t>
            </w:r>
          </w:p>
        </w:tc>
      </w:tr>
      <w:tr w:rsidR="00456014" w:rsidRPr="00456014" w:rsidTr="00E6320A">
        <w:trPr>
          <w:trHeight w:val="315"/>
          <w:jc w:val="center"/>
        </w:trPr>
        <w:tc>
          <w:tcPr>
            <w:tcW w:w="901" w:type="pct"/>
            <w:tcBorders>
              <w:top w:val="nil"/>
              <w:bottom w:val="nil"/>
            </w:tcBorders>
            <w:shd w:val="clear" w:color="auto" w:fill="auto"/>
            <w:noWrap/>
            <w:vAlign w:val="bottom"/>
            <w:hideMark/>
          </w:tcPr>
          <w:p w:rsidR="00AD3106" w:rsidRPr="00456014" w:rsidRDefault="00AD3106" w:rsidP="00961DEE">
            <w:pPr>
              <w:spacing w:before="0" w:after="0"/>
              <w:rPr>
                <w:rFonts w:eastAsia="Times New Roman"/>
              </w:rPr>
            </w:pPr>
            <w:r w:rsidRPr="00456014">
              <w:rPr>
                <w:rFonts w:eastAsia="Times New Roman"/>
              </w:rPr>
              <w:t xml:space="preserve">Bush </w:t>
            </w:r>
            <w:r w:rsidR="0052063B" w:rsidRPr="00456014">
              <w:rPr>
                <w:rFonts w:eastAsia="Times New Roman"/>
              </w:rPr>
              <w:t>l</w:t>
            </w:r>
            <w:r w:rsidRPr="00456014">
              <w:rPr>
                <w:rFonts w:eastAsia="Times New Roman"/>
              </w:rPr>
              <w:t>and</w:t>
            </w:r>
          </w:p>
        </w:tc>
        <w:tc>
          <w:tcPr>
            <w:tcW w:w="720" w:type="pct"/>
            <w:tcBorders>
              <w:top w:val="nil"/>
              <w:bottom w:val="nil"/>
            </w:tcBorders>
            <w:shd w:val="clear" w:color="auto" w:fill="auto"/>
            <w:noWrap/>
            <w:vAlign w:val="bottom"/>
            <w:hideMark/>
          </w:tcPr>
          <w:p w:rsidR="00AD3106" w:rsidRPr="00456014" w:rsidRDefault="00AD3106" w:rsidP="00961DEE">
            <w:pPr>
              <w:spacing w:before="0" w:after="0"/>
              <w:rPr>
                <w:rFonts w:eastAsia="Times New Roman"/>
              </w:rPr>
            </w:pPr>
            <w:r w:rsidRPr="00456014">
              <w:rPr>
                <w:rFonts w:eastAsia="Times New Roman"/>
              </w:rPr>
              <w:t>0</w:t>
            </w:r>
          </w:p>
        </w:tc>
        <w:tc>
          <w:tcPr>
            <w:tcW w:w="766" w:type="pct"/>
            <w:tcBorders>
              <w:top w:val="nil"/>
              <w:bottom w:val="nil"/>
            </w:tcBorders>
            <w:shd w:val="clear" w:color="auto" w:fill="auto"/>
            <w:noWrap/>
            <w:vAlign w:val="bottom"/>
            <w:hideMark/>
          </w:tcPr>
          <w:p w:rsidR="00AD3106" w:rsidRPr="00456014" w:rsidRDefault="00AD3106" w:rsidP="00961DEE">
            <w:pPr>
              <w:spacing w:before="0" w:after="0"/>
              <w:rPr>
                <w:rFonts w:eastAsia="Times New Roman"/>
              </w:rPr>
            </w:pPr>
            <w:r w:rsidRPr="00456014">
              <w:rPr>
                <w:rFonts w:eastAsia="Times New Roman"/>
              </w:rPr>
              <w:t>1</w:t>
            </w:r>
          </w:p>
        </w:tc>
        <w:tc>
          <w:tcPr>
            <w:tcW w:w="388" w:type="pct"/>
            <w:tcBorders>
              <w:top w:val="nil"/>
              <w:bottom w:val="nil"/>
            </w:tcBorders>
            <w:shd w:val="clear" w:color="auto" w:fill="auto"/>
            <w:noWrap/>
            <w:vAlign w:val="bottom"/>
            <w:hideMark/>
          </w:tcPr>
          <w:p w:rsidR="00AD3106" w:rsidRPr="00456014" w:rsidRDefault="00AD3106" w:rsidP="00961DEE">
            <w:pPr>
              <w:spacing w:before="0" w:after="0"/>
              <w:rPr>
                <w:rFonts w:eastAsia="Times New Roman"/>
              </w:rPr>
            </w:pPr>
            <w:r w:rsidRPr="00456014">
              <w:rPr>
                <w:rFonts w:eastAsia="Times New Roman"/>
              </w:rPr>
              <w:t>0</w:t>
            </w:r>
          </w:p>
        </w:tc>
        <w:tc>
          <w:tcPr>
            <w:tcW w:w="442" w:type="pct"/>
            <w:tcBorders>
              <w:top w:val="nil"/>
              <w:bottom w:val="nil"/>
            </w:tcBorders>
            <w:shd w:val="clear" w:color="auto" w:fill="auto"/>
            <w:noWrap/>
            <w:vAlign w:val="bottom"/>
            <w:hideMark/>
          </w:tcPr>
          <w:p w:rsidR="00AD3106" w:rsidRPr="00456014" w:rsidRDefault="00AD3106" w:rsidP="00961DEE">
            <w:pPr>
              <w:spacing w:before="0" w:after="0"/>
              <w:rPr>
                <w:rFonts w:eastAsia="Times New Roman"/>
              </w:rPr>
            </w:pPr>
            <w:r w:rsidRPr="00456014">
              <w:rPr>
                <w:rFonts w:eastAsia="Times New Roman"/>
              </w:rPr>
              <w:t>0</w:t>
            </w:r>
          </w:p>
        </w:tc>
        <w:tc>
          <w:tcPr>
            <w:tcW w:w="411" w:type="pct"/>
            <w:tcBorders>
              <w:top w:val="nil"/>
              <w:bottom w:val="nil"/>
            </w:tcBorders>
            <w:shd w:val="clear" w:color="auto" w:fill="auto"/>
            <w:noWrap/>
            <w:vAlign w:val="bottom"/>
            <w:hideMark/>
          </w:tcPr>
          <w:p w:rsidR="00AD3106" w:rsidRPr="00456014" w:rsidRDefault="00AD3106" w:rsidP="00961DEE">
            <w:pPr>
              <w:spacing w:before="0" w:after="0"/>
              <w:rPr>
                <w:rFonts w:eastAsia="Times New Roman"/>
              </w:rPr>
            </w:pPr>
            <w:r w:rsidRPr="00456014">
              <w:rPr>
                <w:rFonts w:eastAsia="Times New Roman"/>
              </w:rPr>
              <w:t>17</w:t>
            </w:r>
          </w:p>
        </w:tc>
        <w:tc>
          <w:tcPr>
            <w:tcW w:w="472" w:type="pct"/>
            <w:tcBorders>
              <w:top w:val="nil"/>
              <w:bottom w:val="nil"/>
              <w:right w:val="single" w:sz="4" w:space="0" w:color="auto"/>
            </w:tcBorders>
            <w:shd w:val="clear" w:color="auto" w:fill="auto"/>
            <w:noWrap/>
            <w:vAlign w:val="bottom"/>
            <w:hideMark/>
          </w:tcPr>
          <w:p w:rsidR="00AD3106" w:rsidRPr="00456014" w:rsidRDefault="00AD3106" w:rsidP="00961DEE">
            <w:pPr>
              <w:spacing w:before="0" w:after="0"/>
              <w:rPr>
                <w:rFonts w:eastAsia="Times New Roman"/>
              </w:rPr>
            </w:pPr>
            <w:r w:rsidRPr="00456014">
              <w:rPr>
                <w:rFonts w:eastAsia="Times New Roman"/>
              </w:rPr>
              <w:t>1</w:t>
            </w:r>
          </w:p>
        </w:tc>
        <w:tc>
          <w:tcPr>
            <w:tcW w:w="900" w:type="pct"/>
            <w:tcBorders>
              <w:top w:val="nil"/>
              <w:left w:val="single" w:sz="4" w:space="0" w:color="auto"/>
              <w:bottom w:val="nil"/>
            </w:tcBorders>
            <w:shd w:val="clear" w:color="auto" w:fill="auto"/>
            <w:noWrap/>
            <w:vAlign w:val="bottom"/>
            <w:hideMark/>
          </w:tcPr>
          <w:p w:rsidR="00AD3106" w:rsidRPr="00456014" w:rsidRDefault="00AD3106" w:rsidP="00961DEE">
            <w:pPr>
              <w:spacing w:before="0" w:after="0"/>
              <w:rPr>
                <w:rFonts w:eastAsia="Times New Roman"/>
              </w:rPr>
            </w:pPr>
            <w:r w:rsidRPr="00456014">
              <w:rPr>
                <w:rFonts w:eastAsia="Times New Roman"/>
              </w:rPr>
              <w:t>89</w:t>
            </w:r>
          </w:p>
        </w:tc>
      </w:tr>
      <w:tr w:rsidR="00456014" w:rsidRPr="00456014" w:rsidTr="00E6320A">
        <w:trPr>
          <w:trHeight w:val="300"/>
          <w:jc w:val="center"/>
        </w:trPr>
        <w:tc>
          <w:tcPr>
            <w:tcW w:w="901" w:type="pct"/>
            <w:tcBorders>
              <w:top w:val="nil"/>
              <w:bottom w:val="single" w:sz="4" w:space="0" w:color="auto"/>
            </w:tcBorders>
            <w:shd w:val="clear" w:color="auto" w:fill="auto"/>
            <w:noWrap/>
            <w:vAlign w:val="bottom"/>
            <w:hideMark/>
          </w:tcPr>
          <w:p w:rsidR="00AD3106" w:rsidRPr="00456014" w:rsidRDefault="00AD3106" w:rsidP="00961DEE">
            <w:pPr>
              <w:spacing w:before="0" w:after="0"/>
              <w:rPr>
                <w:rFonts w:eastAsia="Times New Roman"/>
              </w:rPr>
            </w:pPr>
            <w:r w:rsidRPr="00456014">
              <w:rPr>
                <w:rFonts w:eastAsia="Times New Roman"/>
              </w:rPr>
              <w:t>Forest</w:t>
            </w:r>
          </w:p>
        </w:tc>
        <w:tc>
          <w:tcPr>
            <w:tcW w:w="720" w:type="pct"/>
            <w:tcBorders>
              <w:top w:val="nil"/>
              <w:bottom w:val="single" w:sz="4" w:space="0" w:color="auto"/>
            </w:tcBorders>
            <w:shd w:val="clear" w:color="auto" w:fill="auto"/>
            <w:noWrap/>
            <w:vAlign w:val="bottom"/>
            <w:hideMark/>
          </w:tcPr>
          <w:p w:rsidR="00AD3106" w:rsidRPr="00456014" w:rsidRDefault="00AD3106" w:rsidP="00961DEE">
            <w:pPr>
              <w:spacing w:before="0" w:after="0"/>
              <w:rPr>
                <w:rFonts w:eastAsia="Times New Roman"/>
              </w:rPr>
            </w:pPr>
            <w:r w:rsidRPr="00456014">
              <w:rPr>
                <w:rFonts w:eastAsia="Times New Roman"/>
              </w:rPr>
              <w:t>0</w:t>
            </w:r>
          </w:p>
        </w:tc>
        <w:tc>
          <w:tcPr>
            <w:tcW w:w="766" w:type="pct"/>
            <w:tcBorders>
              <w:top w:val="nil"/>
              <w:bottom w:val="single" w:sz="4" w:space="0" w:color="auto"/>
            </w:tcBorders>
            <w:shd w:val="clear" w:color="auto" w:fill="auto"/>
            <w:noWrap/>
            <w:vAlign w:val="bottom"/>
            <w:hideMark/>
          </w:tcPr>
          <w:p w:rsidR="00AD3106" w:rsidRPr="00456014" w:rsidRDefault="00AD3106" w:rsidP="00961DEE">
            <w:pPr>
              <w:spacing w:before="0" w:after="0"/>
              <w:rPr>
                <w:rFonts w:eastAsia="Times New Roman"/>
              </w:rPr>
            </w:pPr>
            <w:r w:rsidRPr="00456014">
              <w:rPr>
                <w:rFonts w:eastAsia="Times New Roman"/>
              </w:rPr>
              <w:t>0</w:t>
            </w:r>
          </w:p>
        </w:tc>
        <w:tc>
          <w:tcPr>
            <w:tcW w:w="388" w:type="pct"/>
            <w:tcBorders>
              <w:top w:val="nil"/>
              <w:bottom w:val="single" w:sz="4" w:space="0" w:color="auto"/>
            </w:tcBorders>
            <w:shd w:val="clear" w:color="auto" w:fill="auto"/>
            <w:noWrap/>
            <w:vAlign w:val="bottom"/>
            <w:hideMark/>
          </w:tcPr>
          <w:p w:rsidR="00AD3106" w:rsidRPr="00456014" w:rsidRDefault="00AD3106" w:rsidP="00961DEE">
            <w:pPr>
              <w:spacing w:before="0" w:after="0"/>
              <w:rPr>
                <w:rFonts w:eastAsia="Times New Roman"/>
              </w:rPr>
            </w:pPr>
            <w:r w:rsidRPr="00456014">
              <w:rPr>
                <w:rFonts w:eastAsia="Times New Roman"/>
              </w:rPr>
              <w:t>0</w:t>
            </w:r>
          </w:p>
        </w:tc>
        <w:tc>
          <w:tcPr>
            <w:tcW w:w="442" w:type="pct"/>
            <w:tcBorders>
              <w:top w:val="nil"/>
              <w:bottom w:val="single" w:sz="4" w:space="0" w:color="auto"/>
            </w:tcBorders>
            <w:shd w:val="clear" w:color="auto" w:fill="auto"/>
            <w:noWrap/>
            <w:vAlign w:val="bottom"/>
            <w:hideMark/>
          </w:tcPr>
          <w:p w:rsidR="00AD3106" w:rsidRPr="00456014" w:rsidRDefault="00AD3106" w:rsidP="00961DEE">
            <w:pPr>
              <w:spacing w:before="0" w:after="0"/>
              <w:rPr>
                <w:rFonts w:eastAsia="Times New Roman"/>
              </w:rPr>
            </w:pPr>
            <w:r w:rsidRPr="00456014">
              <w:rPr>
                <w:rFonts w:eastAsia="Times New Roman"/>
              </w:rPr>
              <w:t>0</w:t>
            </w:r>
          </w:p>
        </w:tc>
        <w:tc>
          <w:tcPr>
            <w:tcW w:w="411" w:type="pct"/>
            <w:tcBorders>
              <w:top w:val="nil"/>
              <w:bottom w:val="single" w:sz="4" w:space="0" w:color="auto"/>
            </w:tcBorders>
            <w:shd w:val="clear" w:color="auto" w:fill="auto"/>
            <w:noWrap/>
            <w:vAlign w:val="bottom"/>
            <w:hideMark/>
          </w:tcPr>
          <w:p w:rsidR="00AD3106" w:rsidRPr="00456014" w:rsidRDefault="00AD3106" w:rsidP="00961DEE">
            <w:pPr>
              <w:spacing w:before="0" w:after="0"/>
              <w:rPr>
                <w:rFonts w:eastAsia="Times New Roman"/>
              </w:rPr>
            </w:pPr>
            <w:r w:rsidRPr="00456014">
              <w:rPr>
                <w:rFonts w:eastAsia="Times New Roman"/>
              </w:rPr>
              <w:t>1</w:t>
            </w:r>
          </w:p>
        </w:tc>
        <w:tc>
          <w:tcPr>
            <w:tcW w:w="472" w:type="pct"/>
            <w:tcBorders>
              <w:top w:val="nil"/>
              <w:bottom w:val="single" w:sz="4" w:space="0" w:color="auto"/>
              <w:right w:val="single" w:sz="4" w:space="0" w:color="auto"/>
            </w:tcBorders>
            <w:shd w:val="clear" w:color="auto" w:fill="auto"/>
            <w:noWrap/>
            <w:vAlign w:val="bottom"/>
            <w:hideMark/>
          </w:tcPr>
          <w:p w:rsidR="00AD3106" w:rsidRPr="00456014" w:rsidRDefault="00AD3106" w:rsidP="00961DEE">
            <w:pPr>
              <w:spacing w:before="0" w:after="0"/>
              <w:rPr>
                <w:rFonts w:eastAsia="Times New Roman"/>
              </w:rPr>
            </w:pPr>
            <w:r w:rsidRPr="00456014">
              <w:rPr>
                <w:rFonts w:eastAsia="Times New Roman"/>
              </w:rPr>
              <w:t>16</w:t>
            </w:r>
          </w:p>
        </w:tc>
        <w:tc>
          <w:tcPr>
            <w:tcW w:w="900" w:type="pct"/>
            <w:tcBorders>
              <w:top w:val="nil"/>
              <w:left w:val="single" w:sz="4" w:space="0" w:color="auto"/>
              <w:bottom w:val="single" w:sz="4" w:space="0" w:color="auto"/>
            </w:tcBorders>
            <w:shd w:val="clear" w:color="auto" w:fill="auto"/>
            <w:noWrap/>
            <w:vAlign w:val="bottom"/>
            <w:hideMark/>
          </w:tcPr>
          <w:p w:rsidR="00AD3106" w:rsidRPr="00456014" w:rsidRDefault="00AD3106" w:rsidP="00961DEE">
            <w:pPr>
              <w:spacing w:before="0" w:after="0"/>
              <w:rPr>
                <w:rFonts w:eastAsia="Times New Roman"/>
              </w:rPr>
            </w:pPr>
            <w:r w:rsidRPr="00456014">
              <w:rPr>
                <w:rFonts w:eastAsia="Times New Roman"/>
              </w:rPr>
              <w:t>94</w:t>
            </w:r>
          </w:p>
        </w:tc>
      </w:tr>
      <w:tr w:rsidR="00456014" w:rsidRPr="00456014" w:rsidTr="00E6320A">
        <w:trPr>
          <w:trHeight w:val="352"/>
          <w:jc w:val="center"/>
        </w:trPr>
        <w:tc>
          <w:tcPr>
            <w:tcW w:w="901" w:type="pct"/>
            <w:tcBorders>
              <w:top w:val="single" w:sz="4" w:space="0" w:color="auto"/>
              <w:bottom w:val="single" w:sz="4" w:space="0" w:color="auto"/>
            </w:tcBorders>
            <w:shd w:val="clear" w:color="auto" w:fill="auto"/>
            <w:noWrap/>
            <w:vAlign w:val="bottom"/>
            <w:hideMark/>
          </w:tcPr>
          <w:p w:rsidR="00AD3106" w:rsidRPr="00456014" w:rsidRDefault="00FD7090" w:rsidP="00961DEE">
            <w:pPr>
              <w:spacing w:before="0" w:after="0"/>
              <w:rPr>
                <w:rFonts w:eastAsia="Times New Roman"/>
              </w:rPr>
            </w:pPr>
            <w:r w:rsidRPr="00456014">
              <w:rPr>
                <w:rFonts w:eastAsia="Times New Roman"/>
              </w:rPr>
              <w:t>PA (</w:t>
            </w:r>
            <w:r w:rsidR="004F16D8" w:rsidRPr="00456014">
              <w:rPr>
                <w:rFonts w:eastAsia="Times New Roman"/>
              </w:rPr>
              <w:t>%)</w:t>
            </w:r>
          </w:p>
        </w:tc>
        <w:tc>
          <w:tcPr>
            <w:tcW w:w="720" w:type="pct"/>
            <w:tcBorders>
              <w:top w:val="single" w:sz="4" w:space="0" w:color="auto"/>
              <w:bottom w:val="single" w:sz="4" w:space="0" w:color="auto"/>
            </w:tcBorders>
            <w:shd w:val="clear" w:color="auto" w:fill="auto"/>
            <w:noWrap/>
            <w:vAlign w:val="bottom"/>
            <w:hideMark/>
          </w:tcPr>
          <w:p w:rsidR="00AD3106" w:rsidRPr="00456014" w:rsidRDefault="00AD3106" w:rsidP="00961DEE">
            <w:pPr>
              <w:spacing w:before="0" w:after="0"/>
              <w:rPr>
                <w:rFonts w:eastAsia="Times New Roman"/>
              </w:rPr>
            </w:pPr>
            <w:r w:rsidRPr="00456014">
              <w:rPr>
                <w:rFonts w:eastAsia="Times New Roman"/>
              </w:rPr>
              <w:t>100</w:t>
            </w:r>
          </w:p>
        </w:tc>
        <w:tc>
          <w:tcPr>
            <w:tcW w:w="766" w:type="pct"/>
            <w:tcBorders>
              <w:top w:val="single" w:sz="4" w:space="0" w:color="auto"/>
              <w:bottom w:val="single" w:sz="4" w:space="0" w:color="auto"/>
            </w:tcBorders>
            <w:shd w:val="clear" w:color="auto" w:fill="auto"/>
            <w:noWrap/>
            <w:vAlign w:val="bottom"/>
            <w:hideMark/>
          </w:tcPr>
          <w:p w:rsidR="00AD3106" w:rsidRPr="00456014" w:rsidRDefault="00AD3106" w:rsidP="00961DEE">
            <w:pPr>
              <w:spacing w:before="0" w:after="0"/>
              <w:rPr>
                <w:rFonts w:eastAsia="Times New Roman"/>
              </w:rPr>
            </w:pPr>
            <w:r w:rsidRPr="00456014">
              <w:rPr>
                <w:rFonts w:eastAsia="Times New Roman"/>
              </w:rPr>
              <w:t>91</w:t>
            </w:r>
          </w:p>
        </w:tc>
        <w:tc>
          <w:tcPr>
            <w:tcW w:w="388" w:type="pct"/>
            <w:tcBorders>
              <w:top w:val="single" w:sz="4" w:space="0" w:color="auto"/>
              <w:bottom w:val="single" w:sz="4" w:space="0" w:color="auto"/>
            </w:tcBorders>
            <w:shd w:val="clear" w:color="auto" w:fill="auto"/>
            <w:noWrap/>
            <w:vAlign w:val="bottom"/>
            <w:hideMark/>
          </w:tcPr>
          <w:p w:rsidR="00AD3106" w:rsidRPr="00456014" w:rsidRDefault="00AD3106" w:rsidP="00961DEE">
            <w:pPr>
              <w:spacing w:before="0" w:after="0"/>
              <w:rPr>
                <w:rFonts w:eastAsia="Times New Roman"/>
              </w:rPr>
            </w:pPr>
            <w:r w:rsidRPr="00456014">
              <w:rPr>
                <w:rFonts w:eastAsia="Times New Roman"/>
              </w:rPr>
              <w:t>88</w:t>
            </w:r>
          </w:p>
        </w:tc>
        <w:tc>
          <w:tcPr>
            <w:tcW w:w="442" w:type="pct"/>
            <w:tcBorders>
              <w:top w:val="single" w:sz="4" w:space="0" w:color="auto"/>
              <w:bottom w:val="single" w:sz="4" w:space="0" w:color="auto"/>
            </w:tcBorders>
            <w:shd w:val="clear" w:color="auto" w:fill="auto"/>
            <w:noWrap/>
            <w:vAlign w:val="bottom"/>
            <w:hideMark/>
          </w:tcPr>
          <w:p w:rsidR="00AD3106" w:rsidRPr="00456014" w:rsidRDefault="00AD3106" w:rsidP="00961DEE">
            <w:pPr>
              <w:spacing w:before="0" w:after="0"/>
              <w:rPr>
                <w:rFonts w:eastAsia="Times New Roman"/>
              </w:rPr>
            </w:pPr>
            <w:r w:rsidRPr="00456014">
              <w:rPr>
                <w:rFonts w:eastAsia="Times New Roman"/>
              </w:rPr>
              <w:t>89</w:t>
            </w:r>
          </w:p>
        </w:tc>
        <w:tc>
          <w:tcPr>
            <w:tcW w:w="411" w:type="pct"/>
            <w:tcBorders>
              <w:top w:val="single" w:sz="4" w:space="0" w:color="auto"/>
              <w:bottom w:val="single" w:sz="4" w:space="0" w:color="auto"/>
            </w:tcBorders>
            <w:shd w:val="clear" w:color="auto" w:fill="auto"/>
            <w:noWrap/>
            <w:vAlign w:val="bottom"/>
            <w:hideMark/>
          </w:tcPr>
          <w:p w:rsidR="00AD3106" w:rsidRPr="00456014" w:rsidRDefault="00AD3106" w:rsidP="00961DEE">
            <w:pPr>
              <w:spacing w:before="0" w:after="0"/>
              <w:rPr>
                <w:rFonts w:eastAsia="Times New Roman"/>
              </w:rPr>
            </w:pPr>
            <w:r w:rsidRPr="00456014">
              <w:rPr>
                <w:rFonts w:eastAsia="Times New Roman"/>
              </w:rPr>
              <w:t>94</w:t>
            </w:r>
          </w:p>
        </w:tc>
        <w:tc>
          <w:tcPr>
            <w:tcW w:w="472" w:type="pct"/>
            <w:tcBorders>
              <w:top w:val="single" w:sz="4" w:space="0" w:color="auto"/>
              <w:bottom w:val="single" w:sz="4" w:space="0" w:color="auto"/>
              <w:right w:val="single" w:sz="4" w:space="0" w:color="auto"/>
            </w:tcBorders>
            <w:shd w:val="clear" w:color="auto" w:fill="auto"/>
            <w:noWrap/>
            <w:vAlign w:val="bottom"/>
            <w:hideMark/>
          </w:tcPr>
          <w:p w:rsidR="00AD3106" w:rsidRPr="00456014" w:rsidRDefault="00AD3106" w:rsidP="00961DEE">
            <w:pPr>
              <w:spacing w:before="0" w:after="0"/>
              <w:rPr>
                <w:rFonts w:eastAsia="Times New Roman"/>
              </w:rPr>
            </w:pPr>
            <w:r w:rsidRPr="00456014">
              <w:rPr>
                <w:rFonts w:eastAsia="Times New Roman"/>
              </w:rPr>
              <w:t>94</w:t>
            </w:r>
          </w:p>
        </w:tc>
        <w:tc>
          <w:tcPr>
            <w:tcW w:w="900" w:type="pct"/>
            <w:tcBorders>
              <w:top w:val="single" w:sz="4" w:space="0" w:color="auto"/>
              <w:left w:val="single" w:sz="4" w:space="0" w:color="auto"/>
              <w:bottom w:val="single" w:sz="4" w:space="0" w:color="auto"/>
            </w:tcBorders>
            <w:shd w:val="clear" w:color="auto" w:fill="auto"/>
            <w:noWrap/>
            <w:vAlign w:val="bottom"/>
            <w:hideMark/>
          </w:tcPr>
          <w:p w:rsidR="00AD3106" w:rsidRPr="00456014" w:rsidRDefault="00AD3106" w:rsidP="00961DEE">
            <w:pPr>
              <w:spacing w:before="0" w:after="0"/>
              <w:rPr>
                <w:rFonts w:eastAsia="Times New Roman"/>
              </w:rPr>
            </w:pPr>
          </w:p>
        </w:tc>
      </w:tr>
    </w:tbl>
    <w:p w:rsidR="00825DA2" w:rsidRPr="00456014" w:rsidRDefault="001C7F24" w:rsidP="008D3D8E">
      <w:pPr>
        <w:pStyle w:val="Heading3"/>
        <w:numPr>
          <w:ilvl w:val="2"/>
          <w:numId w:val="3"/>
        </w:numPr>
      </w:pPr>
      <w:bookmarkStart w:id="211" w:name="_Toc68025101"/>
      <w:bookmarkStart w:id="212" w:name="_Toc68761583"/>
      <w:r w:rsidRPr="00456014">
        <w:t xml:space="preserve">The </w:t>
      </w:r>
      <w:r w:rsidR="00705C30" w:rsidRPr="00456014">
        <w:t>Thematic Map of Soil Texture</w:t>
      </w:r>
      <w:bookmarkEnd w:id="211"/>
      <w:bookmarkEnd w:id="212"/>
      <w:r w:rsidR="00705C30" w:rsidRPr="00456014">
        <w:t xml:space="preserve"> </w:t>
      </w:r>
    </w:p>
    <w:p w:rsidR="00FF6BFC" w:rsidRDefault="00314AB2" w:rsidP="00F13B95">
      <w:pPr>
        <w:rPr>
          <w:i/>
          <w:iCs/>
        </w:rPr>
      </w:pPr>
      <w:r>
        <w:t xml:space="preserve">Thirteen types of </w:t>
      </w:r>
      <w:r w:rsidRPr="0000710C">
        <w:t>dominant soil</w:t>
      </w:r>
      <w:r>
        <w:t xml:space="preserve">s </w:t>
      </w:r>
      <w:r w:rsidR="000412D5">
        <w:t xml:space="preserve">were </w:t>
      </w:r>
      <w:r w:rsidR="00CE7B10" w:rsidRPr="0000710C">
        <w:t>spatially distributed over an area</w:t>
      </w:r>
      <w:r>
        <w:t xml:space="preserve"> includes; </w:t>
      </w:r>
      <w:r w:rsidR="0066383F">
        <w:t>Haplic Arenosol, Calcaric Cambisol, Dystric Cambisol, Eutric Cambisol, Chromic Cambisol, Leptosol, Haplic Luvisol, Vertic Luvisol, Chromic Luvisol, Regosol, C</w:t>
      </w:r>
      <w:r w:rsidR="00EF705C">
        <w:t>alcic Solonetz, Eutric Vertisol</w:t>
      </w:r>
      <w:r w:rsidR="0066383F">
        <w:t xml:space="preserve"> and Calcic </w:t>
      </w:r>
      <w:r w:rsidR="00E76FD7">
        <w:t>Vertisol</w:t>
      </w:r>
      <w:r w:rsidR="0066383F">
        <w:t>.</w:t>
      </w:r>
      <w:r w:rsidR="00CE7B10" w:rsidRPr="0000710C">
        <w:t xml:space="preserve"> </w:t>
      </w:r>
      <w:r w:rsidR="00746845">
        <w:t>A</w:t>
      </w:r>
      <w:r w:rsidR="009C52AA">
        <w:t xml:space="preserve"> </w:t>
      </w:r>
      <w:r w:rsidR="00E76FD7">
        <w:t>short description of soil type</w:t>
      </w:r>
      <w:r w:rsidR="004034FF">
        <w:t>s</w:t>
      </w:r>
      <w:r w:rsidR="00E76FD7">
        <w:t xml:space="preserve"> </w:t>
      </w:r>
      <w:r w:rsidR="00AF2E5D" w:rsidRPr="0000710C">
        <w:t xml:space="preserve">are </w:t>
      </w:r>
      <w:r w:rsidR="00E76FD7">
        <w:t>described</w:t>
      </w:r>
      <w:r w:rsidR="00AF2E5D" w:rsidRPr="0000710C">
        <w:t xml:space="preserve"> in A</w:t>
      </w:r>
      <w:r w:rsidR="00CE7B10" w:rsidRPr="0000710C">
        <w:t>ppendix</w:t>
      </w:r>
      <w:r w:rsidR="00A54793">
        <w:t xml:space="preserve"> table </w:t>
      </w:r>
      <w:r w:rsidR="00B70CDD">
        <w:t>7</w:t>
      </w:r>
      <w:r>
        <w:t>.</w:t>
      </w:r>
      <w:r w:rsidR="00937FE3">
        <w:t xml:space="preserve"> </w:t>
      </w:r>
      <w:r w:rsidR="00EF705C">
        <w:t>Depending the contribution of soil groups the relative weight</w:t>
      </w:r>
      <w:r w:rsidR="00937FE3" w:rsidRPr="00456014">
        <w:t xml:space="preserve"> and CR value </w:t>
      </w:r>
      <w:r w:rsidR="00EF705C">
        <w:t xml:space="preserve">of soil classes were </w:t>
      </w:r>
      <w:r w:rsidR="00937FE3" w:rsidRPr="00456014">
        <w:t xml:space="preserve">determined </w:t>
      </w:r>
      <w:r w:rsidR="004034FF">
        <w:t xml:space="preserve">and presented in </w:t>
      </w:r>
      <w:r w:rsidR="0095614F">
        <w:t>T</w:t>
      </w:r>
      <w:r w:rsidR="00937FE3">
        <w:t>able 4.10</w:t>
      </w:r>
      <w:r w:rsidR="00937FE3" w:rsidRPr="00456014">
        <w:t>. The CR value of 0.042 is acceptable.</w:t>
      </w:r>
    </w:p>
    <w:p w:rsidR="00152D02" w:rsidRPr="00456014" w:rsidRDefault="00152D02" w:rsidP="00F13B95">
      <w:pPr>
        <w:pStyle w:val="Caption"/>
        <w:keepNext/>
        <w:spacing w:before="120" w:after="120" w:line="360" w:lineRule="auto"/>
        <w:jc w:val="left"/>
        <w:rPr>
          <w:i w:val="0"/>
          <w:iCs w:val="0"/>
          <w:color w:val="auto"/>
          <w:sz w:val="24"/>
          <w:szCs w:val="36"/>
        </w:rPr>
      </w:pPr>
      <w:bookmarkStart w:id="213" w:name="_Toc68761604"/>
      <w:r w:rsidRPr="00456014">
        <w:rPr>
          <w:i w:val="0"/>
          <w:iCs w:val="0"/>
          <w:color w:val="auto"/>
          <w:sz w:val="24"/>
          <w:szCs w:val="24"/>
        </w:rPr>
        <w:t xml:space="preserve">Table </w:t>
      </w:r>
      <w:r w:rsidRPr="00456014">
        <w:rPr>
          <w:i w:val="0"/>
          <w:iCs w:val="0"/>
          <w:color w:val="auto"/>
          <w:sz w:val="24"/>
          <w:szCs w:val="24"/>
        </w:rPr>
        <w:fldChar w:fldCharType="begin"/>
      </w:r>
      <w:r w:rsidRPr="00456014">
        <w:rPr>
          <w:i w:val="0"/>
          <w:iCs w:val="0"/>
          <w:color w:val="auto"/>
          <w:sz w:val="24"/>
          <w:szCs w:val="24"/>
        </w:rPr>
        <w:instrText xml:space="preserve"> STYLEREF 1 \s </w:instrText>
      </w:r>
      <w:r w:rsidRPr="00456014">
        <w:rPr>
          <w:i w:val="0"/>
          <w:iCs w:val="0"/>
          <w:color w:val="auto"/>
          <w:sz w:val="24"/>
          <w:szCs w:val="24"/>
        </w:rPr>
        <w:fldChar w:fldCharType="separate"/>
      </w:r>
      <w:r w:rsidR="00BD510E">
        <w:rPr>
          <w:i w:val="0"/>
          <w:iCs w:val="0"/>
          <w:noProof/>
          <w:color w:val="auto"/>
          <w:sz w:val="24"/>
          <w:szCs w:val="24"/>
        </w:rPr>
        <w:t>4</w:t>
      </w:r>
      <w:r w:rsidRPr="00456014">
        <w:rPr>
          <w:i w:val="0"/>
          <w:iCs w:val="0"/>
          <w:color w:val="auto"/>
          <w:sz w:val="24"/>
          <w:szCs w:val="24"/>
        </w:rPr>
        <w:fldChar w:fldCharType="end"/>
      </w:r>
      <w:r w:rsidRPr="00456014">
        <w:rPr>
          <w:i w:val="0"/>
          <w:iCs w:val="0"/>
          <w:color w:val="auto"/>
          <w:sz w:val="24"/>
          <w:szCs w:val="24"/>
        </w:rPr>
        <w:t>.</w:t>
      </w:r>
      <w:r w:rsidRPr="00456014">
        <w:rPr>
          <w:i w:val="0"/>
          <w:iCs w:val="0"/>
          <w:color w:val="auto"/>
          <w:sz w:val="24"/>
          <w:szCs w:val="24"/>
        </w:rPr>
        <w:fldChar w:fldCharType="begin"/>
      </w:r>
      <w:r w:rsidRPr="00456014">
        <w:rPr>
          <w:i w:val="0"/>
          <w:iCs w:val="0"/>
          <w:color w:val="auto"/>
          <w:sz w:val="24"/>
          <w:szCs w:val="24"/>
        </w:rPr>
        <w:instrText xml:space="preserve"> SEQ Table \* ARABIC \s 1 </w:instrText>
      </w:r>
      <w:r w:rsidRPr="00456014">
        <w:rPr>
          <w:i w:val="0"/>
          <w:iCs w:val="0"/>
          <w:color w:val="auto"/>
          <w:sz w:val="24"/>
          <w:szCs w:val="24"/>
        </w:rPr>
        <w:fldChar w:fldCharType="separate"/>
      </w:r>
      <w:r w:rsidR="00BD510E">
        <w:rPr>
          <w:i w:val="0"/>
          <w:iCs w:val="0"/>
          <w:noProof/>
          <w:color w:val="auto"/>
          <w:sz w:val="24"/>
          <w:szCs w:val="24"/>
        </w:rPr>
        <w:t>10</w:t>
      </w:r>
      <w:r w:rsidRPr="00456014">
        <w:rPr>
          <w:i w:val="0"/>
          <w:iCs w:val="0"/>
          <w:color w:val="auto"/>
          <w:sz w:val="24"/>
          <w:szCs w:val="24"/>
        </w:rPr>
        <w:fldChar w:fldCharType="end"/>
      </w:r>
      <w:r w:rsidRPr="00456014">
        <w:rPr>
          <w:i w:val="0"/>
          <w:iCs w:val="0"/>
          <w:color w:val="auto"/>
          <w:sz w:val="24"/>
          <w:szCs w:val="24"/>
        </w:rPr>
        <w:t xml:space="preserve">: </w:t>
      </w:r>
      <w:r w:rsidRPr="00456014">
        <w:rPr>
          <w:i w:val="0"/>
          <w:iCs w:val="0"/>
          <w:color w:val="auto"/>
          <w:sz w:val="24"/>
          <w:szCs w:val="36"/>
        </w:rPr>
        <w:t>Th</w:t>
      </w:r>
      <w:r>
        <w:rPr>
          <w:i w:val="0"/>
          <w:iCs w:val="0"/>
          <w:color w:val="auto"/>
          <w:sz w:val="24"/>
          <w:szCs w:val="36"/>
        </w:rPr>
        <w:t>e soil texture, relative weight</w:t>
      </w:r>
      <w:r w:rsidRPr="00456014">
        <w:rPr>
          <w:i w:val="0"/>
          <w:iCs w:val="0"/>
          <w:color w:val="auto"/>
          <w:sz w:val="24"/>
          <w:szCs w:val="36"/>
        </w:rPr>
        <w:t xml:space="preserve"> and consistency ratio</w:t>
      </w:r>
      <w:r w:rsidR="00F13B95">
        <w:rPr>
          <w:i w:val="0"/>
          <w:iCs w:val="0"/>
          <w:color w:val="auto"/>
          <w:sz w:val="24"/>
          <w:szCs w:val="36"/>
        </w:rPr>
        <w:t>.</w:t>
      </w:r>
      <w:bookmarkEnd w:id="213"/>
    </w:p>
    <w:tbl>
      <w:tblPr>
        <w:tblW w:w="5000" w:type="pct"/>
        <w:jc w:val="center"/>
        <w:tblBorders>
          <w:top w:val="single" w:sz="4" w:space="0" w:color="auto"/>
          <w:bottom w:val="single" w:sz="4" w:space="0" w:color="auto"/>
        </w:tblBorders>
        <w:tblLook w:val="04A0" w:firstRow="1" w:lastRow="0" w:firstColumn="1" w:lastColumn="0" w:noHBand="0" w:noVBand="1"/>
      </w:tblPr>
      <w:tblGrid>
        <w:gridCol w:w="2759"/>
        <w:gridCol w:w="1523"/>
        <w:gridCol w:w="889"/>
        <w:gridCol w:w="1358"/>
        <w:gridCol w:w="1358"/>
        <w:gridCol w:w="1113"/>
      </w:tblGrid>
      <w:tr w:rsidR="00152D02" w:rsidRPr="00456014" w:rsidTr="008511A8">
        <w:trPr>
          <w:trHeight w:val="575"/>
          <w:jc w:val="center"/>
        </w:trPr>
        <w:tc>
          <w:tcPr>
            <w:tcW w:w="1538" w:type="pct"/>
            <w:tcBorders>
              <w:top w:val="single" w:sz="4" w:space="0" w:color="auto"/>
              <w:bottom w:val="single" w:sz="4" w:space="0" w:color="auto"/>
            </w:tcBorders>
            <w:shd w:val="clear" w:color="auto" w:fill="auto"/>
            <w:noWrap/>
            <w:hideMark/>
          </w:tcPr>
          <w:p w:rsidR="00152D02" w:rsidRPr="00456014" w:rsidRDefault="00152D02" w:rsidP="008511A8">
            <w:pPr>
              <w:spacing w:before="0" w:after="0"/>
              <w:jc w:val="center"/>
              <w:rPr>
                <w:rFonts w:eastAsia="Times New Roman"/>
                <w:bCs/>
              </w:rPr>
            </w:pPr>
            <w:r w:rsidRPr="00456014">
              <w:rPr>
                <w:rFonts w:eastAsia="Times New Roman"/>
                <w:bCs/>
              </w:rPr>
              <w:t>Soil texture class</w:t>
            </w:r>
          </w:p>
        </w:tc>
        <w:tc>
          <w:tcPr>
            <w:tcW w:w="821" w:type="pct"/>
            <w:tcBorders>
              <w:top w:val="single" w:sz="4" w:space="0" w:color="auto"/>
              <w:bottom w:val="single" w:sz="4" w:space="0" w:color="auto"/>
            </w:tcBorders>
            <w:shd w:val="clear" w:color="auto" w:fill="auto"/>
            <w:noWrap/>
            <w:hideMark/>
          </w:tcPr>
          <w:p w:rsidR="00152D02" w:rsidRPr="00DF3991" w:rsidRDefault="00152D02" w:rsidP="008511A8">
            <w:pPr>
              <w:spacing w:before="0" w:after="0"/>
              <w:jc w:val="center"/>
              <w:rPr>
                <w:rFonts w:eastAsia="Times New Roman"/>
                <w:bCs/>
                <w:iCs/>
                <w:vertAlign w:val="superscript"/>
              </w:rPr>
            </w:pPr>
            <w:r w:rsidRPr="00456014">
              <w:rPr>
                <w:rFonts w:eastAsia="Times New Roman"/>
                <w:bCs/>
              </w:rPr>
              <w:t>Contribution</w:t>
            </w:r>
            <w:r w:rsidR="00DF3991">
              <w:rPr>
                <w:rFonts w:eastAsia="Times New Roman"/>
                <w:bCs/>
                <w:vertAlign w:val="superscript"/>
              </w:rPr>
              <w:t>*</w:t>
            </w:r>
          </w:p>
        </w:tc>
        <w:tc>
          <w:tcPr>
            <w:tcW w:w="499" w:type="pct"/>
            <w:tcBorders>
              <w:top w:val="single" w:sz="4" w:space="0" w:color="auto"/>
              <w:bottom w:val="single" w:sz="4" w:space="0" w:color="auto"/>
            </w:tcBorders>
            <w:shd w:val="clear" w:color="auto" w:fill="auto"/>
          </w:tcPr>
          <w:p w:rsidR="00152D02" w:rsidRPr="00456014" w:rsidRDefault="00152D02" w:rsidP="008511A8">
            <w:pPr>
              <w:spacing w:before="0" w:after="0"/>
              <w:jc w:val="center"/>
              <w:rPr>
                <w:bCs/>
              </w:rPr>
            </w:pPr>
            <w:r w:rsidRPr="00456014">
              <w:rPr>
                <w:bCs/>
              </w:rPr>
              <w:t>Area (</w:t>
            </w:r>
            <w:r w:rsidR="00BA7674" w:rsidRPr="00456014">
              <w:rPr>
                <w:bCs/>
              </w:rPr>
              <w:t>km</w:t>
            </w:r>
            <w:r w:rsidR="00BA7674" w:rsidRPr="00456014">
              <w:rPr>
                <w:bCs/>
                <w:vertAlign w:val="superscript"/>
              </w:rPr>
              <w:t>2</w:t>
            </w:r>
            <w:r w:rsidRPr="00456014">
              <w:rPr>
                <w:bCs/>
              </w:rPr>
              <w:t>)</w:t>
            </w:r>
          </w:p>
        </w:tc>
        <w:tc>
          <w:tcPr>
            <w:tcW w:w="759" w:type="pct"/>
            <w:tcBorders>
              <w:top w:val="single" w:sz="4" w:space="0" w:color="auto"/>
              <w:bottom w:val="single" w:sz="4" w:space="0" w:color="auto"/>
            </w:tcBorders>
          </w:tcPr>
          <w:p w:rsidR="00152D02" w:rsidRDefault="00152D02" w:rsidP="008511A8">
            <w:pPr>
              <w:spacing w:before="0" w:after="0"/>
              <w:jc w:val="center"/>
              <w:rPr>
                <w:bCs/>
              </w:rPr>
            </w:pPr>
            <w:r>
              <w:rPr>
                <w:bCs/>
              </w:rPr>
              <w:t>Scale</w:t>
            </w:r>
          </w:p>
          <w:p w:rsidR="00152D02" w:rsidRPr="00456014" w:rsidRDefault="00152D02" w:rsidP="008511A8">
            <w:pPr>
              <w:spacing w:before="0" w:after="0"/>
              <w:jc w:val="center"/>
              <w:rPr>
                <w:bCs/>
              </w:rPr>
            </w:pPr>
            <w:r>
              <w:rPr>
                <w:bCs/>
              </w:rPr>
              <w:t>value</w:t>
            </w:r>
          </w:p>
        </w:tc>
        <w:tc>
          <w:tcPr>
            <w:tcW w:w="759" w:type="pct"/>
            <w:tcBorders>
              <w:top w:val="single" w:sz="4" w:space="0" w:color="auto"/>
              <w:bottom w:val="single" w:sz="4" w:space="0" w:color="auto"/>
            </w:tcBorders>
            <w:shd w:val="clear" w:color="auto" w:fill="auto"/>
          </w:tcPr>
          <w:p w:rsidR="00152D02" w:rsidRPr="00456014" w:rsidRDefault="00152D02" w:rsidP="008511A8">
            <w:pPr>
              <w:spacing w:before="0" w:after="0"/>
              <w:jc w:val="center"/>
              <w:rPr>
                <w:bCs/>
              </w:rPr>
            </w:pPr>
            <w:r w:rsidRPr="00456014">
              <w:rPr>
                <w:bCs/>
              </w:rPr>
              <w:t>Relative weight (%)</w:t>
            </w:r>
          </w:p>
        </w:tc>
        <w:tc>
          <w:tcPr>
            <w:tcW w:w="623" w:type="pct"/>
            <w:tcBorders>
              <w:top w:val="single" w:sz="4" w:space="0" w:color="auto"/>
              <w:bottom w:val="single" w:sz="4" w:space="0" w:color="auto"/>
            </w:tcBorders>
            <w:shd w:val="clear" w:color="auto" w:fill="auto"/>
          </w:tcPr>
          <w:p w:rsidR="00152D02" w:rsidRPr="00456014" w:rsidRDefault="00152D02" w:rsidP="008511A8">
            <w:pPr>
              <w:spacing w:before="0" w:after="0"/>
              <w:jc w:val="center"/>
              <w:rPr>
                <w:bCs/>
              </w:rPr>
            </w:pPr>
            <w:r w:rsidRPr="00456014">
              <w:rPr>
                <w:bCs/>
              </w:rPr>
              <w:t>CR</w:t>
            </w:r>
          </w:p>
        </w:tc>
      </w:tr>
      <w:tr w:rsidR="00152D02" w:rsidRPr="00456014" w:rsidTr="008511A8">
        <w:trPr>
          <w:trHeight w:val="252"/>
          <w:jc w:val="center"/>
        </w:trPr>
        <w:tc>
          <w:tcPr>
            <w:tcW w:w="1538" w:type="pct"/>
            <w:tcBorders>
              <w:top w:val="single" w:sz="4" w:space="0" w:color="auto"/>
            </w:tcBorders>
            <w:shd w:val="clear" w:color="auto" w:fill="auto"/>
            <w:noWrap/>
            <w:hideMark/>
          </w:tcPr>
          <w:p w:rsidR="00152D02" w:rsidRPr="00456014" w:rsidRDefault="00152D02" w:rsidP="008511A8">
            <w:pPr>
              <w:spacing w:before="0" w:after="0"/>
              <w:jc w:val="center"/>
              <w:rPr>
                <w:rFonts w:eastAsia="Times New Roman"/>
              </w:rPr>
            </w:pPr>
            <w:r w:rsidRPr="00456014">
              <w:rPr>
                <w:rFonts w:eastAsia="Times New Roman"/>
              </w:rPr>
              <w:t>Sand</w:t>
            </w:r>
          </w:p>
        </w:tc>
        <w:tc>
          <w:tcPr>
            <w:tcW w:w="821" w:type="pct"/>
            <w:tcBorders>
              <w:top w:val="single" w:sz="4" w:space="0" w:color="auto"/>
            </w:tcBorders>
            <w:shd w:val="clear" w:color="auto" w:fill="auto"/>
            <w:noWrap/>
            <w:hideMark/>
          </w:tcPr>
          <w:p w:rsidR="00152D02" w:rsidRPr="00456014" w:rsidRDefault="00152D02" w:rsidP="008511A8">
            <w:pPr>
              <w:spacing w:before="0" w:after="0"/>
              <w:jc w:val="center"/>
              <w:rPr>
                <w:rFonts w:eastAsia="Times New Roman"/>
              </w:rPr>
            </w:pPr>
            <w:r w:rsidRPr="00456014">
              <w:rPr>
                <w:rFonts w:eastAsia="Times New Roman"/>
              </w:rPr>
              <w:t>Very high</w:t>
            </w:r>
          </w:p>
        </w:tc>
        <w:tc>
          <w:tcPr>
            <w:tcW w:w="499" w:type="pct"/>
            <w:tcBorders>
              <w:top w:val="single" w:sz="4" w:space="0" w:color="auto"/>
            </w:tcBorders>
            <w:shd w:val="clear" w:color="auto" w:fill="auto"/>
          </w:tcPr>
          <w:p w:rsidR="00152D02" w:rsidRPr="00456014" w:rsidRDefault="00152D02" w:rsidP="008511A8">
            <w:pPr>
              <w:spacing w:before="0" w:after="0"/>
              <w:jc w:val="center"/>
            </w:pPr>
            <w:r w:rsidRPr="00456014">
              <w:t>0.5</w:t>
            </w:r>
          </w:p>
        </w:tc>
        <w:tc>
          <w:tcPr>
            <w:tcW w:w="759" w:type="pct"/>
            <w:tcBorders>
              <w:top w:val="single" w:sz="4" w:space="0" w:color="auto"/>
            </w:tcBorders>
          </w:tcPr>
          <w:p w:rsidR="00152D02" w:rsidRPr="00456014" w:rsidRDefault="00152D02" w:rsidP="008511A8">
            <w:pPr>
              <w:spacing w:before="0" w:after="0"/>
              <w:jc w:val="center"/>
            </w:pPr>
            <w:r>
              <w:t>5</w:t>
            </w:r>
          </w:p>
        </w:tc>
        <w:tc>
          <w:tcPr>
            <w:tcW w:w="759" w:type="pct"/>
            <w:tcBorders>
              <w:top w:val="single" w:sz="4" w:space="0" w:color="auto"/>
            </w:tcBorders>
            <w:shd w:val="clear" w:color="auto" w:fill="auto"/>
          </w:tcPr>
          <w:p w:rsidR="00152D02" w:rsidRPr="00456014" w:rsidRDefault="00152D02" w:rsidP="008511A8">
            <w:pPr>
              <w:spacing w:before="0" w:after="0"/>
              <w:jc w:val="center"/>
            </w:pPr>
            <w:r w:rsidRPr="00456014">
              <w:t>51</w:t>
            </w:r>
          </w:p>
        </w:tc>
        <w:tc>
          <w:tcPr>
            <w:tcW w:w="623" w:type="pct"/>
            <w:vMerge w:val="restart"/>
            <w:tcBorders>
              <w:top w:val="single" w:sz="4" w:space="0" w:color="auto"/>
            </w:tcBorders>
            <w:shd w:val="clear" w:color="auto" w:fill="auto"/>
          </w:tcPr>
          <w:p w:rsidR="00152D02" w:rsidRPr="00456014" w:rsidRDefault="00152D02" w:rsidP="008511A8">
            <w:pPr>
              <w:spacing w:before="0" w:after="0"/>
              <w:jc w:val="center"/>
            </w:pPr>
            <w:r w:rsidRPr="00456014">
              <w:t>0.042</w:t>
            </w:r>
          </w:p>
        </w:tc>
      </w:tr>
      <w:tr w:rsidR="00152D02" w:rsidRPr="00456014" w:rsidTr="008511A8">
        <w:trPr>
          <w:trHeight w:val="252"/>
          <w:jc w:val="center"/>
        </w:trPr>
        <w:tc>
          <w:tcPr>
            <w:tcW w:w="1538" w:type="pct"/>
            <w:shd w:val="clear" w:color="auto" w:fill="auto"/>
            <w:noWrap/>
          </w:tcPr>
          <w:p w:rsidR="00152D02" w:rsidRPr="00456014" w:rsidRDefault="00152D02" w:rsidP="008511A8">
            <w:pPr>
              <w:spacing w:before="0" w:after="0"/>
              <w:jc w:val="center"/>
              <w:rPr>
                <w:rFonts w:eastAsia="Times New Roman"/>
              </w:rPr>
            </w:pPr>
            <w:r w:rsidRPr="00456014">
              <w:rPr>
                <w:rFonts w:eastAsia="Times New Roman"/>
              </w:rPr>
              <w:t>Sandy loam</w:t>
            </w:r>
          </w:p>
        </w:tc>
        <w:tc>
          <w:tcPr>
            <w:tcW w:w="821" w:type="pct"/>
            <w:shd w:val="clear" w:color="auto" w:fill="auto"/>
            <w:noWrap/>
            <w:hideMark/>
          </w:tcPr>
          <w:p w:rsidR="00152D02" w:rsidRPr="00456014" w:rsidRDefault="00152D02" w:rsidP="008511A8">
            <w:pPr>
              <w:spacing w:before="0" w:after="0"/>
              <w:jc w:val="center"/>
              <w:rPr>
                <w:rFonts w:eastAsia="Times New Roman"/>
              </w:rPr>
            </w:pPr>
            <w:r w:rsidRPr="00456014">
              <w:rPr>
                <w:rFonts w:eastAsia="Times New Roman"/>
              </w:rPr>
              <w:t>High</w:t>
            </w:r>
          </w:p>
        </w:tc>
        <w:tc>
          <w:tcPr>
            <w:tcW w:w="499" w:type="pct"/>
            <w:shd w:val="clear" w:color="auto" w:fill="auto"/>
          </w:tcPr>
          <w:p w:rsidR="00152D02" w:rsidRPr="00456014" w:rsidRDefault="00152D02" w:rsidP="008511A8">
            <w:pPr>
              <w:spacing w:before="0" w:after="0"/>
              <w:jc w:val="center"/>
            </w:pPr>
            <w:r w:rsidRPr="00456014">
              <w:t>764</w:t>
            </w:r>
          </w:p>
        </w:tc>
        <w:tc>
          <w:tcPr>
            <w:tcW w:w="759" w:type="pct"/>
          </w:tcPr>
          <w:p w:rsidR="00152D02" w:rsidRPr="00456014" w:rsidRDefault="00152D02" w:rsidP="008511A8">
            <w:pPr>
              <w:spacing w:before="0" w:after="0"/>
              <w:jc w:val="center"/>
            </w:pPr>
            <w:r>
              <w:t>4</w:t>
            </w:r>
          </w:p>
        </w:tc>
        <w:tc>
          <w:tcPr>
            <w:tcW w:w="759" w:type="pct"/>
            <w:shd w:val="clear" w:color="auto" w:fill="auto"/>
          </w:tcPr>
          <w:p w:rsidR="00152D02" w:rsidRPr="00456014" w:rsidRDefault="00152D02" w:rsidP="008511A8">
            <w:pPr>
              <w:spacing w:before="0" w:after="0"/>
              <w:jc w:val="center"/>
            </w:pPr>
            <w:r w:rsidRPr="00456014">
              <w:t>25</w:t>
            </w:r>
          </w:p>
        </w:tc>
        <w:tc>
          <w:tcPr>
            <w:tcW w:w="623" w:type="pct"/>
            <w:vMerge/>
            <w:shd w:val="clear" w:color="auto" w:fill="auto"/>
          </w:tcPr>
          <w:p w:rsidR="00152D02" w:rsidRPr="00456014" w:rsidRDefault="00152D02" w:rsidP="008511A8">
            <w:pPr>
              <w:spacing w:before="0" w:after="0"/>
            </w:pPr>
          </w:p>
        </w:tc>
      </w:tr>
      <w:tr w:rsidR="00152D02" w:rsidRPr="00456014" w:rsidTr="008511A8">
        <w:trPr>
          <w:trHeight w:val="252"/>
          <w:jc w:val="center"/>
        </w:trPr>
        <w:tc>
          <w:tcPr>
            <w:tcW w:w="1538" w:type="pct"/>
            <w:shd w:val="clear" w:color="auto" w:fill="auto"/>
            <w:noWrap/>
          </w:tcPr>
          <w:p w:rsidR="00152D02" w:rsidRPr="00456014" w:rsidRDefault="00152D02" w:rsidP="008511A8">
            <w:pPr>
              <w:spacing w:before="0" w:after="0"/>
              <w:jc w:val="center"/>
              <w:rPr>
                <w:rFonts w:eastAsia="Times New Roman"/>
              </w:rPr>
            </w:pPr>
            <w:r w:rsidRPr="00456014">
              <w:rPr>
                <w:rFonts w:eastAsia="Times New Roman"/>
              </w:rPr>
              <w:t>Loam</w:t>
            </w:r>
          </w:p>
        </w:tc>
        <w:tc>
          <w:tcPr>
            <w:tcW w:w="821" w:type="pct"/>
            <w:shd w:val="clear" w:color="auto" w:fill="auto"/>
            <w:noWrap/>
            <w:hideMark/>
          </w:tcPr>
          <w:p w:rsidR="00152D02" w:rsidRPr="00456014" w:rsidRDefault="00152D02" w:rsidP="008511A8">
            <w:pPr>
              <w:spacing w:before="0" w:after="0"/>
              <w:jc w:val="center"/>
              <w:rPr>
                <w:rFonts w:eastAsia="Times New Roman"/>
              </w:rPr>
            </w:pPr>
            <w:r w:rsidRPr="00456014">
              <w:rPr>
                <w:rFonts w:eastAsia="Times New Roman"/>
              </w:rPr>
              <w:t>Moderate</w:t>
            </w:r>
          </w:p>
        </w:tc>
        <w:tc>
          <w:tcPr>
            <w:tcW w:w="499" w:type="pct"/>
            <w:shd w:val="clear" w:color="auto" w:fill="auto"/>
          </w:tcPr>
          <w:p w:rsidR="00152D02" w:rsidRPr="00456014" w:rsidRDefault="00152D02" w:rsidP="008511A8">
            <w:pPr>
              <w:spacing w:before="0" w:after="0"/>
              <w:jc w:val="center"/>
            </w:pPr>
            <w:r w:rsidRPr="00456014">
              <w:t>607.7</w:t>
            </w:r>
          </w:p>
        </w:tc>
        <w:tc>
          <w:tcPr>
            <w:tcW w:w="759" w:type="pct"/>
          </w:tcPr>
          <w:p w:rsidR="00152D02" w:rsidRPr="00456014" w:rsidRDefault="00152D02" w:rsidP="008511A8">
            <w:pPr>
              <w:spacing w:before="0" w:after="0"/>
              <w:jc w:val="center"/>
            </w:pPr>
            <w:r>
              <w:t>3</w:t>
            </w:r>
          </w:p>
        </w:tc>
        <w:tc>
          <w:tcPr>
            <w:tcW w:w="759" w:type="pct"/>
            <w:shd w:val="clear" w:color="auto" w:fill="auto"/>
          </w:tcPr>
          <w:p w:rsidR="00152D02" w:rsidRPr="00456014" w:rsidRDefault="00152D02" w:rsidP="008511A8">
            <w:pPr>
              <w:spacing w:before="0" w:after="0"/>
              <w:jc w:val="center"/>
            </w:pPr>
            <w:r w:rsidRPr="00456014">
              <w:t>14</w:t>
            </w:r>
          </w:p>
        </w:tc>
        <w:tc>
          <w:tcPr>
            <w:tcW w:w="623" w:type="pct"/>
            <w:vMerge/>
            <w:shd w:val="clear" w:color="auto" w:fill="auto"/>
          </w:tcPr>
          <w:p w:rsidR="00152D02" w:rsidRPr="00456014" w:rsidRDefault="00152D02" w:rsidP="008511A8">
            <w:pPr>
              <w:spacing w:before="0" w:after="0"/>
            </w:pPr>
          </w:p>
        </w:tc>
      </w:tr>
      <w:tr w:rsidR="00152D02" w:rsidRPr="00456014" w:rsidTr="008511A8">
        <w:trPr>
          <w:trHeight w:val="252"/>
          <w:jc w:val="center"/>
        </w:trPr>
        <w:tc>
          <w:tcPr>
            <w:tcW w:w="1538" w:type="pct"/>
            <w:shd w:val="clear" w:color="auto" w:fill="auto"/>
            <w:noWrap/>
          </w:tcPr>
          <w:p w:rsidR="00152D02" w:rsidRPr="00456014" w:rsidRDefault="00152D02" w:rsidP="008511A8">
            <w:pPr>
              <w:spacing w:before="0" w:after="0"/>
              <w:jc w:val="center"/>
              <w:rPr>
                <w:rFonts w:eastAsia="Times New Roman"/>
              </w:rPr>
            </w:pPr>
            <w:r w:rsidRPr="00456014">
              <w:rPr>
                <w:rFonts w:eastAsia="Times New Roman"/>
              </w:rPr>
              <w:t>Sand clay loam/clay loam</w:t>
            </w:r>
          </w:p>
        </w:tc>
        <w:tc>
          <w:tcPr>
            <w:tcW w:w="821" w:type="pct"/>
            <w:shd w:val="clear" w:color="auto" w:fill="auto"/>
            <w:noWrap/>
            <w:hideMark/>
          </w:tcPr>
          <w:p w:rsidR="00152D02" w:rsidRPr="00456014" w:rsidRDefault="00152D02" w:rsidP="008511A8">
            <w:pPr>
              <w:spacing w:before="0" w:after="0"/>
              <w:jc w:val="center"/>
              <w:rPr>
                <w:rFonts w:eastAsia="Times New Roman"/>
              </w:rPr>
            </w:pPr>
            <w:r w:rsidRPr="00456014">
              <w:rPr>
                <w:rFonts w:eastAsia="Times New Roman"/>
              </w:rPr>
              <w:t>Low</w:t>
            </w:r>
          </w:p>
        </w:tc>
        <w:tc>
          <w:tcPr>
            <w:tcW w:w="499" w:type="pct"/>
            <w:shd w:val="clear" w:color="auto" w:fill="auto"/>
          </w:tcPr>
          <w:p w:rsidR="00152D02" w:rsidRPr="00456014" w:rsidRDefault="00152D02" w:rsidP="008511A8">
            <w:pPr>
              <w:spacing w:before="0" w:after="0"/>
              <w:jc w:val="center"/>
            </w:pPr>
            <w:r w:rsidRPr="00456014">
              <w:t>1692.3</w:t>
            </w:r>
          </w:p>
        </w:tc>
        <w:tc>
          <w:tcPr>
            <w:tcW w:w="759" w:type="pct"/>
          </w:tcPr>
          <w:p w:rsidR="00152D02" w:rsidRPr="00456014" w:rsidRDefault="00152D02" w:rsidP="008511A8">
            <w:pPr>
              <w:spacing w:before="0" w:after="0"/>
              <w:jc w:val="center"/>
            </w:pPr>
            <w:r>
              <w:t>2</w:t>
            </w:r>
          </w:p>
        </w:tc>
        <w:tc>
          <w:tcPr>
            <w:tcW w:w="759" w:type="pct"/>
            <w:shd w:val="clear" w:color="auto" w:fill="auto"/>
          </w:tcPr>
          <w:p w:rsidR="00152D02" w:rsidRPr="00456014" w:rsidRDefault="00152D02" w:rsidP="008511A8">
            <w:pPr>
              <w:spacing w:before="0" w:after="0"/>
              <w:jc w:val="center"/>
            </w:pPr>
            <w:r w:rsidRPr="00456014">
              <w:t>6</w:t>
            </w:r>
          </w:p>
        </w:tc>
        <w:tc>
          <w:tcPr>
            <w:tcW w:w="623" w:type="pct"/>
            <w:vMerge/>
            <w:shd w:val="clear" w:color="auto" w:fill="auto"/>
          </w:tcPr>
          <w:p w:rsidR="00152D02" w:rsidRPr="00456014" w:rsidRDefault="00152D02" w:rsidP="008511A8">
            <w:pPr>
              <w:spacing w:before="0" w:after="0"/>
            </w:pPr>
          </w:p>
        </w:tc>
      </w:tr>
      <w:tr w:rsidR="00152D02" w:rsidRPr="00456014" w:rsidTr="008511A8">
        <w:trPr>
          <w:trHeight w:val="252"/>
          <w:jc w:val="center"/>
        </w:trPr>
        <w:tc>
          <w:tcPr>
            <w:tcW w:w="1538" w:type="pct"/>
            <w:shd w:val="clear" w:color="auto" w:fill="auto"/>
            <w:noWrap/>
          </w:tcPr>
          <w:p w:rsidR="00152D02" w:rsidRPr="00456014" w:rsidRDefault="00152D02" w:rsidP="008511A8">
            <w:pPr>
              <w:spacing w:before="0" w:after="0"/>
              <w:jc w:val="center"/>
              <w:rPr>
                <w:rFonts w:eastAsia="Times New Roman"/>
              </w:rPr>
            </w:pPr>
            <w:r w:rsidRPr="00456014">
              <w:rPr>
                <w:rFonts w:eastAsia="Times New Roman"/>
              </w:rPr>
              <w:t>Sandy clay /clay (light)</w:t>
            </w:r>
          </w:p>
        </w:tc>
        <w:tc>
          <w:tcPr>
            <w:tcW w:w="821" w:type="pct"/>
            <w:shd w:val="clear" w:color="auto" w:fill="auto"/>
            <w:noWrap/>
            <w:hideMark/>
          </w:tcPr>
          <w:p w:rsidR="00152D02" w:rsidRPr="00456014" w:rsidRDefault="00152D02" w:rsidP="008511A8">
            <w:pPr>
              <w:spacing w:before="0" w:after="0"/>
              <w:jc w:val="center"/>
              <w:rPr>
                <w:rFonts w:eastAsia="Times New Roman"/>
              </w:rPr>
            </w:pPr>
            <w:r w:rsidRPr="00456014">
              <w:rPr>
                <w:rFonts w:eastAsia="Times New Roman"/>
              </w:rPr>
              <w:t>Very low</w:t>
            </w:r>
          </w:p>
        </w:tc>
        <w:tc>
          <w:tcPr>
            <w:tcW w:w="499" w:type="pct"/>
            <w:shd w:val="clear" w:color="auto" w:fill="auto"/>
          </w:tcPr>
          <w:p w:rsidR="00152D02" w:rsidRPr="00456014" w:rsidRDefault="00152D02" w:rsidP="008511A8">
            <w:pPr>
              <w:spacing w:before="0" w:after="0"/>
              <w:jc w:val="center"/>
            </w:pPr>
            <w:r w:rsidRPr="00456014">
              <w:t>1348.7</w:t>
            </w:r>
          </w:p>
        </w:tc>
        <w:tc>
          <w:tcPr>
            <w:tcW w:w="759" w:type="pct"/>
          </w:tcPr>
          <w:p w:rsidR="00152D02" w:rsidRPr="00456014" w:rsidRDefault="00152D02" w:rsidP="008511A8">
            <w:pPr>
              <w:spacing w:before="0" w:after="0"/>
              <w:jc w:val="center"/>
            </w:pPr>
            <w:r>
              <w:t>1</w:t>
            </w:r>
          </w:p>
        </w:tc>
        <w:tc>
          <w:tcPr>
            <w:tcW w:w="759" w:type="pct"/>
            <w:shd w:val="clear" w:color="auto" w:fill="auto"/>
          </w:tcPr>
          <w:p w:rsidR="00152D02" w:rsidRPr="00456014" w:rsidRDefault="00152D02" w:rsidP="008511A8">
            <w:pPr>
              <w:spacing w:before="0" w:after="0"/>
              <w:jc w:val="center"/>
            </w:pPr>
            <w:r w:rsidRPr="00456014">
              <w:t>4</w:t>
            </w:r>
          </w:p>
        </w:tc>
        <w:tc>
          <w:tcPr>
            <w:tcW w:w="623" w:type="pct"/>
            <w:vMerge/>
            <w:shd w:val="clear" w:color="auto" w:fill="auto"/>
          </w:tcPr>
          <w:p w:rsidR="00152D02" w:rsidRPr="00456014" w:rsidRDefault="00152D02" w:rsidP="008511A8">
            <w:pPr>
              <w:spacing w:before="0" w:after="0"/>
            </w:pPr>
          </w:p>
        </w:tc>
      </w:tr>
    </w:tbl>
    <w:p w:rsidR="00152D02" w:rsidRPr="00456014" w:rsidRDefault="00A34733" w:rsidP="00F13B95">
      <w:pPr>
        <w:rPr>
          <w:iCs/>
          <w:szCs w:val="36"/>
        </w:rPr>
      </w:pPr>
      <w:r>
        <w:rPr>
          <w:iCs/>
          <w:szCs w:val="36"/>
        </w:rPr>
        <w:t>*</w:t>
      </w:r>
      <w:r w:rsidR="00152D02" w:rsidRPr="00456014">
        <w:rPr>
          <w:iCs/>
          <w:szCs w:val="36"/>
        </w:rPr>
        <w:t xml:space="preserve"> </w:t>
      </w:r>
      <w:r w:rsidR="00152D02" w:rsidRPr="00456014">
        <w:rPr>
          <w:iCs/>
          <w:szCs w:val="36"/>
        </w:rPr>
        <w:fldChar w:fldCharType="begin" w:fldLock="1"/>
      </w:r>
      <w:r w:rsidR="00A309A8">
        <w:rPr>
          <w:iCs/>
          <w:szCs w:val="36"/>
        </w:rPr>
        <w:instrText>ADDIN CSL_CITATION {"citationItems":[{"id":"ITEM-1","itemData":{"abstract":"abstract Land and water are vital resources to maintain the environment and livelihoods of mankind. Understanding the spatial variability ofthese resources has significant importance for planning, management, and utilization thereof. Despite their importance, there is no available, coherent, and systematically organized method for the characterization and mapping of the soil and hydrological systems in Ethiopia. A review-based research aimed at developing a geo-database of soils for hydrological studies and generation of the hydrological zones of the country based on the surface runoff potential is reported. In this analysis, data from 930 rainfall and 212 meteorological stations were used. Analysis based on a weighted overlay technique within ArcGIS using data from various sources and scales was conducted. A regression equation was used to develop the soil geo-database, scale factors of soil, land slope and climatic layers. An iterative analysis and expert knowl- edge was also used to determine the weights of the layers for the hydrological zoning. Results from this study provide valuable information about the hydrological zones of Ethiopia and an improved spatial soil database at 1:250,000 scale for the first time. Generated maps and zones will improve the hydrological understanding of the various regions of the country","author":[{"dropping-particle":"","family":"Berhanu","given":"Belete","non-dropping-particle":"","parse-names":false,"suffix":""},{"dropping-particle":"","family":"Melesse","given":"Assefa M.","non-dropping-particle":"","parse-names":false,"suffix":""},{"dropping-particle":"","family":"Sileshi","given":"Yilma","non-dropping-particle":"","parse-names":false,"suffix":""}],"container-title":"Journal of soil science hydrology geomorphology","id":"ITEM-1","issued":{"date-parts":[["2013"]]},"page":"21-31","title":"GIS-based hydrological zones and soil geo-database of Ethiopia","type":"article-journal","volume":"104"},"uris":["http://www.mendeley.com/documents/?uuid=d93bb907-bdf0-4b00-801b-3f2db39a31b2","http://www.mendeley.com/documents/?uuid=03511652-68bd-4b9e-89f3-c7e07112c2ac"]},{"id":"ITEM-2","itemData":{"author":[{"dropping-particle":"","family":"Eszobedo","given":"J.","non-dropping-particle":"","parse-names":false,"suffix":""}],"id":"ITEM-2","issued":{"date-parts":[["1998"]]},"publisher-place":"Addis Ababa, Ethiopia","title":"Assistance to soil and water conservation program, phase III, field document No. 19 ETH/85/016.","type":"report"},"uris":["http://www.mendeley.com/documents/?uuid=890d7151-b2bf-453e-9eff-e2108a3f92f0","http://www.mendeley.com/documents/?uuid=4a890a50-548c-4837-aad4-b028bf1e51c8"]}],"mendeley":{"formattedCitation":"(B. Berhanu et al., 2013; Eszobedo, 1998)","manualFormatting":"(Assistance to Soil and Water Conservation Program, Phase III, field document No. 19 ETH/85/016., 1998; Berhanu et al., 2013)","plainTextFormattedCitation":"(B. Berhanu et al., 2013; Eszobedo, 1998)","previouslyFormattedCitation":"(B. Berhanu et al., 2013; Eszobedo, 1998)"},"properties":{"noteIndex":0},"schema":"https://github.com/citation-style-language/schema/raw/master/csl-citation.json"}</w:instrText>
      </w:r>
      <w:r w:rsidR="00152D02" w:rsidRPr="00456014">
        <w:rPr>
          <w:iCs/>
          <w:szCs w:val="36"/>
        </w:rPr>
        <w:fldChar w:fldCharType="separate"/>
      </w:r>
      <w:r w:rsidR="00152D02" w:rsidRPr="00456014">
        <w:rPr>
          <w:iCs/>
          <w:noProof/>
          <w:szCs w:val="36"/>
        </w:rPr>
        <w:t>(Assistance to Soil and Water Conservation Program, Phase III, field document No. 19 ETH/85/016., 1998; Berhanu et al., 2013)</w:t>
      </w:r>
      <w:r w:rsidR="00152D02" w:rsidRPr="00456014">
        <w:rPr>
          <w:iCs/>
          <w:szCs w:val="36"/>
        </w:rPr>
        <w:fldChar w:fldCharType="end"/>
      </w:r>
    </w:p>
    <w:p w:rsidR="002D7929" w:rsidRPr="00B95FD8" w:rsidRDefault="00CC6EF8" w:rsidP="00F13B95">
      <w:pPr>
        <w:jc w:val="center"/>
      </w:pPr>
      <w:r w:rsidRPr="00CC6EF8">
        <w:rPr>
          <w:noProof/>
        </w:rPr>
        <w:lastRenderedPageBreak/>
        <w:drawing>
          <wp:inline distT="0" distB="0" distL="0" distR="0" wp14:anchorId="2A1F9FEA" wp14:editId="1A46AC93">
            <wp:extent cx="5422604" cy="3834008"/>
            <wp:effectExtent l="19050" t="19050" r="26035" b="14605"/>
            <wp:docPr id="12" name="Picture 12" descr="C:\Users\Abdul Gafar\Desktop\Report_MXD_JPEG\Soil\SOIL_tx_fnl1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bdul Gafar\Desktop\Report_MXD_JPEG\Soil\SOIL_tx_fnl11.bmp"/>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485913" cy="3878770"/>
                    </a:xfrm>
                    <a:prstGeom prst="rect">
                      <a:avLst/>
                    </a:prstGeom>
                    <a:noFill/>
                    <a:ln w="12700">
                      <a:solidFill>
                        <a:schemeClr val="tx1"/>
                      </a:solidFill>
                    </a:ln>
                  </pic:spPr>
                </pic:pic>
              </a:graphicData>
            </a:graphic>
          </wp:inline>
        </w:drawing>
      </w:r>
    </w:p>
    <w:p w:rsidR="00FF6BFC" w:rsidRDefault="00C267B4" w:rsidP="00F13B95">
      <w:pPr>
        <w:pStyle w:val="Caption"/>
        <w:spacing w:before="120" w:after="120" w:line="360" w:lineRule="auto"/>
        <w:rPr>
          <w:i w:val="0"/>
          <w:iCs w:val="0"/>
          <w:color w:val="auto"/>
          <w:sz w:val="24"/>
          <w:szCs w:val="22"/>
        </w:rPr>
      </w:pPr>
      <w:bookmarkStart w:id="214" w:name="_Toc68761638"/>
      <w:r w:rsidRPr="00456014">
        <w:rPr>
          <w:i w:val="0"/>
          <w:iCs w:val="0"/>
          <w:color w:val="auto"/>
          <w:sz w:val="24"/>
          <w:szCs w:val="24"/>
        </w:rPr>
        <w:t>Figure</w:t>
      </w:r>
      <w:r w:rsidR="00FF6BFC" w:rsidRPr="00456014">
        <w:rPr>
          <w:i w:val="0"/>
          <w:iCs w:val="0"/>
          <w:color w:val="auto"/>
          <w:sz w:val="24"/>
          <w:szCs w:val="24"/>
        </w:rPr>
        <w:t xml:space="preserve"> </w:t>
      </w:r>
      <w:r w:rsidR="001342E5">
        <w:rPr>
          <w:i w:val="0"/>
          <w:iCs w:val="0"/>
          <w:color w:val="auto"/>
          <w:sz w:val="24"/>
          <w:szCs w:val="24"/>
        </w:rPr>
        <w:fldChar w:fldCharType="begin"/>
      </w:r>
      <w:r w:rsidR="001342E5">
        <w:rPr>
          <w:i w:val="0"/>
          <w:iCs w:val="0"/>
          <w:color w:val="auto"/>
          <w:sz w:val="24"/>
          <w:szCs w:val="24"/>
        </w:rPr>
        <w:instrText xml:space="preserve"> STYLEREF 1 \s </w:instrText>
      </w:r>
      <w:r w:rsidR="001342E5">
        <w:rPr>
          <w:i w:val="0"/>
          <w:iCs w:val="0"/>
          <w:color w:val="auto"/>
          <w:sz w:val="24"/>
          <w:szCs w:val="24"/>
        </w:rPr>
        <w:fldChar w:fldCharType="separate"/>
      </w:r>
      <w:r w:rsidR="00BD510E">
        <w:rPr>
          <w:i w:val="0"/>
          <w:iCs w:val="0"/>
          <w:noProof/>
          <w:color w:val="auto"/>
          <w:sz w:val="24"/>
          <w:szCs w:val="24"/>
        </w:rPr>
        <w:t>4</w:t>
      </w:r>
      <w:r w:rsidR="001342E5">
        <w:rPr>
          <w:i w:val="0"/>
          <w:iCs w:val="0"/>
          <w:color w:val="auto"/>
          <w:sz w:val="24"/>
          <w:szCs w:val="24"/>
        </w:rPr>
        <w:fldChar w:fldCharType="end"/>
      </w:r>
      <w:r w:rsidR="001342E5">
        <w:rPr>
          <w:i w:val="0"/>
          <w:iCs w:val="0"/>
          <w:color w:val="auto"/>
          <w:sz w:val="24"/>
          <w:szCs w:val="24"/>
        </w:rPr>
        <w:t>.</w:t>
      </w:r>
      <w:r w:rsidR="001342E5">
        <w:rPr>
          <w:i w:val="0"/>
          <w:iCs w:val="0"/>
          <w:color w:val="auto"/>
          <w:sz w:val="24"/>
          <w:szCs w:val="24"/>
        </w:rPr>
        <w:fldChar w:fldCharType="begin"/>
      </w:r>
      <w:r w:rsidR="001342E5">
        <w:rPr>
          <w:i w:val="0"/>
          <w:iCs w:val="0"/>
          <w:color w:val="auto"/>
          <w:sz w:val="24"/>
          <w:szCs w:val="24"/>
        </w:rPr>
        <w:instrText xml:space="preserve"> SEQ Figure \* ARABIC \s 1 </w:instrText>
      </w:r>
      <w:r w:rsidR="001342E5">
        <w:rPr>
          <w:i w:val="0"/>
          <w:iCs w:val="0"/>
          <w:color w:val="auto"/>
          <w:sz w:val="24"/>
          <w:szCs w:val="24"/>
        </w:rPr>
        <w:fldChar w:fldCharType="separate"/>
      </w:r>
      <w:r w:rsidR="00BD510E">
        <w:rPr>
          <w:i w:val="0"/>
          <w:iCs w:val="0"/>
          <w:noProof/>
          <w:color w:val="auto"/>
          <w:sz w:val="24"/>
          <w:szCs w:val="24"/>
        </w:rPr>
        <w:t>20</w:t>
      </w:r>
      <w:r w:rsidR="001342E5">
        <w:rPr>
          <w:i w:val="0"/>
          <w:iCs w:val="0"/>
          <w:color w:val="auto"/>
          <w:sz w:val="24"/>
          <w:szCs w:val="24"/>
        </w:rPr>
        <w:fldChar w:fldCharType="end"/>
      </w:r>
      <w:r w:rsidR="001A02B3" w:rsidRPr="00456014">
        <w:rPr>
          <w:i w:val="0"/>
          <w:iCs w:val="0"/>
          <w:color w:val="auto"/>
          <w:sz w:val="24"/>
          <w:szCs w:val="24"/>
        </w:rPr>
        <w:t>:</w:t>
      </w:r>
      <w:r w:rsidR="00FF6BFC" w:rsidRPr="00456014">
        <w:rPr>
          <w:i w:val="0"/>
          <w:iCs w:val="0"/>
          <w:color w:val="auto"/>
          <w:sz w:val="24"/>
          <w:szCs w:val="24"/>
        </w:rPr>
        <w:t xml:space="preserve"> </w:t>
      </w:r>
      <w:r w:rsidR="002D7929">
        <w:rPr>
          <w:i w:val="0"/>
          <w:iCs w:val="0"/>
          <w:color w:val="auto"/>
          <w:sz w:val="24"/>
          <w:szCs w:val="36"/>
        </w:rPr>
        <w:t xml:space="preserve">The soil texture classes </w:t>
      </w:r>
      <w:r w:rsidR="003D768E" w:rsidRPr="00456014">
        <w:rPr>
          <w:i w:val="0"/>
          <w:iCs w:val="0"/>
          <w:color w:val="auto"/>
          <w:sz w:val="24"/>
          <w:szCs w:val="36"/>
        </w:rPr>
        <w:t xml:space="preserve">of </w:t>
      </w:r>
      <w:r w:rsidR="00B95FD8">
        <w:rPr>
          <w:i w:val="0"/>
          <w:iCs w:val="0"/>
          <w:color w:val="auto"/>
          <w:sz w:val="24"/>
          <w:szCs w:val="36"/>
        </w:rPr>
        <w:t>study area</w:t>
      </w:r>
      <w:bookmarkEnd w:id="214"/>
      <w:r w:rsidR="00FF6BFC" w:rsidRPr="00456014">
        <w:rPr>
          <w:i w:val="0"/>
          <w:iCs w:val="0"/>
          <w:color w:val="auto"/>
          <w:sz w:val="24"/>
          <w:szCs w:val="22"/>
        </w:rPr>
        <w:t xml:space="preserve"> </w:t>
      </w:r>
    </w:p>
    <w:p w:rsidR="00244126" w:rsidRPr="005613AD" w:rsidRDefault="005613AD" w:rsidP="00F13B95">
      <w:pPr>
        <w:jc w:val="center"/>
      </w:pPr>
      <w:r w:rsidRPr="005613AD">
        <w:rPr>
          <w:noProof/>
        </w:rPr>
        <w:drawing>
          <wp:inline distT="0" distB="0" distL="0" distR="0" wp14:anchorId="245751B4" wp14:editId="44E6391D">
            <wp:extent cx="5458829" cy="3859619"/>
            <wp:effectExtent l="19050" t="19050" r="27940" b="26670"/>
            <wp:docPr id="14" name="Picture 14" descr="C:\Users\Abdul Gafar\Desktop\Report_MXD_JPEG\Soil\SOIL_tx_rec_fnl1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bdul Gafar\Desktop\Report_MXD_JPEG\Soil\SOIL_tx_rec_fnl11.bmp"/>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571209" cy="3939076"/>
                    </a:xfrm>
                    <a:prstGeom prst="rect">
                      <a:avLst/>
                    </a:prstGeom>
                    <a:noFill/>
                    <a:ln w="12700">
                      <a:solidFill>
                        <a:schemeClr val="tx1"/>
                      </a:solidFill>
                    </a:ln>
                  </pic:spPr>
                </pic:pic>
              </a:graphicData>
            </a:graphic>
          </wp:inline>
        </w:drawing>
      </w:r>
    </w:p>
    <w:p w:rsidR="00FF6BFC" w:rsidRDefault="00C267B4" w:rsidP="00F13B95">
      <w:pPr>
        <w:rPr>
          <w:iCs/>
          <w:szCs w:val="36"/>
        </w:rPr>
      </w:pPr>
      <w:bookmarkStart w:id="215" w:name="_Toc68761639"/>
      <w:r w:rsidRPr="00456014">
        <w:rPr>
          <w:iCs/>
        </w:rPr>
        <w:t>Figure</w:t>
      </w:r>
      <w:r w:rsidR="00FF6BFC" w:rsidRPr="00456014">
        <w:rPr>
          <w:iCs/>
        </w:rPr>
        <w:t xml:space="preserve"> </w:t>
      </w:r>
      <w:r w:rsidR="001342E5">
        <w:rPr>
          <w:iCs/>
        </w:rPr>
        <w:fldChar w:fldCharType="begin"/>
      </w:r>
      <w:r w:rsidR="001342E5">
        <w:rPr>
          <w:iCs/>
        </w:rPr>
        <w:instrText xml:space="preserve"> STYLEREF 1 \s </w:instrText>
      </w:r>
      <w:r w:rsidR="001342E5">
        <w:rPr>
          <w:iCs/>
        </w:rPr>
        <w:fldChar w:fldCharType="separate"/>
      </w:r>
      <w:r w:rsidR="00BD510E">
        <w:rPr>
          <w:iCs/>
          <w:noProof/>
        </w:rPr>
        <w:t>4</w:t>
      </w:r>
      <w:r w:rsidR="001342E5">
        <w:rPr>
          <w:iCs/>
        </w:rPr>
        <w:fldChar w:fldCharType="end"/>
      </w:r>
      <w:r w:rsidR="001342E5">
        <w:rPr>
          <w:iCs/>
        </w:rPr>
        <w:t>.</w:t>
      </w:r>
      <w:r w:rsidR="001342E5">
        <w:rPr>
          <w:iCs/>
        </w:rPr>
        <w:fldChar w:fldCharType="begin"/>
      </w:r>
      <w:r w:rsidR="001342E5">
        <w:rPr>
          <w:iCs/>
        </w:rPr>
        <w:instrText xml:space="preserve"> SEQ Figure \* ARABIC \s 1 </w:instrText>
      </w:r>
      <w:r w:rsidR="001342E5">
        <w:rPr>
          <w:iCs/>
        </w:rPr>
        <w:fldChar w:fldCharType="separate"/>
      </w:r>
      <w:r w:rsidR="00BD510E">
        <w:rPr>
          <w:iCs/>
          <w:noProof/>
        </w:rPr>
        <w:t>21</w:t>
      </w:r>
      <w:r w:rsidR="001342E5">
        <w:rPr>
          <w:iCs/>
        </w:rPr>
        <w:fldChar w:fldCharType="end"/>
      </w:r>
      <w:r w:rsidR="001A02B3" w:rsidRPr="00456014">
        <w:rPr>
          <w:iCs/>
        </w:rPr>
        <w:t>:</w:t>
      </w:r>
      <w:r w:rsidR="00FF6BFC" w:rsidRPr="00456014">
        <w:rPr>
          <w:iCs/>
        </w:rPr>
        <w:t xml:space="preserve"> </w:t>
      </w:r>
      <w:r w:rsidR="00FF6BFC" w:rsidRPr="00456014">
        <w:rPr>
          <w:iCs/>
          <w:szCs w:val="36"/>
        </w:rPr>
        <w:t xml:space="preserve">The reclassified </w:t>
      </w:r>
      <w:r w:rsidR="003D2A09" w:rsidRPr="00456014">
        <w:rPr>
          <w:iCs/>
          <w:szCs w:val="36"/>
        </w:rPr>
        <w:t>s</w:t>
      </w:r>
      <w:r w:rsidR="00A017B8" w:rsidRPr="00456014">
        <w:rPr>
          <w:iCs/>
          <w:szCs w:val="36"/>
        </w:rPr>
        <w:t xml:space="preserve">oil map of </w:t>
      </w:r>
      <w:r w:rsidR="00FF6BFC" w:rsidRPr="00456014">
        <w:rPr>
          <w:iCs/>
          <w:szCs w:val="36"/>
        </w:rPr>
        <w:t>study area</w:t>
      </w:r>
      <w:bookmarkEnd w:id="215"/>
    </w:p>
    <w:p w:rsidR="00853551" w:rsidRPr="00456014" w:rsidRDefault="004713E9" w:rsidP="008D3D8E">
      <w:pPr>
        <w:pStyle w:val="Heading2"/>
        <w:numPr>
          <w:ilvl w:val="1"/>
          <w:numId w:val="3"/>
        </w:numPr>
        <w:ind w:hanging="540"/>
        <w:rPr>
          <w:szCs w:val="24"/>
        </w:rPr>
      </w:pPr>
      <w:bookmarkStart w:id="216" w:name="_Toc68025102"/>
      <w:bookmarkStart w:id="217" w:name="_Toc68761584"/>
      <w:r w:rsidRPr="00456014">
        <w:rPr>
          <w:szCs w:val="24"/>
        </w:rPr>
        <w:lastRenderedPageBreak/>
        <w:t xml:space="preserve">Assignment </w:t>
      </w:r>
      <w:r w:rsidR="00705C30" w:rsidRPr="00456014">
        <w:rPr>
          <w:szCs w:val="24"/>
        </w:rPr>
        <w:t>of Weight to Factors</w:t>
      </w:r>
      <w:bookmarkEnd w:id="216"/>
      <w:bookmarkEnd w:id="217"/>
    </w:p>
    <w:p w:rsidR="0040723C" w:rsidRPr="00456014" w:rsidRDefault="00CE66C5" w:rsidP="00F13B95">
      <w:r w:rsidRPr="00456014">
        <w:t xml:space="preserve">The weight of </w:t>
      </w:r>
      <w:r w:rsidR="002A482C" w:rsidRPr="00456014">
        <w:t>physiograph</w:t>
      </w:r>
      <w:r w:rsidRPr="00456014">
        <w:t>ic, geology and climatic factor</w:t>
      </w:r>
      <w:r w:rsidR="001D718F" w:rsidRPr="00456014">
        <w:t xml:space="preserve"> </w:t>
      </w:r>
      <w:r w:rsidR="008D16AE">
        <w:t>were</w:t>
      </w:r>
      <w:r w:rsidRPr="00456014">
        <w:t xml:space="preserve"> determined on basis of </w:t>
      </w:r>
      <w:r w:rsidR="00E6034D" w:rsidRPr="00456014">
        <w:t xml:space="preserve">the </w:t>
      </w:r>
      <w:r w:rsidR="0082767D" w:rsidRPr="00456014">
        <w:t>factors relative importance</w:t>
      </w:r>
      <w:r w:rsidRPr="00456014">
        <w:t>.</w:t>
      </w:r>
      <w:r w:rsidR="00E6034D" w:rsidRPr="00456014">
        <w:t xml:space="preserve"> </w:t>
      </w:r>
      <w:r w:rsidR="007A3832" w:rsidRPr="00456014">
        <w:t>The</w:t>
      </w:r>
      <w:r w:rsidR="00D02E66" w:rsidRPr="00456014">
        <w:t xml:space="preserve"> </w:t>
      </w:r>
      <w:r w:rsidR="007A3832" w:rsidRPr="00456014">
        <w:t>physiographic</w:t>
      </w:r>
      <w:r w:rsidR="00D02E66" w:rsidRPr="00456014">
        <w:t xml:space="preserve"> and </w:t>
      </w:r>
      <w:r w:rsidR="007A3832" w:rsidRPr="00456014">
        <w:t xml:space="preserve">geologic </w:t>
      </w:r>
      <w:r w:rsidR="00356168" w:rsidRPr="00456014">
        <w:t>factor</w:t>
      </w:r>
      <w:r w:rsidR="00DD20E2">
        <w:t>s are</w:t>
      </w:r>
      <w:r w:rsidR="00356168" w:rsidRPr="00456014">
        <w:t xml:space="preserve"> </w:t>
      </w:r>
      <w:r w:rsidR="00D02E66" w:rsidRPr="00456014">
        <w:t xml:space="preserve">the </w:t>
      </w:r>
      <w:r w:rsidR="00A902B9" w:rsidRPr="00456014">
        <w:t>major</w:t>
      </w:r>
      <w:r w:rsidR="00D02E66" w:rsidRPr="00456014">
        <w:t xml:space="preserve"> factors</w:t>
      </w:r>
      <w:r w:rsidR="00B65A7D" w:rsidRPr="00456014">
        <w:t xml:space="preserve"> affecting GWPZ of Weyib Sub-basin</w:t>
      </w:r>
      <w:r w:rsidR="00D02E66" w:rsidRPr="00456014">
        <w:t>.</w:t>
      </w:r>
      <w:r w:rsidR="008904E3" w:rsidRPr="00456014">
        <w:t xml:space="preserve"> G</w:t>
      </w:r>
      <w:r w:rsidR="00CB2721" w:rsidRPr="00456014">
        <w:t>eomorphological landform</w:t>
      </w:r>
      <w:r w:rsidR="008904E3" w:rsidRPr="00456014">
        <w:t>s</w:t>
      </w:r>
      <w:r w:rsidR="00CB2721" w:rsidRPr="00456014">
        <w:t xml:space="preserve"> </w:t>
      </w:r>
      <w:r w:rsidR="006F56C3" w:rsidRPr="00456014">
        <w:t>determine</w:t>
      </w:r>
      <w:r w:rsidR="00870D8F">
        <w:t xml:space="preserve"> runoff, groundwater recharge</w:t>
      </w:r>
      <w:r w:rsidR="009A5C75" w:rsidRPr="00456014">
        <w:t xml:space="preserve"> and to s</w:t>
      </w:r>
      <w:r w:rsidR="00071881">
        <w:t xml:space="preserve">ome extent rainfall conditions. </w:t>
      </w:r>
      <w:r w:rsidR="00870D8F">
        <w:t>Hence, it</w:t>
      </w:r>
      <w:r w:rsidR="00071881">
        <w:t xml:space="preserve"> </w:t>
      </w:r>
      <w:r w:rsidR="00CB2721" w:rsidRPr="00456014">
        <w:t>is a dominant factor influenci</w:t>
      </w:r>
      <w:r w:rsidR="00C22A5D" w:rsidRPr="00456014">
        <w:t>ng the GWPZ</w:t>
      </w:r>
      <w:r w:rsidR="00071881">
        <w:t xml:space="preserve"> of study area</w:t>
      </w:r>
      <w:r w:rsidR="00CB2721" w:rsidRPr="00456014">
        <w:t>.</w:t>
      </w:r>
      <w:r w:rsidR="00430DAF" w:rsidRPr="00456014">
        <w:t xml:space="preserve"> </w:t>
      </w:r>
      <w:r w:rsidR="007A3832" w:rsidRPr="00456014">
        <w:t>Lineament density, geology and rainfall distribution are the second, third and fourth factors influe</w:t>
      </w:r>
      <w:r w:rsidR="006F56C3" w:rsidRPr="00456014">
        <w:t xml:space="preserve">ncing the GWPZ </w:t>
      </w:r>
      <w:r w:rsidR="007A3832" w:rsidRPr="00456014">
        <w:t xml:space="preserve">of </w:t>
      </w:r>
      <w:r w:rsidR="00A902B9" w:rsidRPr="00456014">
        <w:t>Weyib Sub-basin</w:t>
      </w:r>
      <w:r w:rsidR="0045448C" w:rsidRPr="00456014">
        <w:t xml:space="preserve">. </w:t>
      </w:r>
      <w:r w:rsidR="007A3832" w:rsidRPr="00456014">
        <w:t xml:space="preserve">The importance </w:t>
      </w:r>
      <w:r w:rsidR="00A902B9" w:rsidRPr="00456014">
        <w:t xml:space="preserve">of lineament is </w:t>
      </w:r>
      <w:r w:rsidR="007A3832" w:rsidRPr="00456014">
        <w:t>related to the ability of lineaments to act as conduit sites for groundwater recharg</w:t>
      </w:r>
      <w:r w:rsidR="00FE43A2" w:rsidRPr="00456014">
        <w:t xml:space="preserve">e and flow throughout the area. </w:t>
      </w:r>
      <w:r w:rsidR="00356168" w:rsidRPr="00456014">
        <w:t>Types of rocks determine peculiarities of cross-section structures hydrological property</w:t>
      </w:r>
      <w:r w:rsidR="00430DAF" w:rsidRPr="00456014">
        <w:t xml:space="preserve"> affecting groundwater movement</w:t>
      </w:r>
      <w:r w:rsidR="008C353A" w:rsidRPr="00456014">
        <w:t>.</w:t>
      </w:r>
      <w:r w:rsidR="009806B3" w:rsidRPr="00456014">
        <w:t xml:space="preserve"> </w:t>
      </w:r>
      <w:r w:rsidR="002A482C" w:rsidRPr="00456014">
        <w:t xml:space="preserve">Saaty’s (1980) pair-wise comparison of themes mentioned in </w:t>
      </w:r>
      <w:r w:rsidR="009F3AA9" w:rsidRPr="00456014">
        <w:t>Appendix table 1 and Table 3.1</w:t>
      </w:r>
      <w:r w:rsidR="00A54793">
        <w:t xml:space="preserve"> produced T</w:t>
      </w:r>
      <w:r w:rsidR="002A482C" w:rsidRPr="00456014">
        <w:t>able 4.1</w:t>
      </w:r>
      <w:r w:rsidR="00955C6D">
        <w:t>1</w:t>
      </w:r>
      <w:r w:rsidR="002A482C" w:rsidRPr="00456014">
        <w:t xml:space="preserve">, which shows the importance of themes in the first </w:t>
      </w:r>
      <w:r w:rsidR="00B07FC7" w:rsidRPr="00456014">
        <w:t>row</w:t>
      </w:r>
      <w:r w:rsidR="002A482C" w:rsidRPr="00456014">
        <w:t xml:space="preserve"> relative to the themes on the </w:t>
      </w:r>
      <w:r w:rsidR="00B07FC7" w:rsidRPr="00456014">
        <w:t>columns</w:t>
      </w:r>
      <w:r w:rsidR="002A482C" w:rsidRPr="00456014">
        <w:t xml:space="preserve">. </w:t>
      </w:r>
    </w:p>
    <w:p w:rsidR="00DD31F0" w:rsidRPr="00456014" w:rsidRDefault="007E17A3" w:rsidP="00F13B95">
      <w:pPr>
        <w:pStyle w:val="Caption"/>
        <w:keepNext/>
        <w:spacing w:before="120" w:after="120" w:line="360" w:lineRule="auto"/>
        <w:rPr>
          <w:i w:val="0"/>
          <w:color w:val="auto"/>
          <w:sz w:val="24"/>
          <w:szCs w:val="24"/>
        </w:rPr>
      </w:pPr>
      <w:bookmarkStart w:id="218" w:name="_Toc68761605"/>
      <w:r w:rsidRPr="00456014">
        <w:rPr>
          <w:i w:val="0"/>
          <w:color w:val="auto"/>
          <w:sz w:val="24"/>
          <w:szCs w:val="24"/>
        </w:rPr>
        <w:t xml:space="preserve">Table </w:t>
      </w:r>
      <w:r w:rsidR="001578A8" w:rsidRPr="00456014">
        <w:rPr>
          <w:i w:val="0"/>
          <w:color w:val="auto"/>
          <w:sz w:val="24"/>
          <w:szCs w:val="24"/>
        </w:rPr>
        <w:fldChar w:fldCharType="begin"/>
      </w:r>
      <w:r w:rsidR="001578A8" w:rsidRPr="00456014">
        <w:rPr>
          <w:i w:val="0"/>
          <w:color w:val="auto"/>
          <w:sz w:val="24"/>
          <w:szCs w:val="24"/>
        </w:rPr>
        <w:instrText xml:space="preserve"> STYLEREF 1 \s </w:instrText>
      </w:r>
      <w:r w:rsidR="001578A8" w:rsidRPr="00456014">
        <w:rPr>
          <w:i w:val="0"/>
          <w:color w:val="auto"/>
          <w:sz w:val="24"/>
          <w:szCs w:val="24"/>
        </w:rPr>
        <w:fldChar w:fldCharType="separate"/>
      </w:r>
      <w:r w:rsidR="00BD510E">
        <w:rPr>
          <w:i w:val="0"/>
          <w:noProof/>
          <w:color w:val="auto"/>
          <w:sz w:val="24"/>
          <w:szCs w:val="24"/>
        </w:rPr>
        <w:t>4</w:t>
      </w:r>
      <w:r w:rsidR="001578A8" w:rsidRPr="00456014">
        <w:rPr>
          <w:i w:val="0"/>
          <w:color w:val="auto"/>
          <w:sz w:val="24"/>
          <w:szCs w:val="24"/>
        </w:rPr>
        <w:fldChar w:fldCharType="end"/>
      </w:r>
      <w:r w:rsidR="001578A8" w:rsidRPr="00456014">
        <w:rPr>
          <w:i w:val="0"/>
          <w:color w:val="auto"/>
          <w:sz w:val="24"/>
          <w:szCs w:val="24"/>
        </w:rPr>
        <w:t>.</w:t>
      </w:r>
      <w:r w:rsidR="001578A8" w:rsidRPr="00456014">
        <w:rPr>
          <w:i w:val="0"/>
          <w:color w:val="auto"/>
          <w:sz w:val="24"/>
          <w:szCs w:val="24"/>
        </w:rPr>
        <w:fldChar w:fldCharType="begin"/>
      </w:r>
      <w:r w:rsidR="001578A8" w:rsidRPr="00456014">
        <w:rPr>
          <w:i w:val="0"/>
          <w:color w:val="auto"/>
          <w:sz w:val="24"/>
          <w:szCs w:val="24"/>
        </w:rPr>
        <w:instrText xml:space="preserve"> SEQ Table \* ARABIC \s 1 </w:instrText>
      </w:r>
      <w:r w:rsidR="001578A8" w:rsidRPr="00456014">
        <w:rPr>
          <w:i w:val="0"/>
          <w:color w:val="auto"/>
          <w:sz w:val="24"/>
          <w:szCs w:val="24"/>
        </w:rPr>
        <w:fldChar w:fldCharType="separate"/>
      </w:r>
      <w:r w:rsidR="00BD510E">
        <w:rPr>
          <w:i w:val="0"/>
          <w:noProof/>
          <w:color w:val="auto"/>
          <w:sz w:val="24"/>
          <w:szCs w:val="24"/>
        </w:rPr>
        <w:t>11</w:t>
      </w:r>
      <w:r w:rsidR="001578A8" w:rsidRPr="00456014">
        <w:rPr>
          <w:i w:val="0"/>
          <w:color w:val="auto"/>
          <w:sz w:val="24"/>
          <w:szCs w:val="24"/>
        </w:rPr>
        <w:fldChar w:fldCharType="end"/>
      </w:r>
      <w:r w:rsidR="001A02B3" w:rsidRPr="00456014">
        <w:rPr>
          <w:i w:val="0"/>
          <w:color w:val="auto"/>
          <w:sz w:val="24"/>
          <w:szCs w:val="24"/>
        </w:rPr>
        <w:t>:</w:t>
      </w:r>
      <w:r w:rsidRPr="00456014">
        <w:rPr>
          <w:i w:val="0"/>
          <w:color w:val="auto"/>
          <w:sz w:val="24"/>
          <w:szCs w:val="24"/>
        </w:rPr>
        <w:t xml:space="preserve"> </w:t>
      </w:r>
      <w:r w:rsidR="00105C6D" w:rsidRPr="00456014">
        <w:rPr>
          <w:i w:val="0"/>
          <w:color w:val="auto"/>
          <w:sz w:val="24"/>
          <w:szCs w:val="24"/>
        </w:rPr>
        <w:t>Pair</w:t>
      </w:r>
      <w:r w:rsidR="006831F3" w:rsidRPr="00456014">
        <w:rPr>
          <w:i w:val="0"/>
          <w:color w:val="auto"/>
          <w:sz w:val="24"/>
          <w:szCs w:val="24"/>
        </w:rPr>
        <w:t>wise comparison matrix and the</w:t>
      </w:r>
      <w:r w:rsidR="00105C6D" w:rsidRPr="00456014">
        <w:rPr>
          <w:i w:val="0"/>
          <w:color w:val="auto"/>
          <w:sz w:val="24"/>
          <w:szCs w:val="24"/>
        </w:rPr>
        <w:t xml:space="preserve"> relative weights of factors</w:t>
      </w:r>
      <w:bookmarkEnd w:id="218"/>
      <w:r w:rsidR="00D53028" w:rsidRPr="00456014">
        <w:rPr>
          <w:i w:val="0"/>
          <w:color w:val="auto"/>
          <w:sz w:val="24"/>
          <w:szCs w:val="24"/>
        </w:rPr>
        <w:t xml:space="preserve"> </w:t>
      </w:r>
    </w:p>
    <w:tbl>
      <w:tblPr>
        <w:tblW w:w="5000" w:type="pct"/>
        <w:jc w:val="center"/>
        <w:tblBorders>
          <w:top w:val="single" w:sz="4" w:space="0" w:color="auto"/>
          <w:bottom w:val="single" w:sz="4" w:space="0" w:color="auto"/>
        </w:tblBorders>
        <w:tblLook w:val="04A0" w:firstRow="1" w:lastRow="0" w:firstColumn="1" w:lastColumn="0" w:noHBand="0" w:noVBand="1"/>
      </w:tblPr>
      <w:tblGrid>
        <w:gridCol w:w="1078"/>
        <w:gridCol w:w="828"/>
        <w:gridCol w:w="801"/>
        <w:gridCol w:w="779"/>
        <w:gridCol w:w="904"/>
        <w:gridCol w:w="904"/>
        <w:gridCol w:w="904"/>
        <w:gridCol w:w="904"/>
        <w:gridCol w:w="994"/>
        <w:gridCol w:w="904"/>
      </w:tblGrid>
      <w:tr w:rsidR="00456014" w:rsidRPr="00456014" w:rsidTr="00A418A5">
        <w:trPr>
          <w:trHeight w:val="390"/>
          <w:jc w:val="center"/>
        </w:trPr>
        <w:tc>
          <w:tcPr>
            <w:tcW w:w="599" w:type="pct"/>
            <w:tcBorders>
              <w:top w:val="single" w:sz="4" w:space="0" w:color="auto"/>
              <w:bottom w:val="single" w:sz="4" w:space="0" w:color="auto"/>
            </w:tcBorders>
            <w:shd w:val="clear" w:color="auto" w:fill="F2DBDB" w:themeFill="accent2" w:themeFillTint="33"/>
            <w:noWrap/>
            <w:vAlign w:val="bottom"/>
            <w:hideMark/>
          </w:tcPr>
          <w:p w:rsidR="0001552A" w:rsidRPr="00456014" w:rsidRDefault="0001552A" w:rsidP="00961DEE">
            <w:pPr>
              <w:spacing w:before="0" w:after="0"/>
              <w:rPr>
                <w:rFonts w:eastAsia="Times New Roman"/>
              </w:rPr>
            </w:pPr>
            <w:r w:rsidRPr="00456014">
              <w:rPr>
                <w:rFonts w:eastAsia="Times New Roman"/>
              </w:rPr>
              <w:t>Factors</w:t>
            </w:r>
          </w:p>
        </w:tc>
        <w:tc>
          <w:tcPr>
            <w:tcW w:w="460" w:type="pct"/>
            <w:tcBorders>
              <w:top w:val="single" w:sz="4" w:space="0" w:color="auto"/>
              <w:bottom w:val="single" w:sz="4" w:space="0" w:color="auto"/>
            </w:tcBorders>
            <w:shd w:val="clear" w:color="auto" w:fill="F2DBDB" w:themeFill="accent2" w:themeFillTint="33"/>
            <w:noWrap/>
            <w:vAlign w:val="bottom"/>
            <w:hideMark/>
          </w:tcPr>
          <w:p w:rsidR="0001552A" w:rsidRPr="00456014" w:rsidRDefault="005E0747" w:rsidP="00961DEE">
            <w:pPr>
              <w:spacing w:before="0" w:after="0"/>
              <w:rPr>
                <w:rFonts w:eastAsia="Times New Roman"/>
              </w:rPr>
            </w:pPr>
            <w:r w:rsidRPr="00456014">
              <w:rPr>
                <w:rFonts w:eastAsia="Times New Roman"/>
              </w:rPr>
              <w:t>Geom</w:t>
            </w:r>
          </w:p>
        </w:tc>
        <w:tc>
          <w:tcPr>
            <w:tcW w:w="445" w:type="pct"/>
            <w:tcBorders>
              <w:top w:val="single" w:sz="4" w:space="0" w:color="auto"/>
              <w:bottom w:val="single" w:sz="4" w:space="0" w:color="auto"/>
            </w:tcBorders>
            <w:shd w:val="clear" w:color="auto" w:fill="F2DBDB" w:themeFill="accent2" w:themeFillTint="33"/>
            <w:noWrap/>
            <w:vAlign w:val="bottom"/>
            <w:hideMark/>
          </w:tcPr>
          <w:p w:rsidR="0001552A" w:rsidRPr="00456014" w:rsidRDefault="005E0747" w:rsidP="00961DEE">
            <w:pPr>
              <w:spacing w:before="0" w:after="0"/>
              <w:rPr>
                <w:rFonts w:eastAsia="Times New Roman"/>
              </w:rPr>
            </w:pPr>
            <w:r w:rsidRPr="00456014">
              <w:t>Lin</w:t>
            </w:r>
          </w:p>
        </w:tc>
        <w:tc>
          <w:tcPr>
            <w:tcW w:w="433" w:type="pct"/>
            <w:tcBorders>
              <w:top w:val="single" w:sz="4" w:space="0" w:color="auto"/>
              <w:bottom w:val="single" w:sz="4" w:space="0" w:color="auto"/>
            </w:tcBorders>
            <w:shd w:val="clear" w:color="auto" w:fill="F2DBDB" w:themeFill="accent2" w:themeFillTint="33"/>
            <w:noWrap/>
            <w:vAlign w:val="bottom"/>
            <w:hideMark/>
          </w:tcPr>
          <w:p w:rsidR="0001552A" w:rsidRPr="00456014" w:rsidRDefault="005E0747" w:rsidP="00961DEE">
            <w:pPr>
              <w:spacing w:before="0" w:after="0"/>
              <w:rPr>
                <w:rFonts w:eastAsia="Times New Roman"/>
              </w:rPr>
            </w:pPr>
            <w:r w:rsidRPr="00456014">
              <w:rPr>
                <w:rFonts w:eastAsia="Times New Roman"/>
              </w:rPr>
              <w:t>Geol</w:t>
            </w:r>
          </w:p>
        </w:tc>
        <w:tc>
          <w:tcPr>
            <w:tcW w:w="502" w:type="pct"/>
            <w:tcBorders>
              <w:top w:val="single" w:sz="4" w:space="0" w:color="auto"/>
              <w:bottom w:val="single" w:sz="4" w:space="0" w:color="auto"/>
            </w:tcBorders>
            <w:shd w:val="clear" w:color="auto" w:fill="F2DBDB" w:themeFill="accent2" w:themeFillTint="33"/>
            <w:noWrap/>
            <w:vAlign w:val="bottom"/>
            <w:hideMark/>
          </w:tcPr>
          <w:p w:rsidR="0001552A" w:rsidRPr="00456014" w:rsidRDefault="00D53028" w:rsidP="00961DEE">
            <w:pPr>
              <w:spacing w:before="0" w:after="0"/>
              <w:rPr>
                <w:rFonts w:eastAsia="Times New Roman"/>
              </w:rPr>
            </w:pPr>
            <w:r w:rsidRPr="00456014">
              <w:rPr>
                <w:rFonts w:eastAsia="Times New Roman"/>
              </w:rPr>
              <w:t>PCP</w:t>
            </w:r>
          </w:p>
        </w:tc>
        <w:tc>
          <w:tcPr>
            <w:tcW w:w="502" w:type="pct"/>
            <w:tcBorders>
              <w:top w:val="single" w:sz="4" w:space="0" w:color="auto"/>
              <w:bottom w:val="single" w:sz="4" w:space="0" w:color="auto"/>
            </w:tcBorders>
            <w:shd w:val="clear" w:color="auto" w:fill="F2DBDB" w:themeFill="accent2" w:themeFillTint="33"/>
            <w:noWrap/>
            <w:vAlign w:val="bottom"/>
            <w:hideMark/>
          </w:tcPr>
          <w:p w:rsidR="0001552A" w:rsidRPr="00456014" w:rsidRDefault="00C231C5" w:rsidP="00961DEE">
            <w:pPr>
              <w:spacing w:before="0" w:after="0"/>
              <w:rPr>
                <w:rFonts w:eastAsia="Times New Roman"/>
              </w:rPr>
            </w:pPr>
            <w:r w:rsidRPr="00456014">
              <w:rPr>
                <w:rFonts w:eastAsia="Times New Roman"/>
              </w:rPr>
              <w:t>DD</w:t>
            </w:r>
          </w:p>
        </w:tc>
        <w:tc>
          <w:tcPr>
            <w:tcW w:w="502" w:type="pct"/>
            <w:tcBorders>
              <w:top w:val="single" w:sz="4" w:space="0" w:color="auto"/>
              <w:bottom w:val="single" w:sz="4" w:space="0" w:color="auto"/>
            </w:tcBorders>
            <w:shd w:val="clear" w:color="auto" w:fill="F2DBDB" w:themeFill="accent2" w:themeFillTint="33"/>
            <w:noWrap/>
            <w:vAlign w:val="bottom"/>
            <w:hideMark/>
          </w:tcPr>
          <w:p w:rsidR="0001552A" w:rsidRPr="00456014" w:rsidRDefault="00C231C5" w:rsidP="00961DEE">
            <w:pPr>
              <w:spacing w:before="0" w:after="0"/>
              <w:rPr>
                <w:rFonts w:eastAsia="Times New Roman"/>
              </w:rPr>
            </w:pPr>
            <w:r w:rsidRPr="00456014">
              <w:rPr>
                <w:rFonts w:eastAsia="Times New Roman"/>
              </w:rPr>
              <w:t>Slp</w:t>
            </w:r>
          </w:p>
        </w:tc>
        <w:tc>
          <w:tcPr>
            <w:tcW w:w="502" w:type="pct"/>
            <w:tcBorders>
              <w:top w:val="single" w:sz="4" w:space="0" w:color="auto"/>
              <w:bottom w:val="single" w:sz="4" w:space="0" w:color="auto"/>
            </w:tcBorders>
            <w:shd w:val="clear" w:color="auto" w:fill="F2DBDB" w:themeFill="accent2" w:themeFillTint="33"/>
            <w:noWrap/>
            <w:vAlign w:val="bottom"/>
            <w:hideMark/>
          </w:tcPr>
          <w:p w:rsidR="0001552A" w:rsidRPr="00456014" w:rsidRDefault="00C231C5" w:rsidP="00961DEE">
            <w:pPr>
              <w:spacing w:before="0" w:after="0"/>
              <w:rPr>
                <w:rFonts w:eastAsia="Times New Roman"/>
              </w:rPr>
            </w:pPr>
            <w:r w:rsidRPr="00456014">
              <w:rPr>
                <w:rFonts w:eastAsia="Times New Roman"/>
              </w:rPr>
              <w:t>Elv</w:t>
            </w:r>
          </w:p>
        </w:tc>
        <w:tc>
          <w:tcPr>
            <w:tcW w:w="552" w:type="pct"/>
            <w:tcBorders>
              <w:top w:val="single" w:sz="4" w:space="0" w:color="auto"/>
              <w:bottom w:val="single" w:sz="4" w:space="0" w:color="auto"/>
            </w:tcBorders>
            <w:shd w:val="clear" w:color="auto" w:fill="F2DBDB" w:themeFill="accent2" w:themeFillTint="33"/>
            <w:noWrap/>
            <w:vAlign w:val="bottom"/>
            <w:hideMark/>
          </w:tcPr>
          <w:p w:rsidR="0001552A" w:rsidRPr="00456014" w:rsidRDefault="0001552A" w:rsidP="00961DEE">
            <w:pPr>
              <w:spacing w:before="0" w:after="0"/>
              <w:rPr>
                <w:rFonts w:eastAsia="Times New Roman"/>
              </w:rPr>
            </w:pPr>
            <w:r w:rsidRPr="00456014">
              <w:rPr>
                <w:rFonts w:eastAsia="Times New Roman"/>
              </w:rPr>
              <w:t>LULC</w:t>
            </w:r>
          </w:p>
        </w:tc>
        <w:tc>
          <w:tcPr>
            <w:tcW w:w="502" w:type="pct"/>
            <w:tcBorders>
              <w:top w:val="single" w:sz="4" w:space="0" w:color="auto"/>
              <w:bottom w:val="single" w:sz="4" w:space="0" w:color="auto"/>
            </w:tcBorders>
            <w:shd w:val="clear" w:color="auto" w:fill="F2DBDB" w:themeFill="accent2" w:themeFillTint="33"/>
            <w:noWrap/>
            <w:vAlign w:val="bottom"/>
            <w:hideMark/>
          </w:tcPr>
          <w:p w:rsidR="0001552A" w:rsidRPr="00456014" w:rsidRDefault="00681C03" w:rsidP="00961DEE">
            <w:pPr>
              <w:spacing w:before="0" w:after="0"/>
              <w:rPr>
                <w:rFonts w:eastAsia="Times New Roman"/>
              </w:rPr>
            </w:pPr>
            <w:r w:rsidRPr="00456014">
              <w:rPr>
                <w:rFonts w:eastAsia="Times New Roman"/>
              </w:rPr>
              <w:t>ST</w:t>
            </w:r>
          </w:p>
        </w:tc>
      </w:tr>
      <w:tr w:rsidR="00456014" w:rsidRPr="00456014" w:rsidTr="00A418A5">
        <w:trPr>
          <w:trHeight w:val="390"/>
          <w:jc w:val="center"/>
        </w:trPr>
        <w:tc>
          <w:tcPr>
            <w:tcW w:w="599" w:type="pct"/>
            <w:tcBorders>
              <w:top w:val="single" w:sz="4" w:space="0" w:color="auto"/>
            </w:tcBorders>
            <w:shd w:val="clear" w:color="auto" w:fill="F2DBDB" w:themeFill="accent2" w:themeFillTint="33"/>
            <w:noWrap/>
            <w:vAlign w:val="bottom"/>
            <w:hideMark/>
          </w:tcPr>
          <w:p w:rsidR="00E228C9" w:rsidRPr="00456014" w:rsidRDefault="00E228C9" w:rsidP="00961DEE">
            <w:pPr>
              <w:spacing w:before="0" w:after="0"/>
              <w:rPr>
                <w:rFonts w:eastAsia="Times New Roman"/>
              </w:rPr>
            </w:pPr>
            <w:r w:rsidRPr="00456014">
              <w:rPr>
                <w:rFonts w:eastAsia="Times New Roman"/>
              </w:rPr>
              <w:t>Geo</w:t>
            </w:r>
            <w:r w:rsidR="00C231C5" w:rsidRPr="00456014">
              <w:rPr>
                <w:rFonts w:eastAsia="Times New Roman"/>
              </w:rPr>
              <w:t>m</w:t>
            </w:r>
          </w:p>
        </w:tc>
        <w:tc>
          <w:tcPr>
            <w:tcW w:w="460" w:type="pct"/>
            <w:tcBorders>
              <w:top w:val="single" w:sz="4" w:space="0" w:color="auto"/>
            </w:tcBorders>
            <w:shd w:val="clear" w:color="auto" w:fill="92CDDC" w:themeFill="accent5" w:themeFillTint="99"/>
            <w:noWrap/>
            <w:hideMark/>
          </w:tcPr>
          <w:p w:rsidR="00E228C9" w:rsidRPr="00456014" w:rsidRDefault="00E228C9" w:rsidP="00961DEE">
            <w:pPr>
              <w:spacing w:before="0" w:after="0"/>
            </w:pPr>
            <w:r w:rsidRPr="00456014">
              <w:t xml:space="preserve">1    </w:t>
            </w:r>
          </w:p>
        </w:tc>
        <w:tc>
          <w:tcPr>
            <w:tcW w:w="445" w:type="pct"/>
            <w:tcBorders>
              <w:top w:val="single" w:sz="4" w:space="0" w:color="auto"/>
            </w:tcBorders>
            <w:shd w:val="clear" w:color="auto" w:fill="auto"/>
            <w:noWrap/>
            <w:hideMark/>
          </w:tcPr>
          <w:p w:rsidR="00E228C9" w:rsidRPr="00456014" w:rsidRDefault="00E228C9" w:rsidP="00961DEE">
            <w:pPr>
              <w:spacing w:before="0" w:after="0"/>
            </w:pPr>
            <w:r w:rsidRPr="00456014">
              <w:t xml:space="preserve">2    </w:t>
            </w:r>
          </w:p>
        </w:tc>
        <w:tc>
          <w:tcPr>
            <w:tcW w:w="433" w:type="pct"/>
            <w:tcBorders>
              <w:top w:val="single" w:sz="4" w:space="0" w:color="auto"/>
            </w:tcBorders>
            <w:shd w:val="clear" w:color="auto" w:fill="auto"/>
            <w:noWrap/>
            <w:hideMark/>
          </w:tcPr>
          <w:p w:rsidR="00E228C9" w:rsidRPr="00456014" w:rsidRDefault="00E228C9" w:rsidP="00961DEE">
            <w:pPr>
              <w:spacing w:before="0" w:after="0"/>
            </w:pPr>
            <w:r w:rsidRPr="00456014">
              <w:t xml:space="preserve">2    </w:t>
            </w:r>
          </w:p>
        </w:tc>
        <w:tc>
          <w:tcPr>
            <w:tcW w:w="502" w:type="pct"/>
            <w:tcBorders>
              <w:top w:val="single" w:sz="4" w:space="0" w:color="auto"/>
            </w:tcBorders>
            <w:shd w:val="clear" w:color="auto" w:fill="auto"/>
            <w:noWrap/>
            <w:hideMark/>
          </w:tcPr>
          <w:p w:rsidR="00E228C9" w:rsidRPr="00456014" w:rsidRDefault="00E228C9" w:rsidP="00961DEE">
            <w:pPr>
              <w:spacing w:before="0" w:after="0"/>
            </w:pPr>
            <w:r w:rsidRPr="00456014">
              <w:t xml:space="preserve">3    </w:t>
            </w:r>
          </w:p>
        </w:tc>
        <w:tc>
          <w:tcPr>
            <w:tcW w:w="502" w:type="pct"/>
            <w:tcBorders>
              <w:top w:val="single" w:sz="4" w:space="0" w:color="auto"/>
            </w:tcBorders>
            <w:shd w:val="clear" w:color="auto" w:fill="auto"/>
            <w:noWrap/>
            <w:hideMark/>
          </w:tcPr>
          <w:p w:rsidR="00E228C9" w:rsidRPr="00456014" w:rsidRDefault="00E228C9" w:rsidP="00961DEE">
            <w:pPr>
              <w:spacing w:before="0" w:after="0"/>
            </w:pPr>
            <w:r w:rsidRPr="00456014">
              <w:t xml:space="preserve">3    </w:t>
            </w:r>
          </w:p>
        </w:tc>
        <w:tc>
          <w:tcPr>
            <w:tcW w:w="502" w:type="pct"/>
            <w:tcBorders>
              <w:top w:val="single" w:sz="4" w:space="0" w:color="auto"/>
            </w:tcBorders>
            <w:shd w:val="clear" w:color="auto" w:fill="auto"/>
            <w:noWrap/>
            <w:hideMark/>
          </w:tcPr>
          <w:p w:rsidR="00E228C9" w:rsidRPr="00456014" w:rsidRDefault="00E228C9" w:rsidP="00961DEE">
            <w:pPr>
              <w:spacing w:before="0" w:after="0"/>
            </w:pPr>
            <w:r w:rsidRPr="00456014">
              <w:t xml:space="preserve">4    </w:t>
            </w:r>
          </w:p>
        </w:tc>
        <w:tc>
          <w:tcPr>
            <w:tcW w:w="502" w:type="pct"/>
            <w:tcBorders>
              <w:top w:val="single" w:sz="4" w:space="0" w:color="auto"/>
            </w:tcBorders>
            <w:shd w:val="clear" w:color="auto" w:fill="auto"/>
            <w:noWrap/>
            <w:hideMark/>
          </w:tcPr>
          <w:p w:rsidR="00E228C9" w:rsidRPr="00456014" w:rsidRDefault="00E228C9" w:rsidP="00961DEE">
            <w:pPr>
              <w:spacing w:before="0" w:after="0"/>
            </w:pPr>
            <w:r w:rsidRPr="00456014">
              <w:t xml:space="preserve">4    </w:t>
            </w:r>
          </w:p>
        </w:tc>
        <w:tc>
          <w:tcPr>
            <w:tcW w:w="552" w:type="pct"/>
            <w:tcBorders>
              <w:top w:val="single" w:sz="4" w:space="0" w:color="auto"/>
            </w:tcBorders>
            <w:shd w:val="clear" w:color="auto" w:fill="auto"/>
            <w:noWrap/>
            <w:hideMark/>
          </w:tcPr>
          <w:p w:rsidR="00E228C9" w:rsidRPr="00456014" w:rsidRDefault="00E228C9" w:rsidP="00961DEE">
            <w:pPr>
              <w:spacing w:before="0" w:after="0"/>
            </w:pPr>
            <w:r w:rsidRPr="00456014">
              <w:t xml:space="preserve">5    </w:t>
            </w:r>
          </w:p>
        </w:tc>
        <w:tc>
          <w:tcPr>
            <w:tcW w:w="502" w:type="pct"/>
            <w:tcBorders>
              <w:top w:val="single" w:sz="4" w:space="0" w:color="auto"/>
            </w:tcBorders>
            <w:shd w:val="clear" w:color="auto" w:fill="auto"/>
            <w:noWrap/>
            <w:hideMark/>
          </w:tcPr>
          <w:p w:rsidR="00E228C9" w:rsidRPr="00456014" w:rsidRDefault="00E228C9" w:rsidP="00961DEE">
            <w:pPr>
              <w:spacing w:before="0" w:after="0"/>
            </w:pPr>
            <w:r w:rsidRPr="00456014">
              <w:t xml:space="preserve">9    </w:t>
            </w:r>
          </w:p>
        </w:tc>
      </w:tr>
      <w:tr w:rsidR="00456014" w:rsidRPr="00456014" w:rsidTr="00A418A5">
        <w:trPr>
          <w:trHeight w:val="390"/>
          <w:jc w:val="center"/>
        </w:trPr>
        <w:tc>
          <w:tcPr>
            <w:tcW w:w="599" w:type="pct"/>
            <w:shd w:val="clear" w:color="auto" w:fill="F2DBDB" w:themeFill="accent2" w:themeFillTint="33"/>
            <w:noWrap/>
            <w:vAlign w:val="bottom"/>
            <w:hideMark/>
          </w:tcPr>
          <w:p w:rsidR="00E228C9" w:rsidRPr="00456014" w:rsidRDefault="00C231C5" w:rsidP="00961DEE">
            <w:pPr>
              <w:spacing w:before="0" w:after="0"/>
              <w:rPr>
                <w:rFonts w:eastAsia="Times New Roman"/>
              </w:rPr>
            </w:pPr>
            <w:r w:rsidRPr="00456014">
              <w:rPr>
                <w:rFonts w:eastAsia="Times New Roman"/>
              </w:rPr>
              <w:t>Lin</w:t>
            </w:r>
          </w:p>
        </w:tc>
        <w:tc>
          <w:tcPr>
            <w:tcW w:w="460" w:type="pct"/>
            <w:shd w:val="clear" w:color="auto" w:fill="F2F2F2" w:themeFill="background1" w:themeFillShade="F2"/>
            <w:noWrap/>
            <w:hideMark/>
          </w:tcPr>
          <w:p w:rsidR="00E228C9" w:rsidRPr="00456014" w:rsidRDefault="00E228C9" w:rsidP="00961DEE">
            <w:pPr>
              <w:spacing w:before="0" w:after="0"/>
            </w:pPr>
            <w:r w:rsidRPr="00456014">
              <w:t xml:space="preserve"> 1/2</w:t>
            </w:r>
          </w:p>
        </w:tc>
        <w:tc>
          <w:tcPr>
            <w:tcW w:w="445" w:type="pct"/>
            <w:shd w:val="clear" w:color="auto" w:fill="92CDDC" w:themeFill="accent5" w:themeFillTint="99"/>
            <w:noWrap/>
            <w:hideMark/>
          </w:tcPr>
          <w:p w:rsidR="00E228C9" w:rsidRPr="00456014" w:rsidRDefault="00E228C9" w:rsidP="00961DEE">
            <w:pPr>
              <w:spacing w:before="0" w:after="0"/>
            </w:pPr>
            <w:r w:rsidRPr="00456014">
              <w:t xml:space="preserve">1    </w:t>
            </w:r>
          </w:p>
        </w:tc>
        <w:tc>
          <w:tcPr>
            <w:tcW w:w="433" w:type="pct"/>
            <w:shd w:val="clear" w:color="auto" w:fill="auto"/>
            <w:noWrap/>
            <w:hideMark/>
          </w:tcPr>
          <w:p w:rsidR="00E228C9" w:rsidRPr="00456014" w:rsidRDefault="00E228C9" w:rsidP="00961DEE">
            <w:pPr>
              <w:spacing w:before="0" w:after="0"/>
            </w:pPr>
            <w:r w:rsidRPr="00456014">
              <w:t xml:space="preserve">2    </w:t>
            </w:r>
          </w:p>
        </w:tc>
        <w:tc>
          <w:tcPr>
            <w:tcW w:w="502" w:type="pct"/>
            <w:shd w:val="clear" w:color="auto" w:fill="auto"/>
            <w:noWrap/>
            <w:hideMark/>
          </w:tcPr>
          <w:p w:rsidR="00E228C9" w:rsidRPr="00456014" w:rsidRDefault="00E228C9" w:rsidP="00961DEE">
            <w:pPr>
              <w:spacing w:before="0" w:after="0"/>
            </w:pPr>
            <w:r w:rsidRPr="00456014">
              <w:t xml:space="preserve">3    </w:t>
            </w:r>
          </w:p>
        </w:tc>
        <w:tc>
          <w:tcPr>
            <w:tcW w:w="502" w:type="pct"/>
            <w:shd w:val="clear" w:color="auto" w:fill="auto"/>
            <w:noWrap/>
            <w:hideMark/>
          </w:tcPr>
          <w:p w:rsidR="00E228C9" w:rsidRPr="00456014" w:rsidRDefault="00E228C9" w:rsidP="00961DEE">
            <w:pPr>
              <w:spacing w:before="0" w:after="0"/>
            </w:pPr>
            <w:r w:rsidRPr="00456014">
              <w:t xml:space="preserve">4    </w:t>
            </w:r>
          </w:p>
        </w:tc>
        <w:tc>
          <w:tcPr>
            <w:tcW w:w="502" w:type="pct"/>
            <w:shd w:val="clear" w:color="auto" w:fill="auto"/>
            <w:noWrap/>
            <w:hideMark/>
          </w:tcPr>
          <w:p w:rsidR="00E228C9" w:rsidRPr="00456014" w:rsidRDefault="00E228C9" w:rsidP="00961DEE">
            <w:pPr>
              <w:spacing w:before="0" w:after="0"/>
            </w:pPr>
            <w:r w:rsidRPr="00456014">
              <w:t xml:space="preserve">5    </w:t>
            </w:r>
          </w:p>
        </w:tc>
        <w:tc>
          <w:tcPr>
            <w:tcW w:w="502" w:type="pct"/>
            <w:shd w:val="clear" w:color="auto" w:fill="auto"/>
            <w:noWrap/>
            <w:hideMark/>
          </w:tcPr>
          <w:p w:rsidR="00E228C9" w:rsidRPr="00456014" w:rsidRDefault="00E228C9" w:rsidP="00961DEE">
            <w:pPr>
              <w:spacing w:before="0" w:after="0"/>
            </w:pPr>
            <w:r w:rsidRPr="00456014">
              <w:t xml:space="preserve">5    </w:t>
            </w:r>
          </w:p>
        </w:tc>
        <w:tc>
          <w:tcPr>
            <w:tcW w:w="552" w:type="pct"/>
            <w:shd w:val="clear" w:color="auto" w:fill="auto"/>
            <w:noWrap/>
            <w:hideMark/>
          </w:tcPr>
          <w:p w:rsidR="00E228C9" w:rsidRPr="00456014" w:rsidRDefault="00E228C9" w:rsidP="00961DEE">
            <w:pPr>
              <w:spacing w:before="0" w:after="0"/>
            </w:pPr>
            <w:r w:rsidRPr="00456014">
              <w:t xml:space="preserve">7    </w:t>
            </w:r>
          </w:p>
        </w:tc>
        <w:tc>
          <w:tcPr>
            <w:tcW w:w="502" w:type="pct"/>
            <w:shd w:val="clear" w:color="auto" w:fill="auto"/>
            <w:noWrap/>
            <w:hideMark/>
          </w:tcPr>
          <w:p w:rsidR="00E228C9" w:rsidRPr="00456014" w:rsidRDefault="00E228C9" w:rsidP="00961DEE">
            <w:pPr>
              <w:spacing w:before="0" w:after="0"/>
            </w:pPr>
            <w:r w:rsidRPr="00456014">
              <w:t xml:space="preserve">8    </w:t>
            </w:r>
          </w:p>
        </w:tc>
      </w:tr>
      <w:tr w:rsidR="00456014" w:rsidRPr="00456014" w:rsidTr="00A418A5">
        <w:trPr>
          <w:trHeight w:val="390"/>
          <w:jc w:val="center"/>
        </w:trPr>
        <w:tc>
          <w:tcPr>
            <w:tcW w:w="599" w:type="pct"/>
            <w:shd w:val="clear" w:color="auto" w:fill="F2DBDB" w:themeFill="accent2" w:themeFillTint="33"/>
            <w:noWrap/>
            <w:vAlign w:val="bottom"/>
            <w:hideMark/>
          </w:tcPr>
          <w:p w:rsidR="00E228C9" w:rsidRPr="00456014" w:rsidRDefault="00C231C5" w:rsidP="00961DEE">
            <w:pPr>
              <w:spacing w:before="0" w:after="0"/>
              <w:rPr>
                <w:rFonts w:eastAsia="Times New Roman"/>
              </w:rPr>
            </w:pPr>
            <w:r w:rsidRPr="00456014">
              <w:t>Geol</w:t>
            </w:r>
          </w:p>
        </w:tc>
        <w:tc>
          <w:tcPr>
            <w:tcW w:w="460" w:type="pct"/>
            <w:shd w:val="clear" w:color="auto" w:fill="F2F2F2" w:themeFill="background1" w:themeFillShade="F2"/>
            <w:noWrap/>
            <w:hideMark/>
          </w:tcPr>
          <w:p w:rsidR="00E228C9" w:rsidRPr="00456014" w:rsidRDefault="00E228C9" w:rsidP="00961DEE">
            <w:pPr>
              <w:spacing w:before="0" w:after="0"/>
            </w:pPr>
            <w:r w:rsidRPr="00456014">
              <w:t xml:space="preserve"> 1/2</w:t>
            </w:r>
          </w:p>
        </w:tc>
        <w:tc>
          <w:tcPr>
            <w:tcW w:w="445" w:type="pct"/>
            <w:shd w:val="clear" w:color="auto" w:fill="F2F2F2" w:themeFill="background1" w:themeFillShade="F2"/>
            <w:noWrap/>
            <w:hideMark/>
          </w:tcPr>
          <w:p w:rsidR="00E228C9" w:rsidRPr="00456014" w:rsidRDefault="00E228C9" w:rsidP="00961DEE">
            <w:pPr>
              <w:spacing w:before="0" w:after="0"/>
            </w:pPr>
            <w:r w:rsidRPr="00456014">
              <w:t xml:space="preserve"> 1/2</w:t>
            </w:r>
          </w:p>
        </w:tc>
        <w:tc>
          <w:tcPr>
            <w:tcW w:w="433" w:type="pct"/>
            <w:shd w:val="clear" w:color="auto" w:fill="92CDDC" w:themeFill="accent5" w:themeFillTint="99"/>
            <w:noWrap/>
            <w:hideMark/>
          </w:tcPr>
          <w:p w:rsidR="00E228C9" w:rsidRPr="00456014" w:rsidRDefault="00E228C9" w:rsidP="00961DEE">
            <w:pPr>
              <w:spacing w:before="0" w:after="0"/>
            </w:pPr>
            <w:r w:rsidRPr="00456014">
              <w:t xml:space="preserve">1    </w:t>
            </w:r>
          </w:p>
        </w:tc>
        <w:tc>
          <w:tcPr>
            <w:tcW w:w="502" w:type="pct"/>
            <w:shd w:val="clear" w:color="auto" w:fill="auto"/>
            <w:noWrap/>
            <w:hideMark/>
          </w:tcPr>
          <w:p w:rsidR="00E228C9" w:rsidRPr="00456014" w:rsidRDefault="00E228C9" w:rsidP="00961DEE">
            <w:pPr>
              <w:spacing w:before="0" w:after="0"/>
            </w:pPr>
            <w:r w:rsidRPr="00456014">
              <w:t xml:space="preserve">2    </w:t>
            </w:r>
          </w:p>
        </w:tc>
        <w:tc>
          <w:tcPr>
            <w:tcW w:w="502" w:type="pct"/>
            <w:shd w:val="clear" w:color="auto" w:fill="auto"/>
            <w:noWrap/>
            <w:hideMark/>
          </w:tcPr>
          <w:p w:rsidR="00E228C9" w:rsidRPr="00456014" w:rsidRDefault="00E228C9" w:rsidP="00961DEE">
            <w:pPr>
              <w:spacing w:before="0" w:after="0"/>
            </w:pPr>
            <w:r w:rsidRPr="00456014">
              <w:t xml:space="preserve">3    </w:t>
            </w:r>
          </w:p>
        </w:tc>
        <w:tc>
          <w:tcPr>
            <w:tcW w:w="502" w:type="pct"/>
            <w:shd w:val="clear" w:color="auto" w:fill="auto"/>
            <w:noWrap/>
            <w:hideMark/>
          </w:tcPr>
          <w:p w:rsidR="00E228C9" w:rsidRPr="00456014" w:rsidRDefault="00E228C9" w:rsidP="00961DEE">
            <w:pPr>
              <w:spacing w:before="0" w:after="0"/>
            </w:pPr>
            <w:r w:rsidRPr="00456014">
              <w:t xml:space="preserve">4    </w:t>
            </w:r>
          </w:p>
        </w:tc>
        <w:tc>
          <w:tcPr>
            <w:tcW w:w="502" w:type="pct"/>
            <w:shd w:val="clear" w:color="auto" w:fill="auto"/>
            <w:noWrap/>
            <w:hideMark/>
          </w:tcPr>
          <w:p w:rsidR="00E228C9" w:rsidRPr="00456014" w:rsidRDefault="00E228C9" w:rsidP="00961DEE">
            <w:pPr>
              <w:spacing w:before="0" w:after="0"/>
            </w:pPr>
            <w:r w:rsidRPr="00456014">
              <w:t xml:space="preserve">4    </w:t>
            </w:r>
          </w:p>
        </w:tc>
        <w:tc>
          <w:tcPr>
            <w:tcW w:w="552" w:type="pct"/>
            <w:shd w:val="clear" w:color="auto" w:fill="auto"/>
            <w:noWrap/>
            <w:hideMark/>
          </w:tcPr>
          <w:p w:rsidR="00E228C9" w:rsidRPr="00456014" w:rsidRDefault="00E228C9" w:rsidP="00961DEE">
            <w:pPr>
              <w:spacing w:before="0" w:after="0"/>
            </w:pPr>
            <w:r w:rsidRPr="00456014">
              <w:t xml:space="preserve">6    </w:t>
            </w:r>
          </w:p>
        </w:tc>
        <w:tc>
          <w:tcPr>
            <w:tcW w:w="502" w:type="pct"/>
            <w:shd w:val="clear" w:color="auto" w:fill="auto"/>
            <w:noWrap/>
            <w:hideMark/>
          </w:tcPr>
          <w:p w:rsidR="00E228C9" w:rsidRPr="00456014" w:rsidRDefault="00E228C9" w:rsidP="00961DEE">
            <w:pPr>
              <w:spacing w:before="0" w:after="0"/>
            </w:pPr>
            <w:r w:rsidRPr="00456014">
              <w:t xml:space="preserve">7    </w:t>
            </w:r>
          </w:p>
        </w:tc>
      </w:tr>
      <w:tr w:rsidR="00456014" w:rsidRPr="00456014" w:rsidTr="00A418A5">
        <w:trPr>
          <w:trHeight w:val="390"/>
          <w:jc w:val="center"/>
        </w:trPr>
        <w:tc>
          <w:tcPr>
            <w:tcW w:w="599" w:type="pct"/>
            <w:shd w:val="clear" w:color="auto" w:fill="F2DBDB" w:themeFill="accent2" w:themeFillTint="33"/>
            <w:noWrap/>
            <w:vAlign w:val="bottom"/>
            <w:hideMark/>
          </w:tcPr>
          <w:p w:rsidR="00E228C9" w:rsidRPr="00456014" w:rsidRDefault="00E228C9" w:rsidP="00961DEE">
            <w:pPr>
              <w:spacing w:before="0" w:after="0"/>
              <w:rPr>
                <w:rFonts w:eastAsia="Times New Roman"/>
              </w:rPr>
            </w:pPr>
            <w:r w:rsidRPr="00456014">
              <w:rPr>
                <w:rFonts w:eastAsia="Times New Roman"/>
              </w:rPr>
              <w:t>PCP</w:t>
            </w:r>
          </w:p>
        </w:tc>
        <w:tc>
          <w:tcPr>
            <w:tcW w:w="460" w:type="pct"/>
            <w:shd w:val="clear" w:color="auto" w:fill="F2F2F2" w:themeFill="background1" w:themeFillShade="F2"/>
            <w:noWrap/>
            <w:hideMark/>
          </w:tcPr>
          <w:p w:rsidR="00E228C9" w:rsidRPr="00456014" w:rsidRDefault="00E228C9" w:rsidP="00961DEE">
            <w:pPr>
              <w:spacing w:before="0" w:after="0"/>
            </w:pPr>
            <w:r w:rsidRPr="00456014">
              <w:t xml:space="preserve"> 1/3</w:t>
            </w:r>
          </w:p>
        </w:tc>
        <w:tc>
          <w:tcPr>
            <w:tcW w:w="445" w:type="pct"/>
            <w:shd w:val="clear" w:color="auto" w:fill="F2F2F2" w:themeFill="background1" w:themeFillShade="F2"/>
            <w:noWrap/>
            <w:hideMark/>
          </w:tcPr>
          <w:p w:rsidR="00E228C9" w:rsidRPr="00456014" w:rsidRDefault="00E228C9" w:rsidP="00961DEE">
            <w:pPr>
              <w:spacing w:before="0" w:after="0"/>
            </w:pPr>
            <w:r w:rsidRPr="00456014">
              <w:t xml:space="preserve"> 1/3</w:t>
            </w:r>
          </w:p>
        </w:tc>
        <w:tc>
          <w:tcPr>
            <w:tcW w:w="433" w:type="pct"/>
            <w:shd w:val="clear" w:color="auto" w:fill="F2F2F2" w:themeFill="background1" w:themeFillShade="F2"/>
            <w:noWrap/>
            <w:hideMark/>
          </w:tcPr>
          <w:p w:rsidR="00E228C9" w:rsidRPr="00456014" w:rsidRDefault="00E228C9" w:rsidP="00961DEE">
            <w:pPr>
              <w:spacing w:before="0" w:after="0"/>
            </w:pPr>
            <w:r w:rsidRPr="00456014">
              <w:t xml:space="preserve"> 1/2</w:t>
            </w:r>
          </w:p>
        </w:tc>
        <w:tc>
          <w:tcPr>
            <w:tcW w:w="502" w:type="pct"/>
            <w:shd w:val="clear" w:color="auto" w:fill="92CDDC" w:themeFill="accent5" w:themeFillTint="99"/>
            <w:noWrap/>
            <w:hideMark/>
          </w:tcPr>
          <w:p w:rsidR="00E228C9" w:rsidRPr="00456014" w:rsidRDefault="00E228C9" w:rsidP="00961DEE">
            <w:pPr>
              <w:spacing w:before="0" w:after="0"/>
            </w:pPr>
            <w:r w:rsidRPr="00456014">
              <w:t xml:space="preserve">1    </w:t>
            </w:r>
          </w:p>
        </w:tc>
        <w:tc>
          <w:tcPr>
            <w:tcW w:w="502" w:type="pct"/>
            <w:shd w:val="clear" w:color="auto" w:fill="auto"/>
            <w:noWrap/>
            <w:hideMark/>
          </w:tcPr>
          <w:p w:rsidR="00E228C9" w:rsidRPr="00456014" w:rsidRDefault="00E228C9" w:rsidP="00961DEE">
            <w:pPr>
              <w:spacing w:before="0" w:after="0"/>
            </w:pPr>
            <w:r w:rsidRPr="00456014">
              <w:t xml:space="preserve">2    </w:t>
            </w:r>
          </w:p>
        </w:tc>
        <w:tc>
          <w:tcPr>
            <w:tcW w:w="502" w:type="pct"/>
            <w:shd w:val="clear" w:color="auto" w:fill="auto"/>
            <w:noWrap/>
            <w:hideMark/>
          </w:tcPr>
          <w:p w:rsidR="00E228C9" w:rsidRPr="00456014" w:rsidRDefault="00E228C9" w:rsidP="00961DEE">
            <w:pPr>
              <w:spacing w:before="0" w:after="0"/>
            </w:pPr>
            <w:r w:rsidRPr="00456014">
              <w:t xml:space="preserve">3    </w:t>
            </w:r>
          </w:p>
        </w:tc>
        <w:tc>
          <w:tcPr>
            <w:tcW w:w="502" w:type="pct"/>
            <w:shd w:val="clear" w:color="auto" w:fill="auto"/>
            <w:noWrap/>
            <w:hideMark/>
          </w:tcPr>
          <w:p w:rsidR="00E228C9" w:rsidRPr="00456014" w:rsidRDefault="00E228C9" w:rsidP="00961DEE">
            <w:pPr>
              <w:spacing w:before="0" w:after="0"/>
            </w:pPr>
            <w:r w:rsidRPr="00456014">
              <w:t xml:space="preserve">4    </w:t>
            </w:r>
          </w:p>
        </w:tc>
        <w:tc>
          <w:tcPr>
            <w:tcW w:w="552" w:type="pct"/>
            <w:shd w:val="clear" w:color="auto" w:fill="auto"/>
            <w:noWrap/>
            <w:hideMark/>
          </w:tcPr>
          <w:p w:rsidR="00E228C9" w:rsidRPr="00456014" w:rsidRDefault="00E228C9" w:rsidP="00961DEE">
            <w:pPr>
              <w:spacing w:before="0" w:after="0"/>
            </w:pPr>
            <w:r w:rsidRPr="00456014">
              <w:t xml:space="preserve">5    </w:t>
            </w:r>
          </w:p>
        </w:tc>
        <w:tc>
          <w:tcPr>
            <w:tcW w:w="502" w:type="pct"/>
            <w:shd w:val="clear" w:color="auto" w:fill="auto"/>
            <w:noWrap/>
            <w:hideMark/>
          </w:tcPr>
          <w:p w:rsidR="00E228C9" w:rsidRPr="00456014" w:rsidRDefault="00E228C9" w:rsidP="00961DEE">
            <w:pPr>
              <w:spacing w:before="0" w:after="0"/>
            </w:pPr>
            <w:r w:rsidRPr="00456014">
              <w:t xml:space="preserve">6    </w:t>
            </w:r>
          </w:p>
        </w:tc>
      </w:tr>
      <w:tr w:rsidR="00456014" w:rsidRPr="00456014" w:rsidTr="00A418A5">
        <w:trPr>
          <w:trHeight w:val="390"/>
          <w:jc w:val="center"/>
        </w:trPr>
        <w:tc>
          <w:tcPr>
            <w:tcW w:w="599" w:type="pct"/>
            <w:shd w:val="clear" w:color="auto" w:fill="F2DBDB" w:themeFill="accent2" w:themeFillTint="33"/>
            <w:noWrap/>
            <w:vAlign w:val="bottom"/>
            <w:hideMark/>
          </w:tcPr>
          <w:p w:rsidR="00E228C9" w:rsidRPr="00456014" w:rsidRDefault="00C231C5" w:rsidP="00961DEE">
            <w:pPr>
              <w:spacing w:before="0" w:after="0"/>
              <w:rPr>
                <w:rFonts w:eastAsia="Times New Roman"/>
              </w:rPr>
            </w:pPr>
            <w:r w:rsidRPr="00456014">
              <w:rPr>
                <w:rFonts w:eastAsia="Times New Roman"/>
              </w:rPr>
              <w:t>DD</w:t>
            </w:r>
          </w:p>
        </w:tc>
        <w:tc>
          <w:tcPr>
            <w:tcW w:w="460" w:type="pct"/>
            <w:shd w:val="clear" w:color="auto" w:fill="F2F2F2" w:themeFill="background1" w:themeFillShade="F2"/>
            <w:noWrap/>
            <w:hideMark/>
          </w:tcPr>
          <w:p w:rsidR="00E228C9" w:rsidRPr="00456014" w:rsidRDefault="00E228C9" w:rsidP="00961DEE">
            <w:pPr>
              <w:spacing w:before="0" w:after="0"/>
            </w:pPr>
            <w:r w:rsidRPr="00456014">
              <w:t xml:space="preserve"> 1/3</w:t>
            </w:r>
          </w:p>
        </w:tc>
        <w:tc>
          <w:tcPr>
            <w:tcW w:w="445" w:type="pct"/>
            <w:shd w:val="clear" w:color="auto" w:fill="F2F2F2" w:themeFill="background1" w:themeFillShade="F2"/>
            <w:noWrap/>
            <w:hideMark/>
          </w:tcPr>
          <w:p w:rsidR="00E228C9" w:rsidRPr="00456014" w:rsidRDefault="00E228C9" w:rsidP="00961DEE">
            <w:pPr>
              <w:spacing w:before="0" w:after="0"/>
            </w:pPr>
            <w:r w:rsidRPr="00456014">
              <w:t xml:space="preserve"> 1/4</w:t>
            </w:r>
          </w:p>
        </w:tc>
        <w:tc>
          <w:tcPr>
            <w:tcW w:w="433" w:type="pct"/>
            <w:shd w:val="clear" w:color="auto" w:fill="F2F2F2" w:themeFill="background1" w:themeFillShade="F2"/>
            <w:noWrap/>
            <w:hideMark/>
          </w:tcPr>
          <w:p w:rsidR="00E228C9" w:rsidRPr="00456014" w:rsidRDefault="00E228C9" w:rsidP="00961DEE">
            <w:pPr>
              <w:spacing w:before="0" w:after="0"/>
            </w:pPr>
            <w:r w:rsidRPr="00456014">
              <w:t xml:space="preserve"> 1/3</w:t>
            </w:r>
          </w:p>
        </w:tc>
        <w:tc>
          <w:tcPr>
            <w:tcW w:w="502" w:type="pct"/>
            <w:shd w:val="clear" w:color="auto" w:fill="F2F2F2" w:themeFill="background1" w:themeFillShade="F2"/>
            <w:noWrap/>
            <w:hideMark/>
          </w:tcPr>
          <w:p w:rsidR="00E228C9" w:rsidRPr="00456014" w:rsidRDefault="00E228C9" w:rsidP="00961DEE">
            <w:pPr>
              <w:spacing w:before="0" w:after="0"/>
            </w:pPr>
            <w:r w:rsidRPr="00456014">
              <w:t xml:space="preserve"> 1/2</w:t>
            </w:r>
          </w:p>
        </w:tc>
        <w:tc>
          <w:tcPr>
            <w:tcW w:w="502" w:type="pct"/>
            <w:shd w:val="clear" w:color="auto" w:fill="92CDDC" w:themeFill="accent5" w:themeFillTint="99"/>
            <w:noWrap/>
            <w:hideMark/>
          </w:tcPr>
          <w:p w:rsidR="00E228C9" w:rsidRPr="00456014" w:rsidRDefault="00E228C9" w:rsidP="00961DEE">
            <w:pPr>
              <w:spacing w:before="0" w:after="0"/>
            </w:pPr>
            <w:r w:rsidRPr="00456014">
              <w:t xml:space="preserve">1    </w:t>
            </w:r>
          </w:p>
        </w:tc>
        <w:tc>
          <w:tcPr>
            <w:tcW w:w="502" w:type="pct"/>
            <w:shd w:val="clear" w:color="auto" w:fill="auto"/>
            <w:noWrap/>
            <w:hideMark/>
          </w:tcPr>
          <w:p w:rsidR="00E228C9" w:rsidRPr="00456014" w:rsidRDefault="00E228C9" w:rsidP="00961DEE">
            <w:pPr>
              <w:spacing w:before="0" w:after="0"/>
            </w:pPr>
            <w:r w:rsidRPr="00456014">
              <w:t xml:space="preserve">3    </w:t>
            </w:r>
          </w:p>
        </w:tc>
        <w:tc>
          <w:tcPr>
            <w:tcW w:w="502" w:type="pct"/>
            <w:shd w:val="clear" w:color="auto" w:fill="auto"/>
            <w:noWrap/>
            <w:hideMark/>
          </w:tcPr>
          <w:p w:rsidR="00E228C9" w:rsidRPr="00456014" w:rsidRDefault="00E228C9" w:rsidP="00961DEE">
            <w:pPr>
              <w:spacing w:before="0" w:after="0"/>
            </w:pPr>
            <w:r w:rsidRPr="00456014">
              <w:t xml:space="preserve">3    </w:t>
            </w:r>
          </w:p>
        </w:tc>
        <w:tc>
          <w:tcPr>
            <w:tcW w:w="552" w:type="pct"/>
            <w:shd w:val="clear" w:color="auto" w:fill="auto"/>
            <w:noWrap/>
            <w:hideMark/>
          </w:tcPr>
          <w:p w:rsidR="00E228C9" w:rsidRPr="00456014" w:rsidRDefault="00E228C9" w:rsidP="00961DEE">
            <w:pPr>
              <w:spacing w:before="0" w:after="0"/>
            </w:pPr>
            <w:r w:rsidRPr="00456014">
              <w:t xml:space="preserve">4    </w:t>
            </w:r>
          </w:p>
        </w:tc>
        <w:tc>
          <w:tcPr>
            <w:tcW w:w="502" w:type="pct"/>
            <w:shd w:val="clear" w:color="auto" w:fill="auto"/>
            <w:noWrap/>
            <w:hideMark/>
          </w:tcPr>
          <w:p w:rsidR="00E228C9" w:rsidRPr="00456014" w:rsidRDefault="00E228C9" w:rsidP="00961DEE">
            <w:pPr>
              <w:spacing w:before="0" w:after="0"/>
            </w:pPr>
            <w:r w:rsidRPr="00456014">
              <w:t xml:space="preserve">5    </w:t>
            </w:r>
          </w:p>
        </w:tc>
      </w:tr>
      <w:tr w:rsidR="00456014" w:rsidRPr="00456014" w:rsidTr="00A418A5">
        <w:trPr>
          <w:trHeight w:val="390"/>
          <w:jc w:val="center"/>
        </w:trPr>
        <w:tc>
          <w:tcPr>
            <w:tcW w:w="599" w:type="pct"/>
            <w:shd w:val="clear" w:color="auto" w:fill="F2DBDB" w:themeFill="accent2" w:themeFillTint="33"/>
            <w:noWrap/>
            <w:vAlign w:val="bottom"/>
            <w:hideMark/>
          </w:tcPr>
          <w:p w:rsidR="00E228C9" w:rsidRPr="00456014" w:rsidRDefault="00C231C5" w:rsidP="00961DEE">
            <w:pPr>
              <w:spacing w:before="0" w:after="0"/>
              <w:rPr>
                <w:rFonts w:eastAsia="Times New Roman"/>
              </w:rPr>
            </w:pPr>
            <w:r w:rsidRPr="00456014">
              <w:rPr>
                <w:rFonts w:eastAsia="Times New Roman"/>
              </w:rPr>
              <w:t>Slp</w:t>
            </w:r>
          </w:p>
        </w:tc>
        <w:tc>
          <w:tcPr>
            <w:tcW w:w="460" w:type="pct"/>
            <w:shd w:val="clear" w:color="auto" w:fill="F2F2F2" w:themeFill="background1" w:themeFillShade="F2"/>
            <w:noWrap/>
            <w:hideMark/>
          </w:tcPr>
          <w:p w:rsidR="00E228C9" w:rsidRPr="00456014" w:rsidRDefault="00E228C9" w:rsidP="00961DEE">
            <w:pPr>
              <w:spacing w:before="0" w:after="0"/>
            </w:pPr>
            <w:r w:rsidRPr="00456014">
              <w:t xml:space="preserve"> 1/4</w:t>
            </w:r>
          </w:p>
        </w:tc>
        <w:tc>
          <w:tcPr>
            <w:tcW w:w="445" w:type="pct"/>
            <w:shd w:val="clear" w:color="auto" w:fill="F2F2F2" w:themeFill="background1" w:themeFillShade="F2"/>
            <w:noWrap/>
            <w:hideMark/>
          </w:tcPr>
          <w:p w:rsidR="00E228C9" w:rsidRPr="00456014" w:rsidRDefault="00E228C9" w:rsidP="00961DEE">
            <w:pPr>
              <w:spacing w:before="0" w:after="0"/>
            </w:pPr>
            <w:r w:rsidRPr="00456014">
              <w:t xml:space="preserve"> 1/5</w:t>
            </w:r>
          </w:p>
        </w:tc>
        <w:tc>
          <w:tcPr>
            <w:tcW w:w="433" w:type="pct"/>
            <w:shd w:val="clear" w:color="auto" w:fill="F2F2F2" w:themeFill="background1" w:themeFillShade="F2"/>
            <w:noWrap/>
            <w:hideMark/>
          </w:tcPr>
          <w:p w:rsidR="00E228C9" w:rsidRPr="00456014" w:rsidRDefault="00E228C9" w:rsidP="00961DEE">
            <w:pPr>
              <w:spacing w:before="0" w:after="0"/>
            </w:pPr>
            <w:r w:rsidRPr="00456014">
              <w:t xml:space="preserve"> 1/4</w:t>
            </w:r>
          </w:p>
        </w:tc>
        <w:tc>
          <w:tcPr>
            <w:tcW w:w="502" w:type="pct"/>
            <w:shd w:val="clear" w:color="auto" w:fill="F2F2F2" w:themeFill="background1" w:themeFillShade="F2"/>
            <w:noWrap/>
            <w:hideMark/>
          </w:tcPr>
          <w:p w:rsidR="00E228C9" w:rsidRPr="00456014" w:rsidRDefault="00E228C9" w:rsidP="00961DEE">
            <w:pPr>
              <w:spacing w:before="0" w:after="0"/>
            </w:pPr>
            <w:r w:rsidRPr="00456014">
              <w:t xml:space="preserve"> 1/3</w:t>
            </w:r>
          </w:p>
        </w:tc>
        <w:tc>
          <w:tcPr>
            <w:tcW w:w="502" w:type="pct"/>
            <w:shd w:val="clear" w:color="auto" w:fill="F2F2F2" w:themeFill="background1" w:themeFillShade="F2"/>
            <w:noWrap/>
            <w:hideMark/>
          </w:tcPr>
          <w:p w:rsidR="00E228C9" w:rsidRPr="00456014" w:rsidRDefault="00E228C9" w:rsidP="00961DEE">
            <w:pPr>
              <w:spacing w:before="0" w:after="0"/>
            </w:pPr>
            <w:r w:rsidRPr="00456014">
              <w:t xml:space="preserve"> 1/3</w:t>
            </w:r>
          </w:p>
        </w:tc>
        <w:tc>
          <w:tcPr>
            <w:tcW w:w="502" w:type="pct"/>
            <w:shd w:val="clear" w:color="auto" w:fill="92CDDC" w:themeFill="accent5" w:themeFillTint="99"/>
            <w:noWrap/>
            <w:hideMark/>
          </w:tcPr>
          <w:p w:rsidR="00E228C9" w:rsidRPr="00456014" w:rsidRDefault="00E228C9" w:rsidP="00961DEE">
            <w:pPr>
              <w:spacing w:before="0" w:after="0"/>
            </w:pPr>
            <w:r w:rsidRPr="00456014">
              <w:t xml:space="preserve">1    </w:t>
            </w:r>
          </w:p>
        </w:tc>
        <w:tc>
          <w:tcPr>
            <w:tcW w:w="502" w:type="pct"/>
            <w:shd w:val="clear" w:color="auto" w:fill="auto"/>
            <w:noWrap/>
            <w:hideMark/>
          </w:tcPr>
          <w:p w:rsidR="00E228C9" w:rsidRPr="00456014" w:rsidRDefault="00E228C9" w:rsidP="00961DEE">
            <w:pPr>
              <w:spacing w:before="0" w:after="0"/>
            </w:pPr>
            <w:r w:rsidRPr="00456014">
              <w:t xml:space="preserve">2    </w:t>
            </w:r>
          </w:p>
        </w:tc>
        <w:tc>
          <w:tcPr>
            <w:tcW w:w="552" w:type="pct"/>
            <w:shd w:val="clear" w:color="auto" w:fill="auto"/>
            <w:noWrap/>
            <w:hideMark/>
          </w:tcPr>
          <w:p w:rsidR="00E228C9" w:rsidRPr="00456014" w:rsidRDefault="00E228C9" w:rsidP="00961DEE">
            <w:pPr>
              <w:spacing w:before="0" w:after="0"/>
            </w:pPr>
            <w:r w:rsidRPr="00456014">
              <w:t xml:space="preserve">3    </w:t>
            </w:r>
          </w:p>
        </w:tc>
        <w:tc>
          <w:tcPr>
            <w:tcW w:w="502" w:type="pct"/>
            <w:shd w:val="clear" w:color="auto" w:fill="auto"/>
            <w:noWrap/>
            <w:hideMark/>
          </w:tcPr>
          <w:p w:rsidR="00E228C9" w:rsidRPr="00456014" w:rsidRDefault="00E228C9" w:rsidP="00961DEE">
            <w:pPr>
              <w:spacing w:before="0" w:after="0"/>
            </w:pPr>
            <w:r w:rsidRPr="00456014">
              <w:t xml:space="preserve">4    </w:t>
            </w:r>
          </w:p>
        </w:tc>
      </w:tr>
      <w:tr w:rsidR="00456014" w:rsidRPr="00456014" w:rsidTr="00A418A5">
        <w:trPr>
          <w:trHeight w:val="315"/>
          <w:jc w:val="center"/>
        </w:trPr>
        <w:tc>
          <w:tcPr>
            <w:tcW w:w="599" w:type="pct"/>
            <w:shd w:val="clear" w:color="auto" w:fill="F2DBDB" w:themeFill="accent2" w:themeFillTint="33"/>
            <w:noWrap/>
            <w:vAlign w:val="bottom"/>
            <w:hideMark/>
          </w:tcPr>
          <w:p w:rsidR="00E228C9" w:rsidRPr="00456014" w:rsidRDefault="00C231C5" w:rsidP="00961DEE">
            <w:pPr>
              <w:spacing w:before="0" w:after="0"/>
              <w:rPr>
                <w:rFonts w:eastAsia="Times New Roman"/>
              </w:rPr>
            </w:pPr>
            <w:r w:rsidRPr="00456014">
              <w:rPr>
                <w:rFonts w:eastAsia="Times New Roman"/>
              </w:rPr>
              <w:t>Elv</w:t>
            </w:r>
          </w:p>
        </w:tc>
        <w:tc>
          <w:tcPr>
            <w:tcW w:w="460" w:type="pct"/>
            <w:shd w:val="clear" w:color="auto" w:fill="F2F2F2" w:themeFill="background1" w:themeFillShade="F2"/>
            <w:noWrap/>
            <w:hideMark/>
          </w:tcPr>
          <w:p w:rsidR="00E228C9" w:rsidRPr="00456014" w:rsidRDefault="00E228C9" w:rsidP="00961DEE">
            <w:pPr>
              <w:spacing w:before="0" w:after="0"/>
            </w:pPr>
            <w:r w:rsidRPr="00456014">
              <w:t xml:space="preserve"> 1/4</w:t>
            </w:r>
          </w:p>
        </w:tc>
        <w:tc>
          <w:tcPr>
            <w:tcW w:w="445" w:type="pct"/>
            <w:shd w:val="clear" w:color="auto" w:fill="F2F2F2" w:themeFill="background1" w:themeFillShade="F2"/>
            <w:noWrap/>
            <w:hideMark/>
          </w:tcPr>
          <w:p w:rsidR="00E228C9" w:rsidRPr="00456014" w:rsidRDefault="00E228C9" w:rsidP="00961DEE">
            <w:pPr>
              <w:spacing w:before="0" w:after="0"/>
            </w:pPr>
            <w:r w:rsidRPr="00456014">
              <w:t xml:space="preserve"> 1/5</w:t>
            </w:r>
          </w:p>
        </w:tc>
        <w:tc>
          <w:tcPr>
            <w:tcW w:w="433" w:type="pct"/>
            <w:shd w:val="clear" w:color="auto" w:fill="F2F2F2" w:themeFill="background1" w:themeFillShade="F2"/>
            <w:noWrap/>
            <w:hideMark/>
          </w:tcPr>
          <w:p w:rsidR="00E228C9" w:rsidRPr="00456014" w:rsidRDefault="00E228C9" w:rsidP="00961DEE">
            <w:pPr>
              <w:spacing w:before="0" w:after="0"/>
            </w:pPr>
            <w:r w:rsidRPr="00456014">
              <w:t xml:space="preserve"> 1/4</w:t>
            </w:r>
          </w:p>
        </w:tc>
        <w:tc>
          <w:tcPr>
            <w:tcW w:w="502" w:type="pct"/>
            <w:shd w:val="clear" w:color="auto" w:fill="F2F2F2" w:themeFill="background1" w:themeFillShade="F2"/>
            <w:noWrap/>
            <w:hideMark/>
          </w:tcPr>
          <w:p w:rsidR="00E228C9" w:rsidRPr="00456014" w:rsidRDefault="00E228C9" w:rsidP="00961DEE">
            <w:pPr>
              <w:spacing w:before="0" w:after="0"/>
            </w:pPr>
            <w:r w:rsidRPr="00456014">
              <w:t xml:space="preserve"> 1/4</w:t>
            </w:r>
          </w:p>
        </w:tc>
        <w:tc>
          <w:tcPr>
            <w:tcW w:w="502" w:type="pct"/>
            <w:shd w:val="clear" w:color="auto" w:fill="F2F2F2" w:themeFill="background1" w:themeFillShade="F2"/>
            <w:noWrap/>
            <w:hideMark/>
          </w:tcPr>
          <w:p w:rsidR="00E228C9" w:rsidRPr="00456014" w:rsidRDefault="00E228C9" w:rsidP="00961DEE">
            <w:pPr>
              <w:spacing w:before="0" w:after="0"/>
            </w:pPr>
            <w:r w:rsidRPr="00456014">
              <w:t xml:space="preserve"> 1/3</w:t>
            </w:r>
          </w:p>
        </w:tc>
        <w:tc>
          <w:tcPr>
            <w:tcW w:w="502" w:type="pct"/>
            <w:shd w:val="clear" w:color="auto" w:fill="F2F2F2" w:themeFill="background1" w:themeFillShade="F2"/>
            <w:noWrap/>
            <w:hideMark/>
          </w:tcPr>
          <w:p w:rsidR="00E228C9" w:rsidRPr="00456014" w:rsidRDefault="00E228C9" w:rsidP="00961DEE">
            <w:pPr>
              <w:spacing w:before="0" w:after="0"/>
            </w:pPr>
            <w:r w:rsidRPr="00456014">
              <w:t xml:space="preserve"> 1/2</w:t>
            </w:r>
          </w:p>
        </w:tc>
        <w:tc>
          <w:tcPr>
            <w:tcW w:w="502" w:type="pct"/>
            <w:shd w:val="clear" w:color="auto" w:fill="92CDDC" w:themeFill="accent5" w:themeFillTint="99"/>
            <w:noWrap/>
            <w:hideMark/>
          </w:tcPr>
          <w:p w:rsidR="00E228C9" w:rsidRPr="00456014" w:rsidRDefault="00E228C9" w:rsidP="00961DEE">
            <w:pPr>
              <w:spacing w:before="0" w:after="0"/>
            </w:pPr>
            <w:r w:rsidRPr="00456014">
              <w:t xml:space="preserve">1    </w:t>
            </w:r>
          </w:p>
        </w:tc>
        <w:tc>
          <w:tcPr>
            <w:tcW w:w="552" w:type="pct"/>
            <w:shd w:val="clear" w:color="auto" w:fill="auto"/>
            <w:noWrap/>
            <w:hideMark/>
          </w:tcPr>
          <w:p w:rsidR="00E228C9" w:rsidRPr="00456014" w:rsidRDefault="00E228C9" w:rsidP="00961DEE">
            <w:pPr>
              <w:spacing w:before="0" w:after="0"/>
            </w:pPr>
            <w:r w:rsidRPr="00456014">
              <w:t xml:space="preserve">3    </w:t>
            </w:r>
          </w:p>
        </w:tc>
        <w:tc>
          <w:tcPr>
            <w:tcW w:w="502" w:type="pct"/>
            <w:shd w:val="clear" w:color="auto" w:fill="auto"/>
            <w:noWrap/>
            <w:hideMark/>
          </w:tcPr>
          <w:p w:rsidR="00E228C9" w:rsidRPr="00456014" w:rsidRDefault="00E228C9" w:rsidP="00961DEE">
            <w:pPr>
              <w:spacing w:before="0" w:after="0"/>
            </w:pPr>
            <w:r w:rsidRPr="00456014">
              <w:t xml:space="preserve">3    </w:t>
            </w:r>
          </w:p>
        </w:tc>
      </w:tr>
      <w:tr w:rsidR="00456014" w:rsidRPr="00456014" w:rsidTr="00A418A5">
        <w:trPr>
          <w:trHeight w:val="315"/>
          <w:jc w:val="center"/>
        </w:trPr>
        <w:tc>
          <w:tcPr>
            <w:tcW w:w="599" w:type="pct"/>
            <w:shd w:val="clear" w:color="auto" w:fill="F2DBDB" w:themeFill="accent2" w:themeFillTint="33"/>
            <w:noWrap/>
            <w:vAlign w:val="bottom"/>
            <w:hideMark/>
          </w:tcPr>
          <w:p w:rsidR="00E228C9" w:rsidRPr="00456014" w:rsidRDefault="00E228C9" w:rsidP="00961DEE">
            <w:pPr>
              <w:spacing w:before="0" w:after="0"/>
              <w:rPr>
                <w:rFonts w:eastAsia="Times New Roman"/>
              </w:rPr>
            </w:pPr>
            <w:r w:rsidRPr="00456014">
              <w:rPr>
                <w:rFonts w:eastAsia="Times New Roman"/>
              </w:rPr>
              <w:t>LULC</w:t>
            </w:r>
          </w:p>
        </w:tc>
        <w:tc>
          <w:tcPr>
            <w:tcW w:w="460" w:type="pct"/>
            <w:shd w:val="clear" w:color="auto" w:fill="F2F2F2" w:themeFill="background1" w:themeFillShade="F2"/>
            <w:noWrap/>
            <w:hideMark/>
          </w:tcPr>
          <w:p w:rsidR="00E228C9" w:rsidRPr="00456014" w:rsidRDefault="00E228C9" w:rsidP="00961DEE">
            <w:pPr>
              <w:spacing w:before="0" w:after="0"/>
            </w:pPr>
            <w:r w:rsidRPr="00456014">
              <w:t xml:space="preserve"> 1/5</w:t>
            </w:r>
          </w:p>
        </w:tc>
        <w:tc>
          <w:tcPr>
            <w:tcW w:w="445" w:type="pct"/>
            <w:shd w:val="clear" w:color="auto" w:fill="F2F2F2" w:themeFill="background1" w:themeFillShade="F2"/>
            <w:noWrap/>
            <w:hideMark/>
          </w:tcPr>
          <w:p w:rsidR="00E228C9" w:rsidRPr="00456014" w:rsidRDefault="00E228C9" w:rsidP="00961DEE">
            <w:pPr>
              <w:spacing w:before="0" w:after="0"/>
            </w:pPr>
            <w:r w:rsidRPr="00456014">
              <w:t xml:space="preserve"> 1/7</w:t>
            </w:r>
          </w:p>
        </w:tc>
        <w:tc>
          <w:tcPr>
            <w:tcW w:w="433" w:type="pct"/>
            <w:shd w:val="clear" w:color="auto" w:fill="F2F2F2" w:themeFill="background1" w:themeFillShade="F2"/>
            <w:noWrap/>
            <w:hideMark/>
          </w:tcPr>
          <w:p w:rsidR="00E228C9" w:rsidRPr="00456014" w:rsidRDefault="00E228C9" w:rsidP="00961DEE">
            <w:pPr>
              <w:spacing w:before="0" w:after="0"/>
            </w:pPr>
            <w:r w:rsidRPr="00456014">
              <w:t xml:space="preserve"> 1/6</w:t>
            </w:r>
          </w:p>
        </w:tc>
        <w:tc>
          <w:tcPr>
            <w:tcW w:w="502" w:type="pct"/>
            <w:shd w:val="clear" w:color="auto" w:fill="F2F2F2" w:themeFill="background1" w:themeFillShade="F2"/>
            <w:noWrap/>
            <w:hideMark/>
          </w:tcPr>
          <w:p w:rsidR="00E228C9" w:rsidRPr="00456014" w:rsidRDefault="00E228C9" w:rsidP="00961DEE">
            <w:pPr>
              <w:spacing w:before="0" w:after="0"/>
            </w:pPr>
            <w:r w:rsidRPr="00456014">
              <w:t xml:space="preserve"> 1/5</w:t>
            </w:r>
          </w:p>
        </w:tc>
        <w:tc>
          <w:tcPr>
            <w:tcW w:w="502" w:type="pct"/>
            <w:shd w:val="clear" w:color="auto" w:fill="F2F2F2" w:themeFill="background1" w:themeFillShade="F2"/>
            <w:noWrap/>
            <w:hideMark/>
          </w:tcPr>
          <w:p w:rsidR="00E228C9" w:rsidRPr="00456014" w:rsidRDefault="00E228C9" w:rsidP="00961DEE">
            <w:pPr>
              <w:spacing w:before="0" w:after="0"/>
            </w:pPr>
            <w:r w:rsidRPr="00456014">
              <w:t xml:space="preserve"> 1/4</w:t>
            </w:r>
          </w:p>
        </w:tc>
        <w:tc>
          <w:tcPr>
            <w:tcW w:w="502" w:type="pct"/>
            <w:shd w:val="clear" w:color="auto" w:fill="F2F2F2" w:themeFill="background1" w:themeFillShade="F2"/>
            <w:noWrap/>
            <w:hideMark/>
          </w:tcPr>
          <w:p w:rsidR="00E228C9" w:rsidRPr="00456014" w:rsidRDefault="00E228C9" w:rsidP="00961DEE">
            <w:pPr>
              <w:spacing w:before="0" w:after="0"/>
            </w:pPr>
            <w:r w:rsidRPr="00456014">
              <w:t xml:space="preserve"> 1/3</w:t>
            </w:r>
          </w:p>
        </w:tc>
        <w:tc>
          <w:tcPr>
            <w:tcW w:w="502" w:type="pct"/>
            <w:shd w:val="clear" w:color="auto" w:fill="F2F2F2" w:themeFill="background1" w:themeFillShade="F2"/>
            <w:noWrap/>
            <w:hideMark/>
          </w:tcPr>
          <w:p w:rsidR="00E228C9" w:rsidRPr="00456014" w:rsidRDefault="00E228C9" w:rsidP="00961DEE">
            <w:pPr>
              <w:spacing w:before="0" w:after="0"/>
            </w:pPr>
            <w:r w:rsidRPr="00456014">
              <w:t xml:space="preserve"> 1/3</w:t>
            </w:r>
          </w:p>
        </w:tc>
        <w:tc>
          <w:tcPr>
            <w:tcW w:w="552" w:type="pct"/>
            <w:shd w:val="clear" w:color="auto" w:fill="92CDDC" w:themeFill="accent5" w:themeFillTint="99"/>
            <w:noWrap/>
            <w:hideMark/>
          </w:tcPr>
          <w:p w:rsidR="00E228C9" w:rsidRPr="00456014" w:rsidRDefault="00E228C9" w:rsidP="00961DEE">
            <w:pPr>
              <w:spacing w:before="0" w:after="0"/>
            </w:pPr>
            <w:r w:rsidRPr="00456014">
              <w:t xml:space="preserve">1    </w:t>
            </w:r>
          </w:p>
        </w:tc>
        <w:tc>
          <w:tcPr>
            <w:tcW w:w="502" w:type="pct"/>
            <w:shd w:val="clear" w:color="auto" w:fill="auto"/>
            <w:noWrap/>
            <w:hideMark/>
          </w:tcPr>
          <w:p w:rsidR="00E228C9" w:rsidRPr="00456014" w:rsidRDefault="00E228C9" w:rsidP="00961DEE">
            <w:pPr>
              <w:spacing w:before="0" w:after="0"/>
            </w:pPr>
            <w:r w:rsidRPr="00456014">
              <w:t xml:space="preserve">2    </w:t>
            </w:r>
          </w:p>
        </w:tc>
      </w:tr>
      <w:tr w:rsidR="00456014" w:rsidRPr="00456014" w:rsidTr="00A418A5">
        <w:trPr>
          <w:trHeight w:val="330"/>
          <w:jc w:val="center"/>
        </w:trPr>
        <w:tc>
          <w:tcPr>
            <w:tcW w:w="599" w:type="pct"/>
            <w:tcBorders>
              <w:bottom w:val="single" w:sz="4" w:space="0" w:color="auto"/>
            </w:tcBorders>
            <w:shd w:val="clear" w:color="auto" w:fill="F2DBDB" w:themeFill="accent2" w:themeFillTint="33"/>
            <w:noWrap/>
            <w:vAlign w:val="bottom"/>
            <w:hideMark/>
          </w:tcPr>
          <w:p w:rsidR="00E228C9" w:rsidRPr="00456014" w:rsidRDefault="005E0747" w:rsidP="00961DEE">
            <w:pPr>
              <w:spacing w:before="0" w:after="0"/>
              <w:rPr>
                <w:rFonts w:eastAsia="Times New Roman"/>
              </w:rPr>
            </w:pPr>
            <w:r w:rsidRPr="00456014">
              <w:rPr>
                <w:rFonts w:eastAsia="Times New Roman"/>
              </w:rPr>
              <w:t>ST</w:t>
            </w:r>
          </w:p>
        </w:tc>
        <w:tc>
          <w:tcPr>
            <w:tcW w:w="460" w:type="pct"/>
            <w:tcBorders>
              <w:bottom w:val="single" w:sz="4" w:space="0" w:color="auto"/>
            </w:tcBorders>
            <w:shd w:val="clear" w:color="auto" w:fill="F2F2F2" w:themeFill="background1" w:themeFillShade="F2"/>
            <w:noWrap/>
            <w:hideMark/>
          </w:tcPr>
          <w:p w:rsidR="00E228C9" w:rsidRPr="00456014" w:rsidRDefault="00E228C9" w:rsidP="00961DEE">
            <w:pPr>
              <w:spacing w:before="0" w:after="0"/>
            </w:pPr>
            <w:r w:rsidRPr="00456014">
              <w:t xml:space="preserve"> 1/9</w:t>
            </w:r>
          </w:p>
        </w:tc>
        <w:tc>
          <w:tcPr>
            <w:tcW w:w="445" w:type="pct"/>
            <w:tcBorders>
              <w:bottom w:val="single" w:sz="4" w:space="0" w:color="auto"/>
            </w:tcBorders>
            <w:shd w:val="clear" w:color="auto" w:fill="F2F2F2" w:themeFill="background1" w:themeFillShade="F2"/>
            <w:noWrap/>
            <w:hideMark/>
          </w:tcPr>
          <w:p w:rsidR="00E228C9" w:rsidRPr="00456014" w:rsidRDefault="00E228C9" w:rsidP="00961DEE">
            <w:pPr>
              <w:spacing w:before="0" w:after="0"/>
            </w:pPr>
            <w:r w:rsidRPr="00456014">
              <w:t xml:space="preserve"> 1/8</w:t>
            </w:r>
          </w:p>
        </w:tc>
        <w:tc>
          <w:tcPr>
            <w:tcW w:w="433" w:type="pct"/>
            <w:tcBorders>
              <w:bottom w:val="single" w:sz="4" w:space="0" w:color="auto"/>
            </w:tcBorders>
            <w:shd w:val="clear" w:color="auto" w:fill="F2F2F2" w:themeFill="background1" w:themeFillShade="F2"/>
            <w:noWrap/>
            <w:hideMark/>
          </w:tcPr>
          <w:p w:rsidR="00E228C9" w:rsidRPr="00456014" w:rsidRDefault="00E228C9" w:rsidP="00961DEE">
            <w:pPr>
              <w:spacing w:before="0" w:after="0"/>
            </w:pPr>
            <w:r w:rsidRPr="00456014">
              <w:t xml:space="preserve"> 1/7</w:t>
            </w:r>
          </w:p>
        </w:tc>
        <w:tc>
          <w:tcPr>
            <w:tcW w:w="502" w:type="pct"/>
            <w:tcBorders>
              <w:bottom w:val="single" w:sz="4" w:space="0" w:color="auto"/>
            </w:tcBorders>
            <w:shd w:val="clear" w:color="auto" w:fill="F2F2F2" w:themeFill="background1" w:themeFillShade="F2"/>
            <w:noWrap/>
            <w:hideMark/>
          </w:tcPr>
          <w:p w:rsidR="00E228C9" w:rsidRPr="00456014" w:rsidRDefault="00E228C9" w:rsidP="00961DEE">
            <w:pPr>
              <w:spacing w:before="0" w:after="0"/>
            </w:pPr>
            <w:r w:rsidRPr="00456014">
              <w:t xml:space="preserve"> 1/6</w:t>
            </w:r>
          </w:p>
        </w:tc>
        <w:tc>
          <w:tcPr>
            <w:tcW w:w="502" w:type="pct"/>
            <w:tcBorders>
              <w:bottom w:val="single" w:sz="4" w:space="0" w:color="auto"/>
            </w:tcBorders>
            <w:shd w:val="clear" w:color="auto" w:fill="F2F2F2" w:themeFill="background1" w:themeFillShade="F2"/>
            <w:noWrap/>
            <w:hideMark/>
          </w:tcPr>
          <w:p w:rsidR="00E228C9" w:rsidRPr="00456014" w:rsidRDefault="00E228C9" w:rsidP="00961DEE">
            <w:pPr>
              <w:spacing w:before="0" w:after="0"/>
            </w:pPr>
            <w:r w:rsidRPr="00456014">
              <w:t xml:space="preserve"> 1/5</w:t>
            </w:r>
          </w:p>
        </w:tc>
        <w:tc>
          <w:tcPr>
            <w:tcW w:w="502" w:type="pct"/>
            <w:tcBorders>
              <w:bottom w:val="single" w:sz="4" w:space="0" w:color="auto"/>
            </w:tcBorders>
            <w:shd w:val="clear" w:color="auto" w:fill="F2F2F2" w:themeFill="background1" w:themeFillShade="F2"/>
            <w:noWrap/>
            <w:hideMark/>
          </w:tcPr>
          <w:p w:rsidR="00E228C9" w:rsidRPr="00456014" w:rsidRDefault="00E228C9" w:rsidP="00961DEE">
            <w:pPr>
              <w:spacing w:before="0" w:after="0"/>
            </w:pPr>
            <w:r w:rsidRPr="00456014">
              <w:t xml:space="preserve"> 1/4</w:t>
            </w:r>
          </w:p>
        </w:tc>
        <w:tc>
          <w:tcPr>
            <w:tcW w:w="502" w:type="pct"/>
            <w:tcBorders>
              <w:bottom w:val="single" w:sz="4" w:space="0" w:color="auto"/>
            </w:tcBorders>
            <w:shd w:val="clear" w:color="auto" w:fill="F2F2F2" w:themeFill="background1" w:themeFillShade="F2"/>
            <w:noWrap/>
            <w:hideMark/>
          </w:tcPr>
          <w:p w:rsidR="00E228C9" w:rsidRPr="00456014" w:rsidRDefault="00E228C9" w:rsidP="00961DEE">
            <w:pPr>
              <w:spacing w:before="0" w:after="0"/>
            </w:pPr>
            <w:r w:rsidRPr="00456014">
              <w:t xml:space="preserve"> 1/3</w:t>
            </w:r>
          </w:p>
        </w:tc>
        <w:tc>
          <w:tcPr>
            <w:tcW w:w="552" w:type="pct"/>
            <w:tcBorders>
              <w:bottom w:val="single" w:sz="4" w:space="0" w:color="auto"/>
            </w:tcBorders>
            <w:shd w:val="clear" w:color="auto" w:fill="F2F2F2" w:themeFill="background1" w:themeFillShade="F2"/>
            <w:noWrap/>
            <w:hideMark/>
          </w:tcPr>
          <w:p w:rsidR="00E228C9" w:rsidRPr="00456014" w:rsidRDefault="00E228C9" w:rsidP="00961DEE">
            <w:pPr>
              <w:spacing w:before="0" w:after="0"/>
            </w:pPr>
            <w:r w:rsidRPr="00456014">
              <w:t xml:space="preserve"> 1/2</w:t>
            </w:r>
          </w:p>
        </w:tc>
        <w:tc>
          <w:tcPr>
            <w:tcW w:w="502" w:type="pct"/>
            <w:tcBorders>
              <w:bottom w:val="single" w:sz="4" w:space="0" w:color="auto"/>
            </w:tcBorders>
            <w:shd w:val="clear" w:color="auto" w:fill="92CDDC" w:themeFill="accent5" w:themeFillTint="99"/>
            <w:noWrap/>
            <w:hideMark/>
          </w:tcPr>
          <w:p w:rsidR="00E228C9" w:rsidRPr="00456014" w:rsidRDefault="00E228C9" w:rsidP="00961DEE">
            <w:pPr>
              <w:spacing w:before="0" w:after="0"/>
            </w:pPr>
            <w:r w:rsidRPr="00456014">
              <w:t xml:space="preserve">1    </w:t>
            </w:r>
          </w:p>
        </w:tc>
      </w:tr>
      <w:tr w:rsidR="00456014" w:rsidRPr="00456014" w:rsidTr="00A418A5">
        <w:trPr>
          <w:trHeight w:val="330"/>
          <w:jc w:val="center"/>
        </w:trPr>
        <w:tc>
          <w:tcPr>
            <w:tcW w:w="599" w:type="pct"/>
            <w:tcBorders>
              <w:top w:val="single" w:sz="4" w:space="0" w:color="auto"/>
              <w:bottom w:val="single" w:sz="4" w:space="0" w:color="auto"/>
            </w:tcBorders>
            <w:shd w:val="clear" w:color="auto" w:fill="DBE5F1" w:themeFill="accent1" w:themeFillTint="33"/>
            <w:noWrap/>
            <w:vAlign w:val="bottom"/>
            <w:hideMark/>
          </w:tcPr>
          <w:p w:rsidR="008B5646" w:rsidRPr="00456014" w:rsidRDefault="008B5646" w:rsidP="00961DEE">
            <w:pPr>
              <w:spacing w:before="0" w:after="0"/>
              <w:rPr>
                <w:rFonts w:eastAsia="Times New Roman"/>
              </w:rPr>
            </w:pPr>
            <w:r w:rsidRPr="00456014">
              <w:rPr>
                <w:rFonts w:eastAsia="Times New Roman"/>
              </w:rPr>
              <w:t>SUM</w:t>
            </w:r>
          </w:p>
        </w:tc>
        <w:tc>
          <w:tcPr>
            <w:tcW w:w="460" w:type="pct"/>
            <w:tcBorders>
              <w:top w:val="single" w:sz="4" w:space="0" w:color="auto"/>
              <w:bottom w:val="single" w:sz="4" w:space="0" w:color="auto"/>
            </w:tcBorders>
            <w:shd w:val="clear" w:color="auto" w:fill="DBE5F1" w:themeFill="accent1" w:themeFillTint="33"/>
            <w:noWrap/>
            <w:vAlign w:val="bottom"/>
            <w:hideMark/>
          </w:tcPr>
          <w:p w:rsidR="008B5646" w:rsidRPr="00456014" w:rsidRDefault="008B5646" w:rsidP="00961DEE">
            <w:pPr>
              <w:spacing w:before="0" w:after="0"/>
            </w:pPr>
            <w:r w:rsidRPr="00456014">
              <w:t>3.48</w:t>
            </w:r>
          </w:p>
        </w:tc>
        <w:tc>
          <w:tcPr>
            <w:tcW w:w="445" w:type="pct"/>
            <w:tcBorders>
              <w:top w:val="single" w:sz="4" w:space="0" w:color="auto"/>
              <w:bottom w:val="single" w:sz="4" w:space="0" w:color="auto"/>
            </w:tcBorders>
            <w:shd w:val="clear" w:color="auto" w:fill="DBE5F1" w:themeFill="accent1" w:themeFillTint="33"/>
            <w:noWrap/>
            <w:vAlign w:val="bottom"/>
            <w:hideMark/>
          </w:tcPr>
          <w:p w:rsidR="008B5646" w:rsidRPr="00456014" w:rsidRDefault="008B5646" w:rsidP="00961DEE">
            <w:pPr>
              <w:spacing w:before="0" w:after="0"/>
            </w:pPr>
            <w:r w:rsidRPr="00456014">
              <w:t>4.75</w:t>
            </w:r>
          </w:p>
        </w:tc>
        <w:tc>
          <w:tcPr>
            <w:tcW w:w="433" w:type="pct"/>
            <w:tcBorders>
              <w:top w:val="single" w:sz="4" w:space="0" w:color="auto"/>
              <w:bottom w:val="single" w:sz="4" w:space="0" w:color="auto"/>
            </w:tcBorders>
            <w:shd w:val="clear" w:color="auto" w:fill="DBE5F1" w:themeFill="accent1" w:themeFillTint="33"/>
            <w:noWrap/>
            <w:vAlign w:val="bottom"/>
            <w:hideMark/>
          </w:tcPr>
          <w:p w:rsidR="008B5646" w:rsidRPr="00456014" w:rsidRDefault="008B5646" w:rsidP="00961DEE">
            <w:pPr>
              <w:spacing w:before="0" w:after="0"/>
            </w:pPr>
            <w:r w:rsidRPr="00456014">
              <w:t>6.64</w:t>
            </w:r>
          </w:p>
        </w:tc>
        <w:tc>
          <w:tcPr>
            <w:tcW w:w="502" w:type="pct"/>
            <w:tcBorders>
              <w:top w:val="single" w:sz="4" w:space="0" w:color="auto"/>
              <w:bottom w:val="single" w:sz="4" w:space="0" w:color="auto"/>
            </w:tcBorders>
            <w:shd w:val="clear" w:color="auto" w:fill="DBE5F1" w:themeFill="accent1" w:themeFillTint="33"/>
            <w:noWrap/>
            <w:vAlign w:val="bottom"/>
            <w:hideMark/>
          </w:tcPr>
          <w:p w:rsidR="008B5646" w:rsidRPr="00456014" w:rsidRDefault="008B5646" w:rsidP="00961DEE">
            <w:pPr>
              <w:spacing w:before="0" w:after="0"/>
            </w:pPr>
            <w:r w:rsidRPr="00456014">
              <w:t>10.45</w:t>
            </w:r>
          </w:p>
        </w:tc>
        <w:tc>
          <w:tcPr>
            <w:tcW w:w="502" w:type="pct"/>
            <w:tcBorders>
              <w:top w:val="single" w:sz="4" w:space="0" w:color="auto"/>
              <w:bottom w:val="single" w:sz="4" w:space="0" w:color="auto"/>
            </w:tcBorders>
            <w:shd w:val="clear" w:color="auto" w:fill="DBE5F1" w:themeFill="accent1" w:themeFillTint="33"/>
            <w:noWrap/>
            <w:vAlign w:val="bottom"/>
            <w:hideMark/>
          </w:tcPr>
          <w:p w:rsidR="008B5646" w:rsidRPr="00456014" w:rsidRDefault="008B5646" w:rsidP="00961DEE">
            <w:pPr>
              <w:spacing w:before="0" w:after="0"/>
            </w:pPr>
            <w:r w:rsidRPr="00456014">
              <w:t>14.12</w:t>
            </w:r>
          </w:p>
        </w:tc>
        <w:tc>
          <w:tcPr>
            <w:tcW w:w="502" w:type="pct"/>
            <w:tcBorders>
              <w:top w:val="single" w:sz="4" w:space="0" w:color="auto"/>
              <w:bottom w:val="single" w:sz="4" w:space="0" w:color="auto"/>
            </w:tcBorders>
            <w:shd w:val="clear" w:color="auto" w:fill="DBE5F1" w:themeFill="accent1" w:themeFillTint="33"/>
            <w:noWrap/>
            <w:vAlign w:val="bottom"/>
            <w:hideMark/>
          </w:tcPr>
          <w:p w:rsidR="008B5646" w:rsidRPr="00456014" w:rsidRDefault="008B5646" w:rsidP="00961DEE">
            <w:pPr>
              <w:spacing w:before="0" w:after="0"/>
            </w:pPr>
            <w:r w:rsidRPr="00456014">
              <w:t>21.08</w:t>
            </w:r>
          </w:p>
        </w:tc>
        <w:tc>
          <w:tcPr>
            <w:tcW w:w="502" w:type="pct"/>
            <w:tcBorders>
              <w:top w:val="single" w:sz="4" w:space="0" w:color="auto"/>
              <w:bottom w:val="single" w:sz="4" w:space="0" w:color="auto"/>
            </w:tcBorders>
            <w:shd w:val="clear" w:color="auto" w:fill="DBE5F1" w:themeFill="accent1" w:themeFillTint="33"/>
            <w:noWrap/>
            <w:vAlign w:val="bottom"/>
            <w:hideMark/>
          </w:tcPr>
          <w:p w:rsidR="008B5646" w:rsidRPr="00456014" w:rsidRDefault="008B5646" w:rsidP="00961DEE">
            <w:pPr>
              <w:spacing w:before="0" w:after="0"/>
            </w:pPr>
            <w:r w:rsidRPr="00456014">
              <w:t>23.67</w:t>
            </w:r>
          </w:p>
        </w:tc>
        <w:tc>
          <w:tcPr>
            <w:tcW w:w="552" w:type="pct"/>
            <w:tcBorders>
              <w:top w:val="single" w:sz="4" w:space="0" w:color="auto"/>
              <w:bottom w:val="single" w:sz="4" w:space="0" w:color="auto"/>
            </w:tcBorders>
            <w:shd w:val="clear" w:color="auto" w:fill="DBE5F1" w:themeFill="accent1" w:themeFillTint="33"/>
            <w:noWrap/>
            <w:vAlign w:val="bottom"/>
            <w:hideMark/>
          </w:tcPr>
          <w:p w:rsidR="008B5646" w:rsidRPr="00456014" w:rsidRDefault="008B5646" w:rsidP="00961DEE">
            <w:pPr>
              <w:spacing w:before="0" w:after="0"/>
            </w:pPr>
            <w:r w:rsidRPr="00456014">
              <w:t>34.50</w:t>
            </w:r>
          </w:p>
        </w:tc>
        <w:tc>
          <w:tcPr>
            <w:tcW w:w="502" w:type="pct"/>
            <w:tcBorders>
              <w:top w:val="single" w:sz="4" w:space="0" w:color="auto"/>
              <w:bottom w:val="single" w:sz="4" w:space="0" w:color="auto"/>
            </w:tcBorders>
            <w:shd w:val="clear" w:color="auto" w:fill="DBE5F1" w:themeFill="accent1" w:themeFillTint="33"/>
            <w:noWrap/>
            <w:vAlign w:val="bottom"/>
            <w:hideMark/>
          </w:tcPr>
          <w:p w:rsidR="008B5646" w:rsidRPr="00456014" w:rsidRDefault="008B5646" w:rsidP="00961DEE">
            <w:pPr>
              <w:spacing w:before="0" w:after="0"/>
            </w:pPr>
            <w:r w:rsidRPr="00456014">
              <w:t>45.00</w:t>
            </w:r>
          </w:p>
        </w:tc>
      </w:tr>
    </w:tbl>
    <w:p w:rsidR="005E351F" w:rsidRPr="00456014" w:rsidRDefault="005E351F" w:rsidP="00F13B95">
      <w:pPr>
        <w:rPr>
          <w:i/>
          <w:iCs/>
        </w:rPr>
      </w:pPr>
      <w:r w:rsidRPr="00456014">
        <w:t xml:space="preserve">The </w:t>
      </w:r>
      <w:r w:rsidR="006C0F76">
        <w:t>abbreviation</w:t>
      </w:r>
      <w:r w:rsidRPr="00456014">
        <w:t xml:space="preserve"> Geol, Geom, Lin, PCP, Elv, DD, Slp, LULC, and ST represent; geology, geomorphology, lineament density, rainfall</w:t>
      </w:r>
      <w:r w:rsidR="004A2F8D">
        <w:t xml:space="preserve"> distribution</w:t>
      </w:r>
      <w:r w:rsidRPr="00456014">
        <w:t>, elevation, drainage density, slope, land use land cover, and soil texture</w:t>
      </w:r>
      <w:r w:rsidR="002478C0" w:rsidRPr="00456014">
        <w:t>,</w:t>
      </w:r>
      <w:r w:rsidRPr="00456014">
        <w:t xml:space="preserve"> respectively. </w:t>
      </w:r>
      <w:r w:rsidR="0040723C" w:rsidRPr="00456014">
        <w:t>The pair-wise comparison matrix was normalized by dividing each value by the column total and subsequently averaging the row total (Table 4.1</w:t>
      </w:r>
      <w:r w:rsidR="00A54793">
        <w:t>2</w:t>
      </w:r>
      <w:r w:rsidR="0040723C" w:rsidRPr="00456014">
        <w:t>).</w:t>
      </w:r>
      <w:r w:rsidR="0040723C" w:rsidRPr="00456014">
        <w:rPr>
          <w:i/>
          <w:iCs/>
        </w:rPr>
        <w:t xml:space="preserve"> </w:t>
      </w:r>
    </w:p>
    <w:p w:rsidR="006A4DDB" w:rsidRPr="00456014" w:rsidRDefault="00E43386" w:rsidP="00F13B95">
      <w:pPr>
        <w:pStyle w:val="Caption"/>
        <w:keepNext/>
        <w:spacing w:before="120" w:after="120" w:line="360" w:lineRule="auto"/>
        <w:rPr>
          <w:i w:val="0"/>
          <w:color w:val="auto"/>
          <w:sz w:val="24"/>
        </w:rPr>
      </w:pPr>
      <w:bookmarkStart w:id="219" w:name="_Toc68761606"/>
      <w:r w:rsidRPr="00456014">
        <w:rPr>
          <w:i w:val="0"/>
          <w:color w:val="auto"/>
          <w:sz w:val="24"/>
        </w:rPr>
        <w:lastRenderedPageBreak/>
        <w:t xml:space="preserve">Table </w:t>
      </w:r>
      <w:r w:rsidR="001578A8" w:rsidRPr="00456014">
        <w:rPr>
          <w:i w:val="0"/>
          <w:color w:val="auto"/>
          <w:sz w:val="24"/>
        </w:rPr>
        <w:fldChar w:fldCharType="begin"/>
      </w:r>
      <w:r w:rsidR="001578A8" w:rsidRPr="00456014">
        <w:rPr>
          <w:i w:val="0"/>
          <w:color w:val="auto"/>
          <w:sz w:val="24"/>
        </w:rPr>
        <w:instrText xml:space="preserve"> STYLEREF 1 \s </w:instrText>
      </w:r>
      <w:r w:rsidR="001578A8" w:rsidRPr="00456014">
        <w:rPr>
          <w:i w:val="0"/>
          <w:color w:val="auto"/>
          <w:sz w:val="24"/>
        </w:rPr>
        <w:fldChar w:fldCharType="separate"/>
      </w:r>
      <w:r w:rsidR="00BD510E">
        <w:rPr>
          <w:i w:val="0"/>
          <w:noProof/>
          <w:color w:val="auto"/>
          <w:sz w:val="24"/>
        </w:rPr>
        <w:t>4</w:t>
      </w:r>
      <w:r w:rsidR="001578A8" w:rsidRPr="00456014">
        <w:rPr>
          <w:i w:val="0"/>
          <w:color w:val="auto"/>
          <w:sz w:val="24"/>
        </w:rPr>
        <w:fldChar w:fldCharType="end"/>
      </w:r>
      <w:r w:rsidR="001578A8" w:rsidRPr="00456014">
        <w:rPr>
          <w:i w:val="0"/>
          <w:color w:val="auto"/>
          <w:sz w:val="24"/>
        </w:rPr>
        <w:t>.</w:t>
      </w:r>
      <w:r w:rsidR="001578A8" w:rsidRPr="00456014">
        <w:rPr>
          <w:i w:val="0"/>
          <w:color w:val="auto"/>
          <w:sz w:val="24"/>
        </w:rPr>
        <w:fldChar w:fldCharType="begin"/>
      </w:r>
      <w:r w:rsidR="001578A8" w:rsidRPr="00456014">
        <w:rPr>
          <w:i w:val="0"/>
          <w:color w:val="auto"/>
          <w:sz w:val="24"/>
        </w:rPr>
        <w:instrText xml:space="preserve"> SEQ Table \* ARABIC \s 1 </w:instrText>
      </w:r>
      <w:r w:rsidR="001578A8" w:rsidRPr="00456014">
        <w:rPr>
          <w:i w:val="0"/>
          <w:color w:val="auto"/>
          <w:sz w:val="24"/>
        </w:rPr>
        <w:fldChar w:fldCharType="separate"/>
      </w:r>
      <w:r w:rsidR="00BD510E">
        <w:rPr>
          <w:i w:val="0"/>
          <w:noProof/>
          <w:color w:val="auto"/>
          <w:sz w:val="24"/>
        </w:rPr>
        <w:t>12</w:t>
      </w:r>
      <w:r w:rsidR="001578A8" w:rsidRPr="00456014">
        <w:rPr>
          <w:i w:val="0"/>
          <w:color w:val="auto"/>
          <w:sz w:val="24"/>
        </w:rPr>
        <w:fldChar w:fldCharType="end"/>
      </w:r>
      <w:r w:rsidR="001A02B3" w:rsidRPr="00456014">
        <w:rPr>
          <w:i w:val="0"/>
          <w:color w:val="auto"/>
          <w:sz w:val="24"/>
        </w:rPr>
        <w:t>:</w:t>
      </w:r>
      <w:r w:rsidRPr="00456014">
        <w:rPr>
          <w:i w:val="0"/>
          <w:color w:val="auto"/>
          <w:sz w:val="24"/>
        </w:rPr>
        <w:t xml:space="preserve"> Normalized pairwise comparison matrix and final weighted values</w:t>
      </w:r>
      <w:bookmarkEnd w:id="219"/>
    </w:p>
    <w:tbl>
      <w:tblPr>
        <w:tblW w:w="9098" w:type="dxa"/>
        <w:jc w:val="center"/>
        <w:tblBorders>
          <w:top w:val="single" w:sz="4" w:space="0" w:color="auto"/>
          <w:bottom w:val="single" w:sz="4" w:space="0" w:color="auto"/>
        </w:tblBorders>
        <w:tblLook w:val="04A0" w:firstRow="1" w:lastRow="0" w:firstColumn="1" w:lastColumn="0" w:noHBand="0" w:noVBand="1"/>
      </w:tblPr>
      <w:tblGrid>
        <w:gridCol w:w="923"/>
        <w:gridCol w:w="860"/>
        <w:gridCol w:w="704"/>
        <w:gridCol w:w="683"/>
        <w:gridCol w:w="644"/>
        <w:gridCol w:w="636"/>
        <w:gridCol w:w="636"/>
        <w:gridCol w:w="656"/>
        <w:gridCol w:w="843"/>
        <w:gridCol w:w="657"/>
        <w:gridCol w:w="816"/>
        <w:gridCol w:w="1040"/>
      </w:tblGrid>
      <w:tr w:rsidR="00456014" w:rsidRPr="00456014" w:rsidTr="007D5015">
        <w:trPr>
          <w:trHeight w:val="66"/>
          <w:jc w:val="center"/>
        </w:trPr>
        <w:tc>
          <w:tcPr>
            <w:tcW w:w="923" w:type="dxa"/>
            <w:tcBorders>
              <w:top w:val="single" w:sz="4" w:space="0" w:color="auto"/>
              <w:bottom w:val="single" w:sz="4" w:space="0" w:color="auto"/>
            </w:tcBorders>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Factors</w:t>
            </w:r>
          </w:p>
        </w:tc>
        <w:tc>
          <w:tcPr>
            <w:tcW w:w="860" w:type="dxa"/>
            <w:tcBorders>
              <w:top w:val="single" w:sz="4" w:space="0" w:color="auto"/>
              <w:bottom w:val="single" w:sz="4" w:space="0" w:color="auto"/>
            </w:tcBorders>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Geom</w:t>
            </w:r>
          </w:p>
        </w:tc>
        <w:tc>
          <w:tcPr>
            <w:tcW w:w="704" w:type="dxa"/>
            <w:tcBorders>
              <w:top w:val="single" w:sz="4" w:space="0" w:color="auto"/>
              <w:bottom w:val="single" w:sz="4" w:space="0" w:color="auto"/>
            </w:tcBorders>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Lin</w:t>
            </w:r>
          </w:p>
        </w:tc>
        <w:tc>
          <w:tcPr>
            <w:tcW w:w="683" w:type="dxa"/>
            <w:tcBorders>
              <w:top w:val="single" w:sz="4" w:space="0" w:color="auto"/>
              <w:bottom w:val="single" w:sz="4" w:space="0" w:color="auto"/>
            </w:tcBorders>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Geol</w:t>
            </w:r>
          </w:p>
        </w:tc>
        <w:tc>
          <w:tcPr>
            <w:tcW w:w="644" w:type="dxa"/>
            <w:tcBorders>
              <w:top w:val="single" w:sz="4" w:space="0" w:color="auto"/>
              <w:bottom w:val="single" w:sz="4" w:space="0" w:color="auto"/>
            </w:tcBorders>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PCP</w:t>
            </w:r>
          </w:p>
        </w:tc>
        <w:tc>
          <w:tcPr>
            <w:tcW w:w="636" w:type="dxa"/>
            <w:tcBorders>
              <w:top w:val="single" w:sz="4" w:space="0" w:color="auto"/>
              <w:bottom w:val="single" w:sz="4" w:space="0" w:color="auto"/>
            </w:tcBorders>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DD</w:t>
            </w:r>
          </w:p>
        </w:tc>
        <w:tc>
          <w:tcPr>
            <w:tcW w:w="636" w:type="dxa"/>
            <w:tcBorders>
              <w:top w:val="single" w:sz="4" w:space="0" w:color="auto"/>
              <w:bottom w:val="single" w:sz="4" w:space="0" w:color="auto"/>
            </w:tcBorders>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Slp</w:t>
            </w:r>
          </w:p>
        </w:tc>
        <w:tc>
          <w:tcPr>
            <w:tcW w:w="656" w:type="dxa"/>
            <w:tcBorders>
              <w:top w:val="single" w:sz="4" w:space="0" w:color="auto"/>
              <w:bottom w:val="single" w:sz="4" w:space="0" w:color="auto"/>
            </w:tcBorders>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Elev</w:t>
            </w:r>
          </w:p>
        </w:tc>
        <w:tc>
          <w:tcPr>
            <w:tcW w:w="843" w:type="dxa"/>
            <w:tcBorders>
              <w:top w:val="single" w:sz="4" w:space="0" w:color="auto"/>
              <w:bottom w:val="single" w:sz="4" w:space="0" w:color="auto"/>
            </w:tcBorders>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LULC</w:t>
            </w:r>
          </w:p>
        </w:tc>
        <w:tc>
          <w:tcPr>
            <w:tcW w:w="657" w:type="dxa"/>
            <w:tcBorders>
              <w:top w:val="single" w:sz="4" w:space="0" w:color="auto"/>
              <w:bottom w:val="single" w:sz="4" w:space="0" w:color="auto"/>
              <w:right w:val="single" w:sz="4" w:space="0" w:color="auto"/>
            </w:tcBorders>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ST</w:t>
            </w:r>
          </w:p>
        </w:tc>
        <w:tc>
          <w:tcPr>
            <w:tcW w:w="816" w:type="dxa"/>
            <w:tcBorders>
              <w:top w:val="single" w:sz="4" w:space="0" w:color="auto"/>
              <w:left w:val="single" w:sz="4" w:space="0" w:color="auto"/>
              <w:bottom w:val="single" w:sz="4" w:space="0" w:color="auto"/>
            </w:tcBorders>
            <w:shd w:val="clear" w:color="auto" w:fill="auto"/>
            <w:noWrap/>
            <w:vAlign w:val="bottom"/>
            <w:hideMark/>
          </w:tcPr>
          <w:p w:rsidR="006A4DDB" w:rsidRPr="00456014" w:rsidRDefault="00BE000E" w:rsidP="00961DEE">
            <w:pPr>
              <w:spacing w:before="0" w:after="0"/>
              <w:rPr>
                <w:rFonts w:eastAsia="Times New Roman"/>
              </w:rPr>
            </w:pPr>
            <w:r w:rsidRPr="00456014">
              <w:rPr>
                <w:rFonts w:eastAsia="Times New Roman"/>
              </w:rPr>
              <w:t>CW</w:t>
            </w:r>
          </w:p>
        </w:tc>
        <w:tc>
          <w:tcPr>
            <w:tcW w:w="1040" w:type="dxa"/>
            <w:tcBorders>
              <w:top w:val="single" w:sz="4" w:space="0" w:color="auto"/>
              <w:bottom w:val="single" w:sz="4" w:space="0" w:color="auto"/>
            </w:tcBorders>
            <w:shd w:val="clear" w:color="auto" w:fill="auto"/>
            <w:noWrap/>
            <w:vAlign w:val="bottom"/>
            <w:hideMark/>
          </w:tcPr>
          <w:p w:rsidR="006A4DDB" w:rsidRPr="00456014" w:rsidRDefault="00BE000E" w:rsidP="00961DEE">
            <w:pPr>
              <w:spacing w:before="0" w:after="0"/>
              <w:rPr>
                <w:rFonts w:eastAsia="Times New Roman"/>
              </w:rPr>
            </w:pPr>
            <w:r w:rsidRPr="00456014">
              <w:rPr>
                <w:rFonts w:eastAsia="Times New Roman"/>
              </w:rPr>
              <w:t>CW</w:t>
            </w:r>
            <w:r w:rsidR="009572E1" w:rsidRPr="00456014">
              <w:rPr>
                <w:rFonts w:eastAsia="Times New Roman"/>
              </w:rPr>
              <w:t xml:space="preserve"> (</w:t>
            </w:r>
            <w:r w:rsidR="006A4DDB" w:rsidRPr="00456014">
              <w:rPr>
                <w:rFonts w:eastAsia="Times New Roman"/>
              </w:rPr>
              <w:t>%)</w:t>
            </w:r>
          </w:p>
        </w:tc>
      </w:tr>
      <w:tr w:rsidR="00456014" w:rsidRPr="00456014" w:rsidTr="007D5015">
        <w:trPr>
          <w:trHeight w:val="71"/>
          <w:jc w:val="center"/>
        </w:trPr>
        <w:tc>
          <w:tcPr>
            <w:tcW w:w="923" w:type="dxa"/>
            <w:tcBorders>
              <w:top w:val="single" w:sz="4" w:space="0" w:color="auto"/>
            </w:tcBorders>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Geom</w:t>
            </w:r>
          </w:p>
        </w:tc>
        <w:tc>
          <w:tcPr>
            <w:tcW w:w="860" w:type="dxa"/>
            <w:tcBorders>
              <w:top w:val="single" w:sz="4" w:space="0" w:color="auto"/>
            </w:tcBorders>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0.29</w:t>
            </w:r>
          </w:p>
        </w:tc>
        <w:tc>
          <w:tcPr>
            <w:tcW w:w="704" w:type="dxa"/>
            <w:tcBorders>
              <w:top w:val="single" w:sz="4" w:space="0" w:color="auto"/>
            </w:tcBorders>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0.42</w:t>
            </w:r>
          </w:p>
        </w:tc>
        <w:tc>
          <w:tcPr>
            <w:tcW w:w="683" w:type="dxa"/>
            <w:tcBorders>
              <w:top w:val="single" w:sz="4" w:space="0" w:color="auto"/>
            </w:tcBorders>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0.30</w:t>
            </w:r>
          </w:p>
        </w:tc>
        <w:tc>
          <w:tcPr>
            <w:tcW w:w="644" w:type="dxa"/>
            <w:tcBorders>
              <w:top w:val="single" w:sz="4" w:space="0" w:color="auto"/>
            </w:tcBorders>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0.29</w:t>
            </w:r>
          </w:p>
        </w:tc>
        <w:tc>
          <w:tcPr>
            <w:tcW w:w="636" w:type="dxa"/>
            <w:tcBorders>
              <w:top w:val="single" w:sz="4" w:space="0" w:color="auto"/>
            </w:tcBorders>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0.21</w:t>
            </w:r>
          </w:p>
        </w:tc>
        <w:tc>
          <w:tcPr>
            <w:tcW w:w="636" w:type="dxa"/>
            <w:tcBorders>
              <w:top w:val="single" w:sz="4" w:space="0" w:color="auto"/>
            </w:tcBorders>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0.19</w:t>
            </w:r>
          </w:p>
        </w:tc>
        <w:tc>
          <w:tcPr>
            <w:tcW w:w="656" w:type="dxa"/>
            <w:tcBorders>
              <w:top w:val="single" w:sz="4" w:space="0" w:color="auto"/>
            </w:tcBorders>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0.17</w:t>
            </w:r>
          </w:p>
        </w:tc>
        <w:tc>
          <w:tcPr>
            <w:tcW w:w="843" w:type="dxa"/>
            <w:tcBorders>
              <w:top w:val="single" w:sz="4" w:space="0" w:color="auto"/>
            </w:tcBorders>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0.14</w:t>
            </w:r>
          </w:p>
        </w:tc>
        <w:tc>
          <w:tcPr>
            <w:tcW w:w="657" w:type="dxa"/>
            <w:tcBorders>
              <w:top w:val="single" w:sz="4" w:space="0" w:color="auto"/>
              <w:right w:val="single" w:sz="4" w:space="0" w:color="auto"/>
            </w:tcBorders>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0.20</w:t>
            </w:r>
          </w:p>
        </w:tc>
        <w:tc>
          <w:tcPr>
            <w:tcW w:w="816" w:type="dxa"/>
            <w:tcBorders>
              <w:top w:val="single" w:sz="4" w:space="0" w:color="auto"/>
              <w:left w:val="single" w:sz="4" w:space="0" w:color="auto"/>
            </w:tcBorders>
            <w:shd w:val="clear" w:color="auto" w:fill="auto"/>
            <w:noWrap/>
            <w:vAlign w:val="bottom"/>
            <w:hideMark/>
          </w:tcPr>
          <w:p w:rsidR="006A4DDB" w:rsidRPr="00456014" w:rsidRDefault="0010206A" w:rsidP="00961DEE">
            <w:pPr>
              <w:spacing w:before="0" w:after="0"/>
              <w:rPr>
                <w:rFonts w:eastAsia="Times New Roman"/>
              </w:rPr>
            </w:pPr>
            <w:r w:rsidRPr="00456014">
              <w:rPr>
                <w:rFonts w:eastAsia="Times New Roman"/>
              </w:rPr>
              <w:t>0.249</w:t>
            </w:r>
          </w:p>
        </w:tc>
        <w:tc>
          <w:tcPr>
            <w:tcW w:w="1040" w:type="dxa"/>
            <w:tcBorders>
              <w:top w:val="single" w:sz="4" w:space="0" w:color="auto"/>
            </w:tcBorders>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25</w:t>
            </w:r>
          </w:p>
        </w:tc>
      </w:tr>
      <w:tr w:rsidR="00456014" w:rsidRPr="00456014" w:rsidTr="007D5015">
        <w:trPr>
          <w:trHeight w:val="251"/>
          <w:jc w:val="center"/>
        </w:trPr>
        <w:tc>
          <w:tcPr>
            <w:tcW w:w="923"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Lin</w:t>
            </w:r>
          </w:p>
        </w:tc>
        <w:tc>
          <w:tcPr>
            <w:tcW w:w="860"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0.14</w:t>
            </w:r>
          </w:p>
        </w:tc>
        <w:tc>
          <w:tcPr>
            <w:tcW w:w="704"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0.21</w:t>
            </w:r>
          </w:p>
        </w:tc>
        <w:tc>
          <w:tcPr>
            <w:tcW w:w="683"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0.30</w:t>
            </w:r>
          </w:p>
        </w:tc>
        <w:tc>
          <w:tcPr>
            <w:tcW w:w="644"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0.29</w:t>
            </w:r>
          </w:p>
        </w:tc>
        <w:tc>
          <w:tcPr>
            <w:tcW w:w="636"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0.28</w:t>
            </w:r>
          </w:p>
        </w:tc>
        <w:tc>
          <w:tcPr>
            <w:tcW w:w="636"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0.24</w:t>
            </w:r>
          </w:p>
        </w:tc>
        <w:tc>
          <w:tcPr>
            <w:tcW w:w="656"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0.21</w:t>
            </w:r>
          </w:p>
        </w:tc>
        <w:tc>
          <w:tcPr>
            <w:tcW w:w="843"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0.20</w:t>
            </w:r>
          </w:p>
        </w:tc>
        <w:tc>
          <w:tcPr>
            <w:tcW w:w="657" w:type="dxa"/>
            <w:tcBorders>
              <w:right w:val="single" w:sz="4" w:space="0" w:color="auto"/>
            </w:tcBorders>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0.18</w:t>
            </w:r>
          </w:p>
        </w:tc>
        <w:tc>
          <w:tcPr>
            <w:tcW w:w="816" w:type="dxa"/>
            <w:tcBorders>
              <w:left w:val="single" w:sz="4" w:space="0" w:color="auto"/>
            </w:tcBorders>
            <w:shd w:val="clear" w:color="auto" w:fill="auto"/>
            <w:noWrap/>
            <w:vAlign w:val="bottom"/>
            <w:hideMark/>
          </w:tcPr>
          <w:p w:rsidR="006A4DDB" w:rsidRPr="00456014" w:rsidRDefault="0010206A" w:rsidP="00961DEE">
            <w:pPr>
              <w:spacing w:before="0" w:after="0"/>
              <w:rPr>
                <w:rFonts w:eastAsia="Times New Roman"/>
              </w:rPr>
            </w:pPr>
            <w:r w:rsidRPr="00456014">
              <w:rPr>
                <w:rFonts w:eastAsia="Times New Roman"/>
              </w:rPr>
              <w:t>0.234</w:t>
            </w:r>
          </w:p>
        </w:tc>
        <w:tc>
          <w:tcPr>
            <w:tcW w:w="1040"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23</w:t>
            </w:r>
          </w:p>
        </w:tc>
      </w:tr>
      <w:tr w:rsidR="00456014" w:rsidRPr="00456014" w:rsidTr="007D5015">
        <w:trPr>
          <w:trHeight w:val="251"/>
          <w:jc w:val="center"/>
        </w:trPr>
        <w:tc>
          <w:tcPr>
            <w:tcW w:w="923"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Geol</w:t>
            </w:r>
          </w:p>
        </w:tc>
        <w:tc>
          <w:tcPr>
            <w:tcW w:w="860"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0.14</w:t>
            </w:r>
          </w:p>
        </w:tc>
        <w:tc>
          <w:tcPr>
            <w:tcW w:w="704"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0.11</w:t>
            </w:r>
          </w:p>
        </w:tc>
        <w:tc>
          <w:tcPr>
            <w:tcW w:w="683"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0.15</w:t>
            </w:r>
          </w:p>
        </w:tc>
        <w:tc>
          <w:tcPr>
            <w:tcW w:w="644"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0.19</w:t>
            </w:r>
          </w:p>
        </w:tc>
        <w:tc>
          <w:tcPr>
            <w:tcW w:w="636"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0.21</w:t>
            </w:r>
          </w:p>
        </w:tc>
        <w:tc>
          <w:tcPr>
            <w:tcW w:w="636"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0.19</w:t>
            </w:r>
          </w:p>
        </w:tc>
        <w:tc>
          <w:tcPr>
            <w:tcW w:w="656"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0.17</w:t>
            </w:r>
          </w:p>
        </w:tc>
        <w:tc>
          <w:tcPr>
            <w:tcW w:w="843"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0.17</w:t>
            </w:r>
          </w:p>
        </w:tc>
        <w:tc>
          <w:tcPr>
            <w:tcW w:w="657" w:type="dxa"/>
            <w:tcBorders>
              <w:right w:val="single" w:sz="4" w:space="0" w:color="auto"/>
            </w:tcBorders>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0.16</w:t>
            </w:r>
          </w:p>
        </w:tc>
        <w:tc>
          <w:tcPr>
            <w:tcW w:w="816" w:type="dxa"/>
            <w:tcBorders>
              <w:left w:val="single" w:sz="4" w:space="0" w:color="auto"/>
            </w:tcBorders>
            <w:shd w:val="clear" w:color="auto" w:fill="auto"/>
            <w:noWrap/>
            <w:vAlign w:val="bottom"/>
            <w:hideMark/>
          </w:tcPr>
          <w:p w:rsidR="006A4DDB" w:rsidRPr="00456014" w:rsidRDefault="0010206A" w:rsidP="00961DEE">
            <w:pPr>
              <w:spacing w:before="0" w:after="0"/>
              <w:rPr>
                <w:rFonts w:eastAsia="Times New Roman"/>
              </w:rPr>
            </w:pPr>
            <w:r w:rsidRPr="00456014">
              <w:rPr>
                <w:rFonts w:eastAsia="Times New Roman"/>
              </w:rPr>
              <w:t>0.167</w:t>
            </w:r>
          </w:p>
        </w:tc>
        <w:tc>
          <w:tcPr>
            <w:tcW w:w="1040"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17</w:t>
            </w:r>
          </w:p>
        </w:tc>
      </w:tr>
      <w:tr w:rsidR="00456014" w:rsidRPr="00456014" w:rsidTr="007D5015">
        <w:trPr>
          <w:trHeight w:val="251"/>
          <w:jc w:val="center"/>
        </w:trPr>
        <w:tc>
          <w:tcPr>
            <w:tcW w:w="923"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PCP</w:t>
            </w:r>
          </w:p>
        </w:tc>
        <w:tc>
          <w:tcPr>
            <w:tcW w:w="860"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0.10</w:t>
            </w:r>
          </w:p>
        </w:tc>
        <w:tc>
          <w:tcPr>
            <w:tcW w:w="704"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0.07</w:t>
            </w:r>
          </w:p>
        </w:tc>
        <w:tc>
          <w:tcPr>
            <w:tcW w:w="683"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0.08</w:t>
            </w:r>
          </w:p>
        </w:tc>
        <w:tc>
          <w:tcPr>
            <w:tcW w:w="644"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0.10</w:t>
            </w:r>
          </w:p>
        </w:tc>
        <w:tc>
          <w:tcPr>
            <w:tcW w:w="636"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0.14</w:t>
            </w:r>
          </w:p>
        </w:tc>
        <w:tc>
          <w:tcPr>
            <w:tcW w:w="636"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0.14</w:t>
            </w:r>
          </w:p>
        </w:tc>
        <w:tc>
          <w:tcPr>
            <w:tcW w:w="656"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0.17</w:t>
            </w:r>
          </w:p>
        </w:tc>
        <w:tc>
          <w:tcPr>
            <w:tcW w:w="843"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0.14</w:t>
            </w:r>
          </w:p>
        </w:tc>
        <w:tc>
          <w:tcPr>
            <w:tcW w:w="657" w:type="dxa"/>
            <w:tcBorders>
              <w:right w:val="single" w:sz="4" w:space="0" w:color="auto"/>
            </w:tcBorders>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0.13</w:t>
            </w:r>
          </w:p>
        </w:tc>
        <w:tc>
          <w:tcPr>
            <w:tcW w:w="816" w:type="dxa"/>
            <w:tcBorders>
              <w:left w:val="single" w:sz="4" w:space="0" w:color="auto"/>
            </w:tcBorders>
            <w:shd w:val="clear" w:color="auto" w:fill="auto"/>
            <w:noWrap/>
            <w:vAlign w:val="bottom"/>
            <w:hideMark/>
          </w:tcPr>
          <w:p w:rsidR="006A4DDB" w:rsidRPr="00456014" w:rsidRDefault="0010206A" w:rsidP="00961DEE">
            <w:pPr>
              <w:spacing w:before="0" w:after="0"/>
              <w:rPr>
                <w:rFonts w:eastAsia="Times New Roman"/>
              </w:rPr>
            </w:pPr>
            <w:r w:rsidRPr="00456014">
              <w:rPr>
                <w:rFonts w:eastAsia="Times New Roman"/>
              </w:rPr>
              <w:t>0.118</w:t>
            </w:r>
          </w:p>
        </w:tc>
        <w:tc>
          <w:tcPr>
            <w:tcW w:w="1040"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12</w:t>
            </w:r>
          </w:p>
        </w:tc>
      </w:tr>
      <w:tr w:rsidR="00456014" w:rsidRPr="00456014" w:rsidTr="007D5015">
        <w:trPr>
          <w:trHeight w:val="251"/>
          <w:jc w:val="center"/>
        </w:trPr>
        <w:tc>
          <w:tcPr>
            <w:tcW w:w="923"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DD</w:t>
            </w:r>
          </w:p>
        </w:tc>
        <w:tc>
          <w:tcPr>
            <w:tcW w:w="860"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0.10</w:t>
            </w:r>
          </w:p>
        </w:tc>
        <w:tc>
          <w:tcPr>
            <w:tcW w:w="704"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0.05</w:t>
            </w:r>
          </w:p>
        </w:tc>
        <w:tc>
          <w:tcPr>
            <w:tcW w:w="683"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0.05</w:t>
            </w:r>
          </w:p>
        </w:tc>
        <w:tc>
          <w:tcPr>
            <w:tcW w:w="644"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0.05</w:t>
            </w:r>
          </w:p>
        </w:tc>
        <w:tc>
          <w:tcPr>
            <w:tcW w:w="636"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0.07</w:t>
            </w:r>
          </w:p>
        </w:tc>
        <w:tc>
          <w:tcPr>
            <w:tcW w:w="636"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0.14</w:t>
            </w:r>
          </w:p>
        </w:tc>
        <w:tc>
          <w:tcPr>
            <w:tcW w:w="656"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0.13</w:t>
            </w:r>
          </w:p>
        </w:tc>
        <w:tc>
          <w:tcPr>
            <w:tcW w:w="843"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0.12</w:t>
            </w:r>
          </w:p>
        </w:tc>
        <w:tc>
          <w:tcPr>
            <w:tcW w:w="657" w:type="dxa"/>
            <w:tcBorders>
              <w:right w:val="single" w:sz="4" w:space="0" w:color="auto"/>
            </w:tcBorders>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0.11</w:t>
            </w:r>
          </w:p>
        </w:tc>
        <w:tc>
          <w:tcPr>
            <w:tcW w:w="816" w:type="dxa"/>
            <w:tcBorders>
              <w:left w:val="single" w:sz="4" w:space="0" w:color="auto"/>
            </w:tcBorders>
            <w:shd w:val="clear" w:color="auto" w:fill="auto"/>
            <w:noWrap/>
            <w:vAlign w:val="bottom"/>
            <w:hideMark/>
          </w:tcPr>
          <w:p w:rsidR="006A4DDB" w:rsidRPr="00456014" w:rsidRDefault="0010206A" w:rsidP="00961DEE">
            <w:pPr>
              <w:spacing w:before="0" w:after="0"/>
              <w:rPr>
                <w:rFonts w:eastAsia="Times New Roman"/>
              </w:rPr>
            </w:pPr>
            <w:r w:rsidRPr="00456014">
              <w:rPr>
                <w:rFonts w:eastAsia="Times New Roman"/>
              </w:rPr>
              <w:t>0.088</w:t>
            </w:r>
          </w:p>
        </w:tc>
        <w:tc>
          <w:tcPr>
            <w:tcW w:w="1040"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9</w:t>
            </w:r>
          </w:p>
        </w:tc>
      </w:tr>
      <w:tr w:rsidR="00456014" w:rsidRPr="00456014" w:rsidTr="007D5015">
        <w:trPr>
          <w:trHeight w:val="251"/>
          <w:jc w:val="center"/>
        </w:trPr>
        <w:tc>
          <w:tcPr>
            <w:tcW w:w="923"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Slp</w:t>
            </w:r>
          </w:p>
        </w:tc>
        <w:tc>
          <w:tcPr>
            <w:tcW w:w="860"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0.07</w:t>
            </w:r>
          </w:p>
        </w:tc>
        <w:tc>
          <w:tcPr>
            <w:tcW w:w="704"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0.04</w:t>
            </w:r>
          </w:p>
        </w:tc>
        <w:tc>
          <w:tcPr>
            <w:tcW w:w="683"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0.04</w:t>
            </w:r>
          </w:p>
        </w:tc>
        <w:tc>
          <w:tcPr>
            <w:tcW w:w="644"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0.03</w:t>
            </w:r>
          </w:p>
        </w:tc>
        <w:tc>
          <w:tcPr>
            <w:tcW w:w="636"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0.02</w:t>
            </w:r>
          </w:p>
        </w:tc>
        <w:tc>
          <w:tcPr>
            <w:tcW w:w="636"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0.05</w:t>
            </w:r>
          </w:p>
        </w:tc>
        <w:tc>
          <w:tcPr>
            <w:tcW w:w="656"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0.08</w:t>
            </w:r>
          </w:p>
        </w:tc>
        <w:tc>
          <w:tcPr>
            <w:tcW w:w="843"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0.09</w:t>
            </w:r>
          </w:p>
        </w:tc>
        <w:tc>
          <w:tcPr>
            <w:tcW w:w="657" w:type="dxa"/>
            <w:tcBorders>
              <w:right w:val="single" w:sz="4" w:space="0" w:color="auto"/>
            </w:tcBorders>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0.09</w:t>
            </w:r>
          </w:p>
        </w:tc>
        <w:tc>
          <w:tcPr>
            <w:tcW w:w="816" w:type="dxa"/>
            <w:tcBorders>
              <w:left w:val="single" w:sz="4" w:space="0" w:color="auto"/>
            </w:tcBorders>
            <w:shd w:val="clear" w:color="auto" w:fill="auto"/>
            <w:noWrap/>
            <w:vAlign w:val="bottom"/>
            <w:hideMark/>
          </w:tcPr>
          <w:p w:rsidR="006A4DDB" w:rsidRPr="00456014" w:rsidRDefault="0010206A" w:rsidP="00961DEE">
            <w:pPr>
              <w:spacing w:before="0" w:after="0"/>
              <w:rPr>
                <w:rFonts w:eastAsia="Times New Roman"/>
              </w:rPr>
            </w:pPr>
            <w:r w:rsidRPr="00456014">
              <w:rPr>
                <w:rFonts w:eastAsia="Times New Roman"/>
              </w:rPr>
              <w:t>0.054</w:t>
            </w:r>
          </w:p>
        </w:tc>
        <w:tc>
          <w:tcPr>
            <w:tcW w:w="1040" w:type="dxa"/>
            <w:shd w:val="clear" w:color="auto" w:fill="auto"/>
            <w:noWrap/>
            <w:vAlign w:val="bottom"/>
            <w:hideMark/>
          </w:tcPr>
          <w:p w:rsidR="006A4DDB" w:rsidRPr="00456014" w:rsidRDefault="0010206A" w:rsidP="00961DEE">
            <w:pPr>
              <w:spacing w:before="0" w:after="0"/>
              <w:rPr>
                <w:rFonts w:eastAsia="Times New Roman"/>
              </w:rPr>
            </w:pPr>
            <w:r w:rsidRPr="00456014">
              <w:rPr>
                <w:rFonts w:eastAsia="Times New Roman"/>
              </w:rPr>
              <w:t>5</w:t>
            </w:r>
          </w:p>
        </w:tc>
      </w:tr>
      <w:tr w:rsidR="00456014" w:rsidRPr="00456014" w:rsidTr="007D5015">
        <w:trPr>
          <w:trHeight w:val="251"/>
          <w:jc w:val="center"/>
        </w:trPr>
        <w:tc>
          <w:tcPr>
            <w:tcW w:w="923"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Elev</w:t>
            </w:r>
          </w:p>
        </w:tc>
        <w:tc>
          <w:tcPr>
            <w:tcW w:w="860"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0.07</w:t>
            </w:r>
          </w:p>
        </w:tc>
        <w:tc>
          <w:tcPr>
            <w:tcW w:w="704"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0.04</w:t>
            </w:r>
          </w:p>
        </w:tc>
        <w:tc>
          <w:tcPr>
            <w:tcW w:w="683"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0.04</w:t>
            </w:r>
          </w:p>
        </w:tc>
        <w:tc>
          <w:tcPr>
            <w:tcW w:w="644"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0.02</w:t>
            </w:r>
          </w:p>
        </w:tc>
        <w:tc>
          <w:tcPr>
            <w:tcW w:w="636"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0.02</w:t>
            </w:r>
          </w:p>
        </w:tc>
        <w:tc>
          <w:tcPr>
            <w:tcW w:w="636"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0.02</w:t>
            </w:r>
          </w:p>
        </w:tc>
        <w:tc>
          <w:tcPr>
            <w:tcW w:w="656"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0.04</w:t>
            </w:r>
          </w:p>
        </w:tc>
        <w:tc>
          <w:tcPr>
            <w:tcW w:w="843"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0.09</w:t>
            </w:r>
          </w:p>
        </w:tc>
        <w:tc>
          <w:tcPr>
            <w:tcW w:w="657" w:type="dxa"/>
            <w:tcBorders>
              <w:right w:val="single" w:sz="4" w:space="0" w:color="auto"/>
            </w:tcBorders>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0.07</w:t>
            </w:r>
          </w:p>
        </w:tc>
        <w:tc>
          <w:tcPr>
            <w:tcW w:w="816" w:type="dxa"/>
            <w:tcBorders>
              <w:left w:val="single" w:sz="4" w:space="0" w:color="auto"/>
            </w:tcBorders>
            <w:shd w:val="clear" w:color="auto" w:fill="auto"/>
            <w:noWrap/>
            <w:vAlign w:val="bottom"/>
            <w:hideMark/>
          </w:tcPr>
          <w:p w:rsidR="006A4DDB" w:rsidRPr="00456014" w:rsidRDefault="0010206A" w:rsidP="00961DEE">
            <w:pPr>
              <w:spacing w:before="0" w:after="0"/>
              <w:rPr>
                <w:rFonts w:eastAsia="Times New Roman"/>
              </w:rPr>
            </w:pPr>
            <w:r w:rsidRPr="00456014">
              <w:rPr>
                <w:rFonts w:eastAsia="Times New Roman"/>
              </w:rPr>
              <w:t>0.041</w:t>
            </w:r>
          </w:p>
        </w:tc>
        <w:tc>
          <w:tcPr>
            <w:tcW w:w="1040" w:type="dxa"/>
            <w:shd w:val="clear" w:color="auto" w:fill="auto"/>
            <w:noWrap/>
            <w:vAlign w:val="bottom"/>
            <w:hideMark/>
          </w:tcPr>
          <w:p w:rsidR="006A4DDB" w:rsidRPr="00456014" w:rsidRDefault="0010206A" w:rsidP="00961DEE">
            <w:pPr>
              <w:spacing w:before="0" w:after="0"/>
              <w:rPr>
                <w:rFonts w:eastAsia="Times New Roman"/>
              </w:rPr>
            </w:pPr>
            <w:r w:rsidRPr="00456014">
              <w:rPr>
                <w:rFonts w:eastAsia="Times New Roman"/>
              </w:rPr>
              <w:t>4</w:t>
            </w:r>
          </w:p>
        </w:tc>
      </w:tr>
      <w:tr w:rsidR="00456014" w:rsidRPr="00456014" w:rsidTr="007D5015">
        <w:trPr>
          <w:trHeight w:val="251"/>
          <w:jc w:val="center"/>
        </w:trPr>
        <w:tc>
          <w:tcPr>
            <w:tcW w:w="923"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LULC</w:t>
            </w:r>
          </w:p>
        </w:tc>
        <w:tc>
          <w:tcPr>
            <w:tcW w:w="860"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0.06</w:t>
            </w:r>
          </w:p>
        </w:tc>
        <w:tc>
          <w:tcPr>
            <w:tcW w:w="704"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0.03</w:t>
            </w:r>
          </w:p>
        </w:tc>
        <w:tc>
          <w:tcPr>
            <w:tcW w:w="683"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0.03</w:t>
            </w:r>
          </w:p>
        </w:tc>
        <w:tc>
          <w:tcPr>
            <w:tcW w:w="644"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0.02</w:t>
            </w:r>
          </w:p>
        </w:tc>
        <w:tc>
          <w:tcPr>
            <w:tcW w:w="636"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0.02</w:t>
            </w:r>
          </w:p>
        </w:tc>
        <w:tc>
          <w:tcPr>
            <w:tcW w:w="636"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0.02</w:t>
            </w:r>
          </w:p>
        </w:tc>
        <w:tc>
          <w:tcPr>
            <w:tcW w:w="656"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0.01</w:t>
            </w:r>
          </w:p>
        </w:tc>
        <w:tc>
          <w:tcPr>
            <w:tcW w:w="843"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0.03</w:t>
            </w:r>
          </w:p>
        </w:tc>
        <w:tc>
          <w:tcPr>
            <w:tcW w:w="657" w:type="dxa"/>
            <w:tcBorders>
              <w:right w:val="single" w:sz="4" w:space="0" w:color="auto"/>
            </w:tcBorders>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0.04</w:t>
            </w:r>
          </w:p>
        </w:tc>
        <w:tc>
          <w:tcPr>
            <w:tcW w:w="816" w:type="dxa"/>
            <w:tcBorders>
              <w:left w:val="single" w:sz="4" w:space="0" w:color="auto"/>
            </w:tcBorders>
            <w:shd w:val="clear" w:color="auto" w:fill="auto"/>
            <w:noWrap/>
            <w:vAlign w:val="bottom"/>
            <w:hideMark/>
          </w:tcPr>
          <w:p w:rsidR="006A4DDB" w:rsidRPr="00456014" w:rsidRDefault="0010206A" w:rsidP="00961DEE">
            <w:pPr>
              <w:spacing w:before="0" w:after="0"/>
              <w:rPr>
                <w:rFonts w:eastAsia="Times New Roman"/>
              </w:rPr>
            </w:pPr>
            <w:r w:rsidRPr="00456014">
              <w:rPr>
                <w:rFonts w:eastAsia="Times New Roman"/>
              </w:rPr>
              <w:t>0.027</w:t>
            </w:r>
          </w:p>
        </w:tc>
        <w:tc>
          <w:tcPr>
            <w:tcW w:w="1040"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3</w:t>
            </w:r>
          </w:p>
        </w:tc>
      </w:tr>
      <w:tr w:rsidR="00456014" w:rsidRPr="00456014" w:rsidTr="007D5015">
        <w:trPr>
          <w:trHeight w:val="260"/>
          <w:jc w:val="center"/>
        </w:trPr>
        <w:tc>
          <w:tcPr>
            <w:tcW w:w="923"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ST</w:t>
            </w:r>
          </w:p>
        </w:tc>
        <w:tc>
          <w:tcPr>
            <w:tcW w:w="860"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0.03</w:t>
            </w:r>
          </w:p>
        </w:tc>
        <w:tc>
          <w:tcPr>
            <w:tcW w:w="704"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0.03</w:t>
            </w:r>
          </w:p>
        </w:tc>
        <w:tc>
          <w:tcPr>
            <w:tcW w:w="683"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0.02</w:t>
            </w:r>
          </w:p>
        </w:tc>
        <w:tc>
          <w:tcPr>
            <w:tcW w:w="644"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0.02</w:t>
            </w:r>
          </w:p>
        </w:tc>
        <w:tc>
          <w:tcPr>
            <w:tcW w:w="636"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0.01</w:t>
            </w:r>
          </w:p>
        </w:tc>
        <w:tc>
          <w:tcPr>
            <w:tcW w:w="636"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0.01</w:t>
            </w:r>
          </w:p>
        </w:tc>
        <w:tc>
          <w:tcPr>
            <w:tcW w:w="656"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0.01</w:t>
            </w:r>
          </w:p>
        </w:tc>
        <w:tc>
          <w:tcPr>
            <w:tcW w:w="843" w:type="dxa"/>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0.01</w:t>
            </w:r>
          </w:p>
        </w:tc>
        <w:tc>
          <w:tcPr>
            <w:tcW w:w="657" w:type="dxa"/>
            <w:tcBorders>
              <w:right w:val="single" w:sz="4" w:space="0" w:color="auto"/>
            </w:tcBorders>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0.02</w:t>
            </w:r>
          </w:p>
        </w:tc>
        <w:tc>
          <w:tcPr>
            <w:tcW w:w="816" w:type="dxa"/>
            <w:tcBorders>
              <w:left w:val="single" w:sz="4" w:space="0" w:color="auto"/>
              <w:bottom w:val="single" w:sz="4" w:space="0" w:color="auto"/>
            </w:tcBorders>
            <w:shd w:val="clear" w:color="auto" w:fill="auto"/>
            <w:noWrap/>
            <w:vAlign w:val="bottom"/>
            <w:hideMark/>
          </w:tcPr>
          <w:p w:rsidR="006A4DDB" w:rsidRPr="00456014" w:rsidRDefault="0010206A" w:rsidP="00961DEE">
            <w:pPr>
              <w:spacing w:before="0" w:after="0"/>
              <w:rPr>
                <w:rFonts w:eastAsia="Times New Roman"/>
              </w:rPr>
            </w:pPr>
            <w:r w:rsidRPr="00456014">
              <w:rPr>
                <w:rFonts w:eastAsia="Times New Roman"/>
              </w:rPr>
              <w:t>0.018</w:t>
            </w:r>
          </w:p>
        </w:tc>
        <w:tc>
          <w:tcPr>
            <w:tcW w:w="1040" w:type="dxa"/>
            <w:tcBorders>
              <w:bottom w:val="single" w:sz="4" w:space="0" w:color="auto"/>
            </w:tcBorders>
            <w:shd w:val="clear" w:color="auto" w:fill="auto"/>
            <w:noWrap/>
            <w:vAlign w:val="bottom"/>
            <w:hideMark/>
          </w:tcPr>
          <w:p w:rsidR="006A4DDB" w:rsidRPr="00456014" w:rsidRDefault="006A4DDB" w:rsidP="00961DEE">
            <w:pPr>
              <w:spacing w:before="0" w:after="0"/>
              <w:rPr>
                <w:rFonts w:eastAsia="Times New Roman"/>
              </w:rPr>
            </w:pPr>
            <w:r w:rsidRPr="00456014">
              <w:rPr>
                <w:rFonts w:eastAsia="Times New Roman"/>
              </w:rPr>
              <w:t>2</w:t>
            </w:r>
          </w:p>
        </w:tc>
      </w:tr>
    </w:tbl>
    <w:p w:rsidR="001A4667" w:rsidRPr="00456014" w:rsidRDefault="001A4667" w:rsidP="00F13B95">
      <w:r w:rsidRPr="00456014">
        <w:t>To check the consistency of pairwise comparison matrix and the acceptability of judgments</w:t>
      </w:r>
      <w:r w:rsidR="00EB4232" w:rsidRPr="00456014">
        <w:t xml:space="preserve"> the c</w:t>
      </w:r>
      <w:r w:rsidR="00EB65FD" w:rsidRPr="00456014">
        <w:t xml:space="preserve">onsistency ratio </w:t>
      </w:r>
      <w:r w:rsidR="00EB4232" w:rsidRPr="00456014">
        <w:t xml:space="preserve">(CR) </w:t>
      </w:r>
      <w:r w:rsidR="004C7A48" w:rsidRPr="00456014">
        <w:t>was</w:t>
      </w:r>
      <w:r w:rsidR="00EB4232" w:rsidRPr="00456014">
        <w:t xml:space="preserve"> checked</w:t>
      </w:r>
      <w:r w:rsidR="00955C6D">
        <w:t xml:space="preserve"> Table 4.13</w:t>
      </w:r>
      <w:r w:rsidR="00EB65FD" w:rsidRPr="00456014">
        <w:t>.</w:t>
      </w:r>
    </w:p>
    <w:p w:rsidR="00ED5A6F" w:rsidRPr="00456014" w:rsidRDefault="00434D7F" w:rsidP="00F13B95">
      <w:pPr>
        <w:pStyle w:val="Caption"/>
        <w:keepNext/>
        <w:spacing w:before="120" w:after="120" w:line="360" w:lineRule="auto"/>
        <w:rPr>
          <w:i w:val="0"/>
          <w:color w:val="auto"/>
          <w:sz w:val="24"/>
        </w:rPr>
      </w:pPr>
      <w:bookmarkStart w:id="220" w:name="_Toc68761607"/>
      <w:r w:rsidRPr="00456014">
        <w:rPr>
          <w:i w:val="0"/>
          <w:color w:val="auto"/>
          <w:sz w:val="24"/>
        </w:rPr>
        <w:t xml:space="preserve">Table </w:t>
      </w:r>
      <w:r w:rsidR="001578A8" w:rsidRPr="00456014">
        <w:rPr>
          <w:i w:val="0"/>
          <w:color w:val="auto"/>
          <w:sz w:val="24"/>
        </w:rPr>
        <w:fldChar w:fldCharType="begin"/>
      </w:r>
      <w:r w:rsidR="001578A8" w:rsidRPr="00456014">
        <w:rPr>
          <w:i w:val="0"/>
          <w:color w:val="auto"/>
          <w:sz w:val="24"/>
        </w:rPr>
        <w:instrText xml:space="preserve"> STYLEREF 1 \s </w:instrText>
      </w:r>
      <w:r w:rsidR="001578A8" w:rsidRPr="00456014">
        <w:rPr>
          <w:i w:val="0"/>
          <w:color w:val="auto"/>
          <w:sz w:val="24"/>
        </w:rPr>
        <w:fldChar w:fldCharType="separate"/>
      </w:r>
      <w:r w:rsidR="00BD510E">
        <w:rPr>
          <w:i w:val="0"/>
          <w:noProof/>
          <w:color w:val="auto"/>
          <w:sz w:val="24"/>
        </w:rPr>
        <w:t>4</w:t>
      </w:r>
      <w:r w:rsidR="001578A8" w:rsidRPr="00456014">
        <w:rPr>
          <w:i w:val="0"/>
          <w:color w:val="auto"/>
          <w:sz w:val="24"/>
        </w:rPr>
        <w:fldChar w:fldCharType="end"/>
      </w:r>
      <w:r w:rsidR="001578A8" w:rsidRPr="00456014">
        <w:rPr>
          <w:i w:val="0"/>
          <w:color w:val="auto"/>
          <w:sz w:val="24"/>
        </w:rPr>
        <w:t>.</w:t>
      </w:r>
      <w:r w:rsidR="001578A8" w:rsidRPr="00456014">
        <w:rPr>
          <w:i w:val="0"/>
          <w:color w:val="auto"/>
          <w:sz w:val="24"/>
        </w:rPr>
        <w:fldChar w:fldCharType="begin"/>
      </w:r>
      <w:r w:rsidR="001578A8" w:rsidRPr="00456014">
        <w:rPr>
          <w:i w:val="0"/>
          <w:color w:val="auto"/>
          <w:sz w:val="24"/>
        </w:rPr>
        <w:instrText xml:space="preserve"> SEQ Table \* ARABIC \s 1 </w:instrText>
      </w:r>
      <w:r w:rsidR="001578A8" w:rsidRPr="00456014">
        <w:rPr>
          <w:i w:val="0"/>
          <w:color w:val="auto"/>
          <w:sz w:val="24"/>
        </w:rPr>
        <w:fldChar w:fldCharType="separate"/>
      </w:r>
      <w:r w:rsidR="00BD510E">
        <w:rPr>
          <w:i w:val="0"/>
          <w:noProof/>
          <w:color w:val="auto"/>
          <w:sz w:val="24"/>
        </w:rPr>
        <w:t>13</w:t>
      </w:r>
      <w:r w:rsidR="001578A8" w:rsidRPr="00456014">
        <w:rPr>
          <w:i w:val="0"/>
          <w:color w:val="auto"/>
          <w:sz w:val="24"/>
        </w:rPr>
        <w:fldChar w:fldCharType="end"/>
      </w:r>
      <w:r w:rsidR="001A02B3" w:rsidRPr="00456014">
        <w:rPr>
          <w:i w:val="0"/>
          <w:color w:val="auto"/>
          <w:sz w:val="24"/>
        </w:rPr>
        <w:t>:</w:t>
      </w:r>
      <w:r w:rsidRPr="00456014">
        <w:rPr>
          <w:i w:val="0"/>
          <w:color w:val="auto"/>
          <w:sz w:val="24"/>
        </w:rPr>
        <w:t xml:space="preserve"> Consistency ratio (CR) of </w:t>
      </w:r>
      <w:r w:rsidR="005458C2" w:rsidRPr="00456014">
        <w:rPr>
          <w:i w:val="0"/>
          <w:color w:val="auto"/>
          <w:sz w:val="24"/>
        </w:rPr>
        <w:t xml:space="preserve">the </w:t>
      </w:r>
      <w:r w:rsidRPr="00456014">
        <w:rPr>
          <w:i w:val="0"/>
          <w:color w:val="auto"/>
          <w:sz w:val="24"/>
        </w:rPr>
        <w:t>generated matrix</w:t>
      </w:r>
      <w:bookmarkEnd w:id="220"/>
    </w:p>
    <w:tbl>
      <w:tblPr>
        <w:tblW w:w="5075" w:type="pct"/>
        <w:jc w:val="center"/>
        <w:tblBorders>
          <w:top w:val="single" w:sz="4" w:space="0" w:color="auto"/>
          <w:bottom w:val="single" w:sz="4" w:space="0" w:color="auto"/>
        </w:tblBorders>
        <w:tblLook w:val="04A0" w:firstRow="1" w:lastRow="0" w:firstColumn="1" w:lastColumn="0" w:noHBand="0" w:noVBand="1"/>
      </w:tblPr>
      <w:tblGrid>
        <w:gridCol w:w="934"/>
        <w:gridCol w:w="803"/>
        <w:gridCol w:w="636"/>
        <w:gridCol w:w="683"/>
        <w:gridCol w:w="644"/>
        <w:gridCol w:w="636"/>
        <w:gridCol w:w="636"/>
        <w:gridCol w:w="656"/>
        <w:gridCol w:w="843"/>
        <w:gridCol w:w="636"/>
        <w:gridCol w:w="636"/>
        <w:gridCol w:w="636"/>
        <w:gridCol w:w="756"/>
      </w:tblGrid>
      <w:tr w:rsidR="00456014" w:rsidRPr="00A752A8" w:rsidTr="00E03976">
        <w:trPr>
          <w:trHeight w:val="546"/>
          <w:jc w:val="center"/>
        </w:trPr>
        <w:tc>
          <w:tcPr>
            <w:tcW w:w="571" w:type="pct"/>
            <w:tcBorders>
              <w:top w:val="single" w:sz="4" w:space="0" w:color="auto"/>
              <w:bottom w:val="single" w:sz="4" w:space="0" w:color="auto"/>
            </w:tcBorders>
            <w:shd w:val="clear" w:color="auto" w:fill="auto"/>
            <w:noWrap/>
            <w:vAlign w:val="bottom"/>
            <w:hideMark/>
          </w:tcPr>
          <w:p w:rsidR="00A828A9" w:rsidRPr="00A752A8" w:rsidRDefault="00A828A9" w:rsidP="00E03976">
            <w:pPr>
              <w:spacing w:before="0" w:after="0"/>
              <w:jc w:val="left"/>
              <w:rPr>
                <w:rFonts w:eastAsia="Times New Roman"/>
              </w:rPr>
            </w:pPr>
            <w:r w:rsidRPr="00A752A8">
              <w:rPr>
                <w:rFonts w:eastAsia="Times New Roman"/>
              </w:rPr>
              <w:t>Factors</w:t>
            </w:r>
          </w:p>
        </w:tc>
        <w:tc>
          <w:tcPr>
            <w:tcW w:w="433" w:type="pct"/>
            <w:tcBorders>
              <w:top w:val="single" w:sz="4" w:space="0" w:color="auto"/>
              <w:bottom w:val="single" w:sz="4" w:space="0" w:color="auto"/>
            </w:tcBorders>
            <w:shd w:val="clear" w:color="auto" w:fill="auto"/>
            <w:noWrap/>
            <w:vAlign w:val="bottom"/>
            <w:hideMark/>
          </w:tcPr>
          <w:p w:rsidR="00A828A9" w:rsidRPr="00A752A8" w:rsidRDefault="00A828A9" w:rsidP="00E03976">
            <w:pPr>
              <w:spacing w:before="0" w:after="0"/>
              <w:jc w:val="left"/>
              <w:rPr>
                <w:rFonts w:eastAsia="Times New Roman"/>
              </w:rPr>
            </w:pPr>
            <w:r w:rsidRPr="00A752A8">
              <w:rPr>
                <w:rFonts w:eastAsia="Times New Roman"/>
              </w:rPr>
              <w:t>Geom</w:t>
            </w:r>
          </w:p>
        </w:tc>
        <w:tc>
          <w:tcPr>
            <w:tcW w:w="344" w:type="pct"/>
            <w:tcBorders>
              <w:top w:val="single" w:sz="4" w:space="0" w:color="auto"/>
              <w:bottom w:val="single" w:sz="4" w:space="0" w:color="auto"/>
            </w:tcBorders>
            <w:shd w:val="clear" w:color="auto" w:fill="auto"/>
            <w:noWrap/>
            <w:vAlign w:val="bottom"/>
            <w:hideMark/>
          </w:tcPr>
          <w:p w:rsidR="00A828A9" w:rsidRPr="00A752A8" w:rsidRDefault="00A828A9" w:rsidP="00E03976">
            <w:pPr>
              <w:spacing w:before="0" w:after="0"/>
              <w:jc w:val="left"/>
              <w:rPr>
                <w:rFonts w:eastAsia="Times New Roman"/>
              </w:rPr>
            </w:pPr>
            <w:r w:rsidRPr="00A752A8">
              <w:rPr>
                <w:rFonts w:eastAsia="Times New Roman"/>
              </w:rPr>
              <w:t>Lin</w:t>
            </w:r>
          </w:p>
        </w:tc>
        <w:tc>
          <w:tcPr>
            <w:tcW w:w="369" w:type="pct"/>
            <w:tcBorders>
              <w:top w:val="single" w:sz="4" w:space="0" w:color="auto"/>
              <w:bottom w:val="single" w:sz="4" w:space="0" w:color="auto"/>
            </w:tcBorders>
            <w:shd w:val="clear" w:color="auto" w:fill="auto"/>
            <w:noWrap/>
            <w:vAlign w:val="bottom"/>
            <w:hideMark/>
          </w:tcPr>
          <w:p w:rsidR="00A828A9" w:rsidRPr="00A752A8" w:rsidRDefault="00A828A9" w:rsidP="00E03976">
            <w:pPr>
              <w:spacing w:before="0" w:after="0"/>
              <w:jc w:val="left"/>
              <w:rPr>
                <w:rFonts w:eastAsia="Times New Roman"/>
              </w:rPr>
            </w:pPr>
            <w:r w:rsidRPr="00A752A8">
              <w:rPr>
                <w:rFonts w:eastAsia="Times New Roman"/>
              </w:rPr>
              <w:t>Geol</w:t>
            </w:r>
          </w:p>
        </w:tc>
        <w:tc>
          <w:tcPr>
            <w:tcW w:w="348" w:type="pct"/>
            <w:tcBorders>
              <w:top w:val="single" w:sz="4" w:space="0" w:color="auto"/>
              <w:bottom w:val="single" w:sz="4" w:space="0" w:color="auto"/>
            </w:tcBorders>
            <w:shd w:val="clear" w:color="auto" w:fill="auto"/>
            <w:noWrap/>
            <w:vAlign w:val="bottom"/>
            <w:hideMark/>
          </w:tcPr>
          <w:p w:rsidR="00A828A9" w:rsidRPr="00A752A8" w:rsidRDefault="00A828A9" w:rsidP="00E03976">
            <w:pPr>
              <w:spacing w:before="0" w:after="0"/>
              <w:jc w:val="left"/>
              <w:rPr>
                <w:rFonts w:eastAsia="Times New Roman"/>
              </w:rPr>
            </w:pPr>
            <w:r w:rsidRPr="00A752A8">
              <w:rPr>
                <w:rFonts w:eastAsia="Times New Roman"/>
              </w:rPr>
              <w:t>PCP</w:t>
            </w:r>
          </w:p>
        </w:tc>
        <w:tc>
          <w:tcPr>
            <w:tcW w:w="344" w:type="pct"/>
            <w:tcBorders>
              <w:top w:val="single" w:sz="4" w:space="0" w:color="auto"/>
              <w:bottom w:val="single" w:sz="4" w:space="0" w:color="auto"/>
            </w:tcBorders>
            <w:shd w:val="clear" w:color="auto" w:fill="auto"/>
            <w:noWrap/>
            <w:vAlign w:val="bottom"/>
            <w:hideMark/>
          </w:tcPr>
          <w:p w:rsidR="00A828A9" w:rsidRPr="00A752A8" w:rsidRDefault="00A828A9" w:rsidP="00E03976">
            <w:pPr>
              <w:spacing w:before="0" w:after="0"/>
              <w:jc w:val="left"/>
              <w:rPr>
                <w:rFonts w:eastAsia="Times New Roman"/>
              </w:rPr>
            </w:pPr>
            <w:r w:rsidRPr="00A752A8">
              <w:rPr>
                <w:rFonts w:eastAsia="Times New Roman"/>
              </w:rPr>
              <w:t>DD</w:t>
            </w:r>
          </w:p>
        </w:tc>
        <w:tc>
          <w:tcPr>
            <w:tcW w:w="344" w:type="pct"/>
            <w:tcBorders>
              <w:top w:val="single" w:sz="4" w:space="0" w:color="auto"/>
              <w:bottom w:val="single" w:sz="4" w:space="0" w:color="auto"/>
            </w:tcBorders>
            <w:shd w:val="clear" w:color="auto" w:fill="auto"/>
            <w:noWrap/>
            <w:vAlign w:val="bottom"/>
            <w:hideMark/>
          </w:tcPr>
          <w:p w:rsidR="00A828A9" w:rsidRPr="00A752A8" w:rsidRDefault="00A828A9" w:rsidP="00E03976">
            <w:pPr>
              <w:spacing w:before="0" w:after="0"/>
              <w:jc w:val="left"/>
              <w:rPr>
                <w:rFonts w:eastAsia="Times New Roman"/>
              </w:rPr>
            </w:pPr>
            <w:r w:rsidRPr="00A752A8">
              <w:rPr>
                <w:rFonts w:eastAsia="Times New Roman"/>
              </w:rPr>
              <w:t>Slp</w:t>
            </w:r>
          </w:p>
        </w:tc>
        <w:tc>
          <w:tcPr>
            <w:tcW w:w="354" w:type="pct"/>
            <w:tcBorders>
              <w:top w:val="single" w:sz="4" w:space="0" w:color="auto"/>
              <w:bottom w:val="single" w:sz="4" w:space="0" w:color="auto"/>
            </w:tcBorders>
            <w:shd w:val="clear" w:color="auto" w:fill="auto"/>
            <w:noWrap/>
            <w:vAlign w:val="bottom"/>
            <w:hideMark/>
          </w:tcPr>
          <w:p w:rsidR="00A828A9" w:rsidRPr="00A752A8" w:rsidRDefault="00A828A9" w:rsidP="00E03976">
            <w:pPr>
              <w:spacing w:before="0" w:after="0"/>
              <w:jc w:val="left"/>
              <w:rPr>
                <w:rFonts w:eastAsia="Times New Roman"/>
              </w:rPr>
            </w:pPr>
            <w:r w:rsidRPr="00A752A8">
              <w:rPr>
                <w:rFonts w:eastAsia="Times New Roman"/>
              </w:rPr>
              <w:t>Elev</w:t>
            </w:r>
          </w:p>
        </w:tc>
        <w:tc>
          <w:tcPr>
            <w:tcW w:w="455" w:type="pct"/>
            <w:tcBorders>
              <w:top w:val="single" w:sz="4" w:space="0" w:color="auto"/>
              <w:bottom w:val="single" w:sz="4" w:space="0" w:color="auto"/>
            </w:tcBorders>
            <w:shd w:val="clear" w:color="auto" w:fill="auto"/>
            <w:noWrap/>
            <w:vAlign w:val="bottom"/>
            <w:hideMark/>
          </w:tcPr>
          <w:p w:rsidR="00A828A9" w:rsidRPr="00A752A8" w:rsidRDefault="00A828A9" w:rsidP="00E03976">
            <w:pPr>
              <w:spacing w:before="0" w:after="0"/>
              <w:jc w:val="left"/>
              <w:rPr>
                <w:rFonts w:eastAsia="Times New Roman"/>
              </w:rPr>
            </w:pPr>
            <w:r w:rsidRPr="00A752A8">
              <w:rPr>
                <w:rFonts w:eastAsia="Times New Roman"/>
              </w:rPr>
              <w:t>LULC</w:t>
            </w:r>
          </w:p>
        </w:tc>
        <w:tc>
          <w:tcPr>
            <w:tcW w:w="344" w:type="pct"/>
            <w:tcBorders>
              <w:top w:val="single" w:sz="4" w:space="0" w:color="auto"/>
              <w:bottom w:val="single" w:sz="4" w:space="0" w:color="auto"/>
              <w:right w:val="single" w:sz="4" w:space="0" w:color="auto"/>
            </w:tcBorders>
            <w:shd w:val="clear" w:color="auto" w:fill="auto"/>
            <w:noWrap/>
            <w:vAlign w:val="bottom"/>
            <w:hideMark/>
          </w:tcPr>
          <w:p w:rsidR="00A828A9" w:rsidRPr="00A752A8" w:rsidRDefault="00A828A9" w:rsidP="00E03976">
            <w:pPr>
              <w:spacing w:before="0" w:after="0"/>
              <w:jc w:val="left"/>
              <w:rPr>
                <w:rFonts w:eastAsia="Times New Roman"/>
              </w:rPr>
            </w:pPr>
            <w:r w:rsidRPr="00A752A8">
              <w:rPr>
                <w:rFonts w:eastAsia="Times New Roman"/>
              </w:rPr>
              <w:t>ST</w:t>
            </w:r>
          </w:p>
        </w:tc>
        <w:tc>
          <w:tcPr>
            <w:tcW w:w="344" w:type="pct"/>
            <w:tcBorders>
              <w:top w:val="single" w:sz="4" w:space="0" w:color="auto"/>
              <w:left w:val="single" w:sz="4" w:space="0" w:color="auto"/>
              <w:bottom w:val="single" w:sz="4" w:space="0" w:color="auto"/>
            </w:tcBorders>
            <w:shd w:val="clear" w:color="auto" w:fill="auto"/>
            <w:noWrap/>
            <w:vAlign w:val="bottom"/>
            <w:hideMark/>
          </w:tcPr>
          <w:p w:rsidR="00A828A9" w:rsidRPr="00A752A8" w:rsidRDefault="00A828A9" w:rsidP="00E03976">
            <w:pPr>
              <w:spacing w:before="0" w:after="0"/>
              <w:jc w:val="left"/>
              <w:rPr>
                <w:rFonts w:eastAsia="Times New Roman"/>
              </w:rPr>
            </w:pPr>
            <w:r w:rsidRPr="00A752A8">
              <w:rPr>
                <w:rFonts w:eastAsia="Times New Roman"/>
              </w:rPr>
              <w:t>WS</w:t>
            </w:r>
          </w:p>
        </w:tc>
        <w:tc>
          <w:tcPr>
            <w:tcW w:w="344" w:type="pct"/>
            <w:tcBorders>
              <w:top w:val="single" w:sz="4" w:space="0" w:color="auto"/>
              <w:bottom w:val="single" w:sz="4" w:space="0" w:color="auto"/>
            </w:tcBorders>
            <w:shd w:val="clear" w:color="auto" w:fill="auto"/>
            <w:noWrap/>
            <w:vAlign w:val="bottom"/>
            <w:hideMark/>
          </w:tcPr>
          <w:p w:rsidR="00A828A9" w:rsidRPr="00A752A8" w:rsidRDefault="00A828A9" w:rsidP="00E03976">
            <w:pPr>
              <w:spacing w:before="0" w:after="0"/>
              <w:jc w:val="left"/>
              <w:rPr>
                <w:rFonts w:eastAsia="Times New Roman"/>
              </w:rPr>
            </w:pPr>
            <w:r w:rsidRPr="00A752A8">
              <w:rPr>
                <w:rFonts w:eastAsia="Times New Roman"/>
              </w:rPr>
              <w:t>CW</w:t>
            </w:r>
          </w:p>
        </w:tc>
        <w:tc>
          <w:tcPr>
            <w:tcW w:w="408" w:type="pct"/>
            <w:tcBorders>
              <w:top w:val="single" w:sz="4" w:space="0" w:color="auto"/>
              <w:bottom w:val="single" w:sz="4" w:space="0" w:color="auto"/>
            </w:tcBorders>
            <w:shd w:val="clear" w:color="auto" w:fill="auto"/>
            <w:noWrap/>
            <w:vAlign w:val="bottom"/>
            <w:hideMark/>
          </w:tcPr>
          <w:p w:rsidR="00A828A9" w:rsidRPr="00A752A8" w:rsidRDefault="00A828A9" w:rsidP="00E03976">
            <w:pPr>
              <w:spacing w:before="0" w:after="0"/>
              <w:jc w:val="left"/>
              <w:rPr>
                <w:rFonts w:eastAsia="Times New Roman"/>
              </w:rPr>
            </w:pPr>
            <w:r w:rsidRPr="00A752A8">
              <w:rPr>
                <w:rFonts w:eastAsia="Times New Roman"/>
              </w:rPr>
              <w:t>Ratio</w:t>
            </w:r>
          </w:p>
        </w:tc>
      </w:tr>
      <w:tr w:rsidR="00456014" w:rsidRPr="00A752A8" w:rsidTr="00E03976">
        <w:trPr>
          <w:trHeight w:val="261"/>
          <w:jc w:val="center"/>
        </w:trPr>
        <w:tc>
          <w:tcPr>
            <w:tcW w:w="571" w:type="pct"/>
            <w:tcBorders>
              <w:top w:val="single" w:sz="4" w:space="0" w:color="auto"/>
            </w:tcBorders>
            <w:shd w:val="clear" w:color="auto" w:fill="auto"/>
            <w:noWrap/>
            <w:vAlign w:val="bottom"/>
            <w:hideMark/>
          </w:tcPr>
          <w:p w:rsidR="002A5F93" w:rsidRPr="00A752A8" w:rsidRDefault="002A5F93" w:rsidP="00E03976">
            <w:pPr>
              <w:spacing w:before="0" w:after="0"/>
              <w:jc w:val="left"/>
              <w:rPr>
                <w:rFonts w:eastAsia="Times New Roman"/>
              </w:rPr>
            </w:pPr>
            <w:r w:rsidRPr="00A752A8">
              <w:rPr>
                <w:rFonts w:eastAsia="Times New Roman"/>
              </w:rPr>
              <w:t>Geom</w:t>
            </w:r>
          </w:p>
        </w:tc>
        <w:tc>
          <w:tcPr>
            <w:tcW w:w="433" w:type="pct"/>
            <w:tcBorders>
              <w:top w:val="single" w:sz="4" w:space="0" w:color="auto"/>
            </w:tcBorders>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0.25</w:t>
            </w:r>
          </w:p>
        </w:tc>
        <w:tc>
          <w:tcPr>
            <w:tcW w:w="344" w:type="pct"/>
            <w:tcBorders>
              <w:top w:val="single" w:sz="4" w:space="0" w:color="auto"/>
            </w:tcBorders>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0.46</w:t>
            </w:r>
          </w:p>
        </w:tc>
        <w:tc>
          <w:tcPr>
            <w:tcW w:w="369" w:type="pct"/>
            <w:tcBorders>
              <w:top w:val="single" w:sz="4" w:space="0" w:color="auto"/>
            </w:tcBorders>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0.33</w:t>
            </w:r>
          </w:p>
        </w:tc>
        <w:tc>
          <w:tcPr>
            <w:tcW w:w="348" w:type="pct"/>
            <w:tcBorders>
              <w:top w:val="single" w:sz="4" w:space="0" w:color="auto"/>
            </w:tcBorders>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0.36</w:t>
            </w:r>
          </w:p>
        </w:tc>
        <w:tc>
          <w:tcPr>
            <w:tcW w:w="344" w:type="pct"/>
            <w:tcBorders>
              <w:top w:val="single" w:sz="4" w:space="0" w:color="auto"/>
            </w:tcBorders>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0.27</w:t>
            </w:r>
          </w:p>
        </w:tc>
        <w:tc>
          <w:tcPr>
            <w:tcW w:w="344" w:type="pct"/>
            <w:tcBorders>
              <w:top w:val="single" w:sz="4" w:space="0" w:color="auto"/>
            </w:tcBorders>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0.23</w:t>
            </w:r>
          </w:p>
        </w:tc>
        <w:tc>
          <w:tcPr>
            <w:tcW w:w="354" w:type="pct"/>
            <w:tcBorders>
              <w:top w:val="single" w:sz="4" w:space="0" w:color="auto"/>
            </w:tcBorders>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0.19</w:t>
            </w:r>
          </w:p>
        </w:tc>
        <w:tc>
          <w:tcPr>
            <w:tcW w:w="455" w:type="pct"/>
            <w:tcBorders>
              <w:top w:val="single" w:sz="4" w:space="0" w:color="auto"/>
            </w:tcBorders>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0.14</w:t>
            </w:r>
          </w:p>
        </w:tc>
        <w:tc>
          <w:tcPr>
            <w:tcW w:w="344" w:type="pct"/>
            <w:tcBorders>
              <w:top w:val="single" w:sz="4" w:space="0" w:color="auto"/>
              <w:right w:val="single" w:sz="4" w:space="0" w:color="auto"/>
            </w:tcBorders>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0.17</w:t>
            </w:r>
          </w:p>
        </w:tc>
        <w:tc>
          <w:tcPr>
            <w:tcW w:w="344" w:type="pct"/>
            <w:tcBorders>
              <w:top w:val="single" w:sz="4" w:space="0" w:color="auto"/>
              <w:left w:val="single" w:sz="4" w:space="0" w:color="auto"/>
            </w:tcBorders>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2.39</w:t>
            </w:r>
          </w:p>
        </w:tc>
        <w:tc>
          <w:tcPr>
            <w:tcW w:w="344" w:type="pct"/>
            <w:tcBorders>
              <w:top w:val="single" w:sz="4" w:space="0" w:color="auto"/>
            </w:tcBorders>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0.25</w:t>
            </w:r>
          </w:p>
        </w:tc>
        <w:tc>
          <w:tcPr>
            <w:tcW w:w="408" w:type="pct"/>
            <w:tcBorders>
              <w:top w:val="single" w:sz="4" w:space="0" w:color="auto"/>
            </w:tcBorders>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9.05</w:t>
            </w:r>
          </w:p>
        </w:tc>
      </w:tr>
      <w:tr w:rsidR="00456014" w:rsidRPr="00A752A8" w:rsidTr="00E03976">
        <w:trPr>
          <w:trHeight w:val="261"/>
          <w:jc w:val="center"/>
        </w:trPr>
        <w:tc>
          <w:tcPr>
            <w:tcW w:w="571" w:type="pct"/>
            <w:shd w:val="clear" w:color="auto" w:fill="auto"/>
            <w:noWrap/>
            <w:vAlign w:val="bottom"/>
            <w:hideMark/>
          </w:tcPr>
          <w:p w:rsidR="002A5F93" w:rsidRPr="00A752A8" w:rsidRDefault="002A5F93" w:rsidP="00E03976">
            <w:pPr>
              <w:spacing w:before="0" w:after="0"/>
              <w:jc w:val="left"/>
              <w:rPr>
                <w:rFonts w:eastAsia="Times New Roman"/>
              </w:rPr>
            </w:pPr>
            <w:r w:rsidRPr="00A752A8">
              <w:rPr>
                <w:rFonts w:eastAsia="Times New Roman"/>
              </w:rPr>
              <w:t>Lin</w:t>
            </w:r>
          </w:p>
        </w:tc>
        <w:tc>
          <w:tcPr>
            <w:tcW w:w="433"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0.12</w:t>
            </w:r>
          </w:p>
        </w:tc>
        <w:tc>
          <w:tcPr>
            <w:tcW w:w="344"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0.23</w:t>
            </w:r>
          </w:p>
        </w:tc>
        <w:tc>
          <w:tcPr>
            <w:tcW w:w="369"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0.33</w:t>
            </w:r>
          </w:p>
        </w:tc>
        <w:tc>
          <w:tcPr>
            <w:tcW w:w="348"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0.36</w:t>
            </w:r>
          </w:p>
        </w:tc>
        <w:tc>
          <w:tcPr>
            <w:tcW w:w="344"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0.36</w:t>
            </w:r>
          </w:p>
        </w:tc>
        <w:tc>
          <w:tcPr>
            <w:tcW w:w="344"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0.29</w:t>
            </w:r>
          </w:p>
        </w:tc>
        <w:tc>
          <w:tcPr>
            <w:tcW w:w="354"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0.23</w:t>
            </w:r>
          </w:p>
        </w:tc>
        <w:tc>
          <w:tcPr>
            <w:tcW w:w="455"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0.20</w:t>
            </w:r>
          </w:p>
        </w:tc>
        <w:tc>
          <w:tcPr>
            <w:tcW w:w="344" w:type="pct"/>
            <w:tcBorders>
              <w:right w:val="single" w:sz="4" w:space="0" w:color="auto"/>
            </w:tcBorders>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0.15</w:t>
            </w:r>
          </w:p>
        </w:tc>
        <w:tc>
          <w:tcPr>
            <w:tcW w:w="344" w:type="pct"/>
            <w:tcBorders>
              <w:left w:val="single" w:sz="4" w:space="0" w:color="auto"/>
            </w:tcBorders>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2.27</w:t>
            </w:r>
          </w:p>
        </w:tc>
        <w:tc>
          <w:tcPr>
            <w:tcW w:w="344"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0.23</w:t>
            </w:r>
          </w:p>
        </w:tc>
        <w:tc>
          <w:tcPr>
            <w:tcW w:w="408"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11.43</w:t>
            </w:r>
          </w:p>
        </w:tc>
      </w:tr>
      <w:tr w:rsidR="00456014" w:rsidRPr="00A752A8" w:rsidTr="00E03976">
        <w:trPr>
          <w:trHeight w:val="261"/>
          <w:jc w:val="center"/>
        </w:trPr>
        <w:tc>
          <w:tcPr>
            <w:tcW w:w="571" w:type="pct"/>
            <w:shd w:val="clear" w:color="auto" w:fill="auto"/>
            <w:noWrap/>
            <w:vAlign w:val="bottom"/>
            <w:hideMark/>
          </w:tcPr>
          <w:p w:rsidR="002A5F93" w:rsidRPr="00A752A8" w:rsidRDefault="002A5F93" w:rsidP="00E03976">
            <w:pPr>
              <w:spacing w:before="0" w:after="0"/>
              <w:jc w:val="left"/>
              <w:rPr>
                <w:rFonts w:eastAsia="Times New Roman"/>
              </w:rPr>
            </w:pPr>
            <w:r w:rsidRPr="00A752A8">
              <w:rPr>
                <w:rFonts w:eastAsia="Times New Roman"/>
              </w:rPr>
              <w:t>Geol</w:t>
            </w:r>
          </w:p>
        </w:tc>
        <w:tc>
          <w:tcPr>
            <w:tcW w:w="433"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0.12</w:t>
            </w:r>
          </w:p>
        </w:tc>
        <w:tc>
          <w:tcPr>
            <w:tcW w:w="344"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0.11</w:t>
            </w:r>
          </w:p>
        </w:tc>
        <w:tc>
          <w:tcPr>
            <w:tcW w:w="369"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0.17</w:t>
            </w:r>
          </w:p>
        </w:tc>
        <w:tc>
          <w:tcPr>
            <w:tcW w:w="348"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0.24</w:t>
            </w:r>
          </w:p>
        </w:tc>
        <w:tc>
          <w:tcPr>
            <w:tcW w:w="344"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0.27</w:t>
            </w:r>
          </w:p>
        </w:tc>
        <w:tc>
          <w:tcPr>
            <w:tcW w:w="344"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0.23</w:t>
            </w:r>
          </w:p>
        </w:tc>
        <w:tc>
          <w:tcPr>
            <w:tcW w:w="354"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0.19</w:t>
            </w:r>
          </w:p>
        </w:tc>
        <w:tc>
          <w:tcPr>
            <w:tcW w:w="455"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0.17</w:t>
            </w:r>
          </w:p>
        </w:tc>
        <w:tc>
          <w:tcPr>
            <w:tcW w:w="344" w:type="pct"/>
            <w:tcBorders>
              <w:right w:val="single" w:sz="4" w:space="0" w:color="auto"/>
            </w:tcBorders>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0.13</w:t>
            </w:r>
          </w:p>
        </w:tc>
        <w:tc>
          <w:tcPr>
            <w:tcW w:w="344" w:type="pct"/>
            <w:tcBorders>
              <w:left w:val="single" w:sz="4" w:space="0" w:color="auto"/>
            </w:tcBorders>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1.63</w:t>
            </w:r>
          </w:p>
        </w:tc>
        <w:tc>
          <w:tcPr>
            <w:tcW w:w="344"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0.17</w:t>
            </w:r>
          </w:p>
        </w:tc>
        <w:tc>
          <w:tcPr>
            <w:tcW w:w="408"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9.07</w:t>
            </w:r>
          </w:p>
        </w:tc>
      </w:tr>
      <w:tr w:rsidR="00456014" w:rsidRPr="00A752A8" w:rsidTr="00E03976">
        <w:trPr>
          <w:trHeight w:val="261"/>
          <w:jc w:val="center"/>
        </w:trPr>
        <w:tc>
          <w:tcPr>
            <w:tcW w:w="571" w:type="pct"/>
            <w:shd w:val="clear" w:color="auto" w:fill="auto"/>
            <w:noWrap/>
            <w:vAlign w:val="bottom"/>
            <w:hideMark/>
          </w:tcPr>
          <w:p w:rsidR="002A5F93" w:rsidRPr="00A752A8" w:rsidRDefault="002A5F93" w:rsidP="00E03976">
            <w:pPr>
              <w:spacing w:before="0" w:after="0"/>
              <w:jc w:val="left"/>
              <w:rPr>
                <w:rFonts w:eastAsia="Times New Roman"/>
              </w:rPr>
            </w:pPr>
            <w:r w:rsidRPr="00A752A8">
              <w:rPr>
                <w:rFonts w:eastAsia="Times New Roman"/>
              </w:rPr>
              <w:t>PCP</w:t>
            </w:r>
          </w:p>
        </w:tc>
        <w:tc>
          <w:tcPr>
            <w:tcW w:w="433"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0.08</w:t>
            </w:r>
          </w:p>
        </w:tc>
        <w:tc>
          <w:tcPr>
            <w:tcW w:w="344"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0.08</w:t>
            </w:r>
          </w:p>
        </w:tc>
        <w:tc>
          <w:tcPr>
            <w:tcW w:w="369"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0.08</w:t>
            </w:r>
          </w:p>
        </w:tc>
        <w:tc>
          <w:tcPr>
            <w:tcW w:w="348"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0.12</w:t>
            </w:r>
          </w:p>
        </w:tc>
        <w:tc>
          <w:tcPr>
            <w:tcW w:w="344"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0.18</w:t>
            </w:r>
          </w:p>
        </w:tc>
        <w:tc>
          <w:tcPr>
            <w:tcW w:w="344"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0.17</w:t>
            </w:r>
          </w:p>
        </w:tc>
        <w:tc>
          <w:tcPr>
            <w:tcW w:w="354"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0.19</w:t>
            </w:r>
          </w:p>
        </w:tc>
        <w:tc>
          <w:tcPr>
            <w:tcW w:w="455"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0.14</w:t>
            </w:r>
          </w:p>
        </w:tc>
        <w:tc>
          <w:tcPr>
            <w:tcW w:w="344" w:type="pct"/>
            <w:tcBorders>
              <w:right w:val="single" w:sz="4" w:space="0" w:color="auto"/>
            </w:tcBorders>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0.12</w:t>
            </w:r>
          </w:p>
        </w:tc>
        <w:tc>
          <w:tcPr>
            <w:tcW w:w="344" w:type="pct"/>
            <w:tcBorders>
              <w:left w:val="single" w:sz="4" w:space="0" w:color="auto"/>
            </w:tcBorders>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1.15</w:t>
            </w:r>
          </w:p>
        </w:tc>
        <w:tc>
          <w:tcPr>
            <w:tcW w:w="344"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0.12</w:t>
            </w:r>
          </w:p>
        </w:tc>
        <w:tc>
          <w:tcPr>
            <w:tcW w:w="408"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9.27</w:t>
            </w:r>
          </w:p>
        </w:tc>
      </w:tr>
      <w:tr w:rsidR="00456014" w:rsidRPr="00A752A8" w:rsidTr="00E03976">
        <w:trPr>
          <w:trHeight w:val="261"/>
          <w:jc w:val="center"/>
        </w:trPr>
        <w:tc>
          <w:tcPr>
            <w:tcW w:w="571" w:type="pct"/>
            <w:shd w:val="clear" w:color="auto" w:fill="auto"/>
            <w:noWrap/>
            <w:vAlign w:val="bottom"/>
            <w:hideMark/>
          </w:tcPr>
          <w:p w:rsidR="002A5F93" w:rsidRPr="00A752A8" w:rsidRDefault="002A5F93" w:rsidP="00E03976">
            <w:pPr>
              <w:spacing w:before="0" w:after="0"/>
              <w:jc w:val="left"/>
              <w:rPr>
                <w:rFonts w:eastAsia="Times New Roman"/>
              </w:rPr>
            </w:pPr>
            <w:r w:rsidRPr="00A752A8">
              <w:rPr>
                <w:rFonts w:eastAsia="Times New Roman"/>
              </w:rPr>
              <w:t>DD</w:t>
            </w:r>
          </w:p>
        </w:tc>
        <w:tc>
          <w:tcPr>
            <w:tcW w:w="433"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0.08</w:t>
            </w:r>
          </w:p>
        </w:tc>
        <w:tc>
          <w:tcPr>
            <w:tcW w:w="344"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0.06</w:t>
            </w:r>
          </w:p>
        </w:tc>
        <w:tc>
          <w:tcPr>
            <w:tcW w:w="369"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0.06</w:t>
            </w:r>
          </w:p>
        </w:tc>
        <w:tc>
          <w:tcPr>
            <w:tcW w:w="348"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0.06</w:t>
            </w:r>
          </w:p>
        </w:tc>
        <w:tc>
          <w:tcPr>
            <w:tcW w:w="344"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0.09</w:t>
            </w:r>
          </w:p>
        </w:tc>
        <w:tc>
          <w:tcPr>
            <w:tcW w:w="344"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0.17</w:t>
            </w:r>
          </w:p>
        </w:tc>
        <w:tc>
          <w:tcPr>
            <w:tcW w:w="354"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0.14</w:t>
            </w:r>
          </w:p>
        </w:tc>
        <w:tc>
          <w:tcPr>
            <w:tcW w:w="455"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0.11</w:t>
            </w:r>
          </w:p>
        </w:tc>
        <w:tc>
          <w:tcPr>
            <w:tcW w:w="344" w:type="pct"/>
            <w:tcBorders>
              <w:right w:val="single" w:sz="4" w:space="0" w:color="auto"/>
            </w:tcBorders>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0.10</w:t>
            </w:r>
          </w:p>
        </w:tc>
        <w:tc>
          <w:tcPr>
            <w:tcW w:w="344" w:type="pct"/>
            <w:tcBorders>
              <w:left w:val="single" w:sz="4" w:space="0" w:color="auto"/>
            </w:tcBorders>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0.86</w:t>
            </w:r>
          </w:p>
        </w:tc>
        <w:tc>
          <w:tcPr>
            <w:tcW w:w="344"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0.09</w:t>
            </w:r>
          </w:p>
        </w:tc>
        <w:tc>
          <w:tcPr>
            <w:tcW w:w="408"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12.15</w:t>
            </w:r>
          </w:p>
        </w:tc>
      </w:tr>
      <w:tr w:rsidR="00456014" w:rsidRPr="00A752A8" w:rsidTr="00E03976">
        <w:trPr>
          <w:trHeight w:val="261"/>
          <w:jc w:val="center"/>
        </w:trPr>
        <w:tc>
          <w:tcPr>
            <w:tcW w:w="571" w:type="pct"/>
            <w:shd w:val="clear" w:color="auto" w:fill="auto"/>
            <w:noWrap/>
            <w:vAlign w:val="bottom"/>
            <w:hideMark/>
          </w:tcPr>
          <w:p w:rsidR="002A5F93" w:rsidRPr="00A752A8" w:rsidRDefault="002A5F93" w:rsidP="00E03976">
            <w:pPr>
              <w:spacing w:before="0" w:after="0"/>
              <w:jc w:val="left"/>
              <w:rPr>
                <w:rFonts w:eastAsia="Times New Roman"/>
              </w:rPr>
            </w:pPr>
            <w:r w:rsidRPr="00A752A8">
              <w:rPr>
                <w:rFonts w:eastAsia="Times New Roman"/>
              </w:rPr>
              <w:t>Slp</w:t>
            </w:r>
          </w:p>
        </w:tc>
        <w:tc>
          <w:tcPr>
            <w:tcW w:w="433"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0.06</w:t>
            </w:r>
          </w:p>
        </w:tc>
        <w:tc>
          <w:tcPr>
            <w:tcW w:w="344"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0.05</w:t>
            </w:r>
          </w:p>
        </w:tc>
        <w:tc>
          <w:tcPr>
            <w:tcW w:w="369"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0.04</w:t>
            </w:r>
          </w:p>
        </w:tc>
        <w:tc>
          <w:tcPr>
            <w:tcW w:w="348"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0.04</w:t>
            </w:r>
          </w:p>
        </w:tc>
        <w:tc>
          <w:tcPr>
            <w:tcW w:w="344"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0.03</w:t>
            </w:r>
          </w:p>
        </w:tc>
        <w:tc>
          <w:tcPr>
            <w:tcW w:w="344"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0.06</w:t>
            </w:r>
          </w:p>
        </w:tc>
        <w:tc>
          <w:tcPr>
            <w:tcW w:w="354"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0.09</w:t>
            </w:r>
          </w:p>
        </w:tc>
        <w:tc>
          <w:tcPr>
            <w:tcW w:w="455"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0.08</w:t>
            </w:r>
          </w:p>
        </w:tc>
        <w:tc>
          <w:tcPr>
            <w:tcW w:w="344" w:type="pct"/>
            <w:tcBorders>
              <w:right w:val="single" w:sz="4" w:space="0" w:color="auto"/>
            </w:tcBorders>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0.08</w:t>
            </w:r>
          </w:p>
        </w:tc>
        <w:tc>
          <w:tcPr>
            <w:tcW w:w="344" w:type="pct"/>
            <w:tcBorders>
              <w:left w:val="single" w:sz="4" w:space="0" w:color="auto"/>
            </w:tcBorders>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0.53</w:t>
            </w:r>
          </w:p>
        </w:tc>
        <w:tc>
          <w:tcPr>
            <w:tcW w:w="344"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0.05</w:t>
            </w:r>
          </w:p>
        </w:tc>
        <w:tc>
          <w:tcPr>
            <w:tcW w:w="408"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8.44</w:t>
            </w:r>
          </w:p>
        </w:tc>
      </w:tr>
      <w:tr w:rsidR="00456014" w:rsidRPr="00A752A8" w:rsidTr="00E03976">
        <w:trPr>
          <w:trHeight w:val="261"/>
          <w:jc w:val="center"/>
        </w:trPr>
        <w:tc>
          <w:tcPr>
            <w:tcW w:w="571" w:type="pct"/>
            <w:shd w:val="clear" w:color="auto" w:fill="auto"/>
            <w:noWrap/>
            <w:vAlign w:val="bottom"/>
            <w:hideMark/>
          </w:tcPr>
          <w:p w:rsidR="002A5F93" w:rsidRPr="00A752A8" w:rsidRDefault="002A5F93" w:rsidP="00E03976">
            <w:pPr>
              <w:spacing w:before="0" w:after="0"/>
              <w:jc w:val="left"/>
              <w:rPr>
                <w:rFonts w:eastAsia="Times New Roman"/>
              </w:rPr>
            </w:pPr>
            <w:r w:rsidRPr="00A752A8">
              <w:rPr>
                <w:rFonts w:eastAsia="Times New Roman"/>
              </w:rPr>
              <w:t>Elev</w:t>
            </w:r>
          </w:p>
        </w:tc>
        <w:tc>
          <w:tcPr>
            <w:tcW w:w="433"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0.06</w:t>
            </w:r>
          </w:p>
        </w:tc>
        <w:tc>
          <w:tcPr>
            <w:tcW w:w="344"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0.05</w:t>
            </w:r>
          </w:p>
        </w:tc>
        <w:tc>
          <w:tcPr>
            <w:tcW w:w="369"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0.04</w:t>
            </w:r>
          </w:p>
        </w:tc>
        <w:tc>
          <w:tcPr>
            <w:tcW w:w="348"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0.03</w:t>
            </w:r>
          </w:p>
        </w:tc>
        <w:tc>
          <w:tcPr>
            <w:tcW w:w="344"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0.03</w:t>
            </w:r>
          </w:p>
        </w:tc>
        <w:tc>
          <w:tcPr>
            <w:tcW w:w="344"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0.03</w:t>
            </w:r>
          </w:p>
        </w:tc>
        <w:tc>
          <w:tcPr>
            <w:tcW w:w="354"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0.05</w:t>
            </w:r>
          </w:p>
        </w:tc>
        <w:tc>
          <w:tcPr>
            <w:tcW w:w="455"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0.08</w:t>
            </w:r>
          </w:p>
        </w:tc>
        <w:tc>
          <w:tcPr>
            <w:tcW w:w="344" w:type="pct"/>
            <w:tcBorders>
              <w:right w:val="single" w:sz="4" w:space="0" w:color="auto"/>
            </w:tcBorders>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0.06</w:t>
            </w:r>
          </w:p>
        </w:tc>
        <w:tc>
          <w:tcPr>
            <w:tcW w:w="344" w:type="pct"/>
            <w:tcBorders>
              <w:left w:val="single" w:sz="4" w:space="0" w:color="auto"/>
            </w:tcBorders>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0.43</w:t>
            </w:r>
          </w:p>
        </w:tc>
        <w:tc>
          <w:tcPr>
            <w:tcW w:w="344"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0.04</w:t>
            </w:r>
          </w:p>
        </w:tc>
        <w:tc>
          <w:tcPr>
            <w:tcW w:w="408"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8.42</w:t>
            </w:r>
          </w:p>
        </w:tc>
      </w:tr>
      <w:tr w:rsidR="00456014" w:rsidRPr="00A752A8" w:rsidTr="00E03976">
        <w:trPr>
          <w:trHeight w:val="261"/>
          <w:jc w:val="center"/>
        </w:trPr>
        <w:tc>
          <w:tcPr>
            <w:tcW w:w="571" w:type="pct"/>
            <w:shd w:val="clear" w:color="auto" w:fill="auto"/>
            <w:noWrap/>
            <w:vAlign w:val="bottom"/>
            <w:hideMark/>
          </w:tcPr>
          <w:p w:rsidR="002A5F93" w:rsidRPr="00A752A8" w:rsidRDefault="002A5F93" w:rsidP="00E03976">
            <w:pPr>
              <w:spacing w:before="0" w:after="0"/>
              <w:jc w:val="left"/>
              <w:rPr>
                <w:rFonts w:eastAsia="Times New Roman"/>
              </w:rPr>
            </w:pPr>
            <w:r w:rsidRPr="00A752A8">
              <w:rPr>
                <w:rFonts w:eastAsia="Times New Roman"/>
              </w:rPr>
              <w:t>LULC</w:t>
            </w:r>
          </w:p>
        </w:tc>
        <w:tc>
          <w:tcPr>
            <w:tcW w:w="433"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0.05</w:t>
            </w:r>
          </w:p>
        </w:tc>
        <w:tc>
          <w:tcPr>
            <w:tcW w:w="344"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0.03</w:t>
            </w:r>
          </w:p>
        </w:tc>
        <w:tc>
          <w:tcPr>
            <w:tcW w:w="369"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0.03</w:t>
            </w:r>
          </w:p>
        </w:tc>
        <w:tc>
          <w:tcPr>
            <w:tcW w:w="348"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0.02</w:t>
            </w:r>
          </w:p>
        </w:tc>
        <w:tc>
          <w:tcPr>
            <w:tcW w:w="344"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0.02</w:t>
            </w:r>
          </w:p>
        </w:tc>
        <w:tc>
          <w:tcPr>
            <w:tcW w:w="344"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0.02</w:t>
            </w:r>
          </w:p>
        </w:tc>
        <w:tc>
          <w:tcPr>
            <w:tcW w:w="354"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0.02</w:t>
            </w:r>
          </w:p>
        </w:tc>
        <w:tc>
          <w:tcPr>
            <w:tcW w:w="455"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0.03</w:t>
            </w:r>
          </w:p>
        </w:tc>
        <w:tc>
          <w:tcPr>
            <w:tcW w:w="344" w:type="pct"/>
            <w:tcBorders>
              <w:right w:val="single" w:sz="4" w:space="0" w:color="auto"/>
            </w:tcBorders>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0.04</w:t>
            </w:r>
          </w:p>
        </w:tc>
        <w:tc>
          <w:tcPr>
            <w:tcW w:w="344" w:type="pct"/>
            <w:tcBorders>
              <w:left w:val="single" w:sz="4" w:space="0" w:color="auto"/>
            </w:tcBorders>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0.26</w:t>
            </w:r>
          </w:p>
        </w:tc>
        <w:tc>
          <w:tcPr>
            <w:tcW w:w="344"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0.03</w:t>
            </w:r>
          </w:p>
        </w:tc>
        <w:tc>
          <w:tcPr>
            <w:tcW w:w="408"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8.02</w:t>
            </w:r>
          </w:p>
        </w:tc>
      </w:tr>
      <w:tr w:rsidR="00456014" w:rsidRPr="00A752A8" w:rsidTr="00E03976">
        <w:trPr>
          <w:trHeight w:val="273"/>
          <w:jc w:val="center"/>
        </w:trPr>
        <w:tc>
          <w:tcPr>
            <w:tcW w:w="571" w:type="pct"/>
            <w:shd w:val="clear" w:color="auto" w:fill="auto"/>
            <w:noWrap/>
            <w:vAlign w:val="bottom"/>
            <w:hideMark/>
          </w:tcPr>
          <w:p w:rsidR="002A5F93" w:rsidRPr="00A752A8" w:rsidRDefault="002A5F93" w:rsidP="00E03976">
            <w:pPr>
              <w:spacing w:before="0" w:after="0"/>
              <w:jc w:val="left"/>
              <w:rPr>
                <w:rFonts w:eastAsia="Times New Roman"/>
              </w:rPr>
            </w:pPr>
            <w:r w:rsidRPr="00A752A8">
              <w:rPr>
                <w:rFonts w:eastAsia="Times New Roman"/>
              </w:rPr>
              <w:t>ST</w:t>
            </w:r>
          </w:p>
        </w:tc>
        <w:tc>
          <w:tcPr>
            <w:tcW w:w="433"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0.03</w:t>
            </w:r>
          </w:p>
        </w:tc>
        <w:tc>
          <w:tcPr>
            <w:tcW w:w="344"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0.03</w:t>
            </w:r>
          </w:p>
        </w:tc>
        <w:tc>
          <w:tcPr>
            <w:tcW w:w="369"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0.02</w:t>
            </w:r>
          </w:p>
        </w:tc>
        <w:tc>
          <w:tcPr>
            <w:tcW w:w="348"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0.02</w:t>
            </w:r>
          </w:p>
        </w:tc>
        <w:tc>
          <w:tcPr>
            <w:tcW w:w="344"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0.02</w:t>
            </w:r>
          </w:p>
        </w:tc>
        <w:tc>
          <w:tcPr>
            <w:tcW w:w="344"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0.01</w:t>
            </w:r>
          </w:p>
        </w:tc>
        <w:tc>
          <w:tcPr>
            <w:tcW w:w="354"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0.02</w:t>
            </w:r>
          </w:p>
        </w:tc>
        <w:tc>
          <w:tcPr>
            <w:tcW w:w="455" w:type="pct"/>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0.01</w:t>
            </w:r>
          </w:p>
        </w:tc>
        <w:tc>
          <w:tcPr>
            <w:tcW w:w="344" w:type="pct"/>
            <w:tcBorders>
              <w:right w:val="single" w:sz="4" w:space="0" w:color="auto"/>
            </w:tcBorders>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0.02</w:t>
            </w:r>
          </w:p>
        </w:tc>
        <w:tc>
          <w:tcPr>
            <w:tcW w:w="344" w:type="pct"/>
            <w:tcBorders>
              <w:left w:val="single" w:sz="4" w:space="0" w:color="auto"/>
              <w:bottom w:val="single" w:sz="4" w:space="0" w:color="auto"/>
            </w:tcBorders>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0.18</w:t>
            </w:r>
          </w:p>
        </w:tc>
        <w:tc>
          <w:tcPr>
            <w:tcW w:w="344" w:type="pct"/>
            <w:tcBorders>
              <w:bottom w:val="single" w:sz="4" w:space="0" w:color="auto"/>
            </w:tcBorders>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0.02</w:t>
            </w:r>
          </w:p>
        </w:tc>
        <w:tc>
          <w:tcPr>
            <w:tcW w:w="408" w:type="pct"/>
            <w:tcBorders>
              <w:bottom w:val="single" w:sz="4" w:space="0" w:color="auto"/>
            </w:tcBorders>
            <w:shd w:val="clear" w:color="auto" w:fill="auto"/>
            <w:noWrap/>
            <w:vAlign w:val="bottom"/>
            <w:hideMark/>
          </w:tcPr>
          <w:p w:rsidR="002A5F93" w:rsidRPr="00A752A8" w:rsidRDefault="002A5F93" w:rsidP="00E03976">
            <w:pPr>
              <w:spacing w:before="0" w:after="0"/>
              <w:jc w:val="right"/>
              <w:rPr>
                <w:rFonts w:eastAsia="Times New Roman"/>
              </w:rPr>
            </w:pPr>
            <w:r w:rsidRPr="00A752A8">
              <w:rPr>
                <w:rFonts w:eastAsia="Times New Roman"/>
              </w:rPr>
              <w:t>10.70</w:t>
            </w:r>
          </w:p>
        </w:tc>
      </w:tr>
    </w:tbl>
    <w:p w:rsidR="00EF4A28" w:rsidRDefault="006F48DD" w:rsidP="00F13B95">
      <w:r w:rsidRPr="00456014">
        <w:rPr>
          <w:rFonts w:eastAsia="Times New Roman"/>
        </w:rPr>
        <w:t>WS</w:t>
      </w:r>
      <w:r w:rsidR="00C6226A" w:rsidRPr="00456014">
        <w:rPr>
          <w:rFonts w:eastAsia="Times New Roman"/>
        </w:rPr>
        <w:t xml:space="preserve"> is </w:t>
      </w:r>
      <w:r w:rsidRPr="00456014">
        <w:rPr>
          <w:rFonts w:eastAsia="Times New Roman"/>
        </w:rPr>
        <w:t>w</w:t>
      </w:r>
      <w:r w:rsidR="00C6226A" w:rsidRPr="00456014">
        <w:rPr>
          <w:rFonts w:eastAsia="Times New Roman"/>
        </w:rPr>
        <w:t>eight sum value</w:t>
      </w:r>
      <w:r w:rsidR="00BF4763" w:rsidRPr="00456014">
        <w:rPr>
          <w:rFonts w:eastAsia="Times New Roman"/>
        </w:rPr>
        <w:t xml:space="preserve">, </w:t>
      </w:r>
      <w:r w:rsidR="00C6226A" w:rsidRPr="00456014">
        <w:rPr>
          <w:rFonts w:eastAsia="Times New Roman"/>
        </w:rPr>
        <w:t xml:space="preserve">CW is </w:t>
      </w:r>
      <w:r w:rsidRPr="00456014">
        <w:rPr>
          <w:rFonts w:eastAsia="Times New Roman"/>
        </w:rPr>
        <w:t>c</w:t>
      </w:r>
      <w:r w:rsidR="00C6226A" w:rsidRPr="00456014">
        <w:rPr>
          <w:rFonts w:eastAsia="Times New Roman"/>
        </w:rPr>
        <w:t>riteria weight</w:t>
      </w:r>
      <w:r w:rsidR="00BF4763" w:rsidRPr="00456014">
        <w:rPr>
          <w:rFonts w:eastAsia="Times New Roman"/>
        </w:rPr>
        <w:t xml:space="preserve">, </w:t>
      </w:r>
      <w:r w:rsidR="001A02B3" w:rsidRPr="00456014">
        <w:t>RI is the random index, λ</w:t>
      </w:r>
      <w:r w:rsidR="00BF4763" w:rsidRPr="00456014">
        <w:t xml:space="preserve">max is </w:t>
      </w:r>
      <w:r w:rsidR="005E351F" w:rsidRPr="00456014">
        <w:t xml:space="preserve">the </w:t>
      </w:r>
      <w:r w:rsidR="00BF4763" w:rsidRPr="00456014">
        <w:t>maximum eigenvalue of the matrix</w:t>
      </w:r>
      <w:r w:rsidR="005E351F" w:rsidRPr="00456014">
        <w:t>,</w:t>
      </w:r>
      <w:r w:rsidR="00BF4763" w:rsidRPr="00456014">
        <w:t xml:space="preserve"> and n-is the number of compared elements.</w:t>
      </w:r>
      <w:r w:rsidR="00456EFA">
        <w:t xml:space="preserve"> </w:t>
      </w:r>
      <w:r w:rsidR="00616B1C" w:rsidRPr="00456014">
        <w:t xml:space="preserve">λmax </w:t>
      </w:r>
      <w:r w:rsidR="00616B1C" w:rsidRPr="00456014">
        <w:rPr>
          <w:bCs/>
        </w:rPr>
        <w:t>=9.523, Consistency index (C.I) =0.065</w:t>
      </w:r>
      <w:r w:rsidR="007073F4">
        <w:rPr>
          <w:bCs/>
        </w:rPr>
        <w:t xml:space="preserve"> computed by using equation (3.10</w:t>
      </w:r>
      <w:r w:rsidR="00616B1C" w:rsidRPr="00456014">
        <w:rPr>
          <w:bCs/>
        </w:rPr>
        <w:t xml:space="preserve">) Random index (R.I) =1.450, </w:t>
      </w:r>
      <w:r w:rsidR="002432C1">
        <w:rPr>
          <w:bCs/>
        </w:rPr>
        <w:t xml:space="preserve">CR </w:t>
      </w:r>
      <w:r w:rsidR="00616B1C" w:rsidRPr="00456014">
        <w:rPr>
          <w:bCs/>
        </w:rPr>
        <w:t xml:space="preserve">=0.04 </w:t>
      </w:r>
      <w:r w:rsidR="007073F4">
        <w:rPr>
          <w:bCs/>
        </w:rPr>
        <w:t>computed by using equation (3.9</w:t>
      </w:r>
      <w:r w:rsidR="00DF3D03">
        <w:t>)</w:t>
      </w:r>
      <w:r w:rsidR="00366970">
        <w:t xml:space="preserve">. </w:t>
      </w:r>
      <w:r w:rsidR="00366970" w:rsidRPr="00456014">
        <w:t xml:space="preserve">The value </w:t>
      </w:r>
      <w:r w:rsidR="00366970">
        <w:t xml:space="preserve">of consistency ratio (CR) </w:t>
      </w:r>
      <w:r w:rsidR="00366970" w:rsidRPr="00456014">
        <w:t xml:space="preserve">0.04 is less than 0.1(10%), hence it is acceptable. Therefore, the judgment of generated the pairwise comparison matrix was consistent and the factors weights </w:t>
      </w:r>
      <w:r w:rsidR="00366970">
        <w:t>will be used for further analyse</w:t>
      </w:r>
      <w:r w:rsidR="00366970" w:rsidRPr="00456014">
        <w:t>s.</w:t>
      </w:r>
      <w:r w:rsidR="00071665" w:rsidRPr="00071665">
        <w:t xml:space="preserve"> </w:t>
      </w:r>
    </w:p>
    <w:p w:rsidR="00F13B95" w:rsidRDefault="00071665" w:rsidP="00F13B95">
      <w:r w:rsidRPr="00456014">
        <w:lastRenderedPageBreak/>
        <w:t xml:space="preserve">The spatial distribution of rainfall of the study area </w:t>
      </w:r>
      <w:r>
        <w:t>which was significantly influenced by</w:t>
      </w:r>
      <w:r w:rsidR="00C45BCD">
        <w:t xml:space="preserve"> topographic</w:t>
      </w:r>
      <w:r w:rsidRPr="00456014">
        <w:t xml:space="preserve"> variability of the sub-basin</w:t>
      </w:r>
      <w:r>
        <w:t xml:space="preserve"> result in the spatial variability of GWPZ</w:t>
      </w:r>
      <w:r w:rsidRPr="00456014">
        <w:t>. Due to the percolation of the higher precipitation, the major natural recharge of the Weyib Sub-basin is believed to occur at elevated regions. The drainage density of an area d</w:t>
      </w:r>
      <w:r>
        <w:t>epends on the topography, slope</w:t>
      </w:r>
      <w:r w:rsidRPr="00456014">
        <w:t xml:space="preserve"> and sub-surface characteristics. Thus</w:t>
      </w:r>
      <w:r>
        <w:t>,</w:t>
      </w:r>
      <w:r w:rsidRPr="00456014">
        <w:t xml:space="preserve"> the higher weight was assigned for drainage density than the factors contributing </w:t>
      </w:r>
      <w:r>
        <w:t>for</w:t>
      </w:r>
      <w:r w:rsidRPr="00456014">
        <w:t xml:space="preserve"> high drainage density, except the sub-surface geological formation.  The slope gradient directly influences the </w:t>
      </w:r>
      <w:r>
        <w:t xml:space="preserve">rainfall </w:t>
      </w:r>
      <w:r w:rsidRPr="00456014">
        <w:t xml:space="preserve">infiltration. The high residence time of rainwater permits extensive retention of rainwater to form pools and infiltrate to the water table and the deeper geologic formation. The process will be held if the soil provides the permeability necessary for deeper flow than surface runoff. </w:t>
      </w:r>
    </w:p>
    <w:p w:rsidR="00C7446D" w:rsidRPr="00E83510" w:rsidRDefault="00071665" w:rsidP="009426CC">
      <w:r w:rsidRPr="00456014">
        <w:t>For those interdependent factors, the relative weight was assigned depending on the contribution of factors and their ability to determine the spatial variability of groundwater potential.</w:t>
      </w:r>
      <w:r w:rsidR="00C7446D" w:rsidRPr="00C7446D">
        <w:t xml:space="preserve"> </w:t>
      </w:r>
      <w:r w:rsidR="00C7446D" w:rsidRPr="00456014">
        <w:t>The influence of physiographic, geologic and climatic factors is 46%, 42%, a</w:t>
      </w:r>
      <w:r w:rsidR="00E638C0">
        <w:t>nd 12%, respectively</w:t>
      </w:r>
      <w:r w:rsidR="00C7446D" w:rsidRPr="00456014">
        <w:t xml:space="preserve">. </w:t>
      </w:r>
      <w:r w:rsidR="00C7446D">
        <w:t>The value</w:t>
      </w:r>
      <w:r w:rsidR="00C7446D" w:rsidRPr="00456014">
        <w:t xml:space="preserve"> </w:t>
      </w:r>
      <w:r w:rsidR="00C7446D">
        <w:t>reveals</w:t>
      </w:r>
      <w:r w:rsidR="00C7446D" w:rsidRPr="00456014">
        <w:t xml:space="preserve"> that the GWPZ of the Weyib Sub-basin is influenced almost equally by physiographic and geologic factors. The geomorphologic landform, line</w:t>
      </w:r>
      <w:r w:rsidR="00C7446D">
        <w:t>ament density, geology</w:t>
      </w:r>
      <w:r w:rsidR="00C7446D" w:rsidRPr="00456014">
        <w:t xml:space="preserve"> and rainfall distribution share</w:t>
      </w:r>
      <w:r w:rsidR="00E638C0">
        <w:t>s the highest weightage of 67%</w:t>
      </w:r>
      <w:r w:rsidR="00C7446D">
        <w:t xml:space="preserve">. </w:t>
      </w:r>
    </w:p>
    <w:p w:rsidR="00592122" w:rsidRPr="00456014" w:rsidRDefault="00410A4D" w:rsidP="009426CC">
      <w:pPr>
        <w:jc w:val="center"/>
      </w:pPr>
      <w:r w:rsidRPr="00456014">
        <w:rPr>
          <w:noProof/>
        </w:rPr>
        <w:drawing>
          <wp:inline distT="0" distB="0" distL="0" distR="0" wp14:anchorId="4F29D564" wp14:editId="12EC3E97">
            <wp:extent cx="5009322" cy="2846567"/>
            <wp:effectExtent l="0" t="0" r="1270" b="11430"/>
            <wp:docPr id="96" name="Chart 2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82767D" w:rsidRDefault="0082767D" w:rsidP="009426CC">
      <w:pPr>
        <w:pStyle w:val="Caption"/>
        <w:spacing w:before="120" w:after="120" w:line="360" w:lineRule="auto"/>
        <w:rPr>
          <w:i w:val="0"/>
          <w:color w:val="auto"/>
          <w:sz w:val="24"/>
          <w:szCs w:val="24"/>
        </w:rPr>
      </w:pPr>
      <w:bookmarkStart w:id="221" w:name="_Toc68761640"/>
      <w:r w:rsidRPr="00456014">
        <w:rPr>
          <w:i w:val="0"/>
          <w:color w:val="auto"/>
          <w:sz w:val="24"/>
          <w:szCs w:val="24"/>
        </w:rPr>
        <w:t xml:space="preserve">Figure </w:t>
      </w:r>
      <w:r w:rsidR="001342E5">
        <w:rPr>
          <w:i w:val="0"/>
          <w:color w:val="auto"/>
          <w:sz w:val="24"/>
          <w:szCs w:val="24"/>
        </w:rPr>
        <w:fldChar w:fldCharType="begin"/>
      </w:r>
      <w:r w:rsidR="001342E5">
        <w:rPr>
          <w:i w:val="0"/>
          <w:color w:val="auto"/>
          <w:sz w:val="24"/>
          <w:szCs w:val="24"/>
        </w:rPr>
        <w:instrText xml:space="preserve"> STYLEREF 1 \s </w:instrText>
      </w:r>
      <w:r w:rsidR="001342E5">
        <w:rPr>
          <w:i w:val="0"/>
          <w:color w:val="auto"/>
          <w:sz w:val="24"/>
          <w:szCs w:val="24"/>
        </w:rPr>
        <w:fldChar w:fldCharType="separate"/>
      </w:r>
      <w:r w:rsidR="00BD510E">
        <w:rPr>
          <w:i w:val="0"/>
          <w:noProof/>
          <w:color w:val="auto"/>
          <w:sz w:val="24"/>
          <w:szCs w:val="24"/>
        </w:rPr>
        <w:t>4</w:t>
      </w:r>
      <w:r w:rsidR="001342E5">
        <w:rPr>
          <w:i w:val="0"/>
          <w:color w:val="auto"/>
          <w:sz w:val="24"/>
          <w:szCs w:val="24"/>
        </w:rPr>
        <w:fldChar w:fldCharType="end"/>
      </w:r>
      <w:r w:rsidR="001342E5">
        <w:rPr>
          <w:i w:val="0"/>
          <w:color w:val="auto"/>
          <w:sz w:val="24"/>
          <w:szCs w:val="24"/>
        </w:rPr>
        <w:t>.</w:t>
      </w:r>
      <w:r w:rsidR="001342E5">
        <w:rPr>
          <w:i w:val="0"/>
          <w:color w:val="auto"/>
          <w:sz w:val="24"/>
          <w:szCs w:val="24"/>
        </w:rPr>
        <w:fldChar w:fldCharType="begin"/>
      </w:r>
      <w:r w:rsidR="001342E5">
        <w:rPr>
          <w:i w:val="0"/>
          <w:color w:val="auto"/>
          <w:sz w:val="24"/>
          <w:szCs w:val="24"/>
        </w:rPr>
        <w:instrText xml:space="preserve"> SEQ Figure \* ARABIC \s 1 </w:instrText>
      </w:r>
      <w:r w:rsidR="001342E5">
        <w:rPr>
          <w:i w:val="0"/>
          <w:color w:val="auto"/>
          <w:sz w:val="24"/>
          <w:szCs w:val="24"/>
        </w:rPr>
        <w:fldChar w:fldCharType="separate"/>
      </w:r>
      <w:r w:rsidR="00BD510E">
        <w:rPr>
          <w:i w:val="0"/>
          <w:noProof/>
          <w:color w:val="auto"/>
          <w:sz w:val="24"/>
          <w:szCs w:val="24"/>
        </w:rPr>
        <w:t>22</w:t>
      </w:r>
      <w:r w:rsidR="001342E5">
        <w:rPr>
          <w:i w:val="0"/>
          <w:color w:val="auto"/>
          <w:sz w:val="24"/>
          <w:szCs w:val="24"/>
        </w:rPr>
        <w:fldChar w:fldCharType="end"/>
      </w:r>
      <w:r w:rsidRPr="00456014">
        <w:rPr>
          <w:i w:val="0"/>
          <w:color w:val="auto"/>
          <w:sz w:val="24"/>
          <w:szCs w:val="24"/>
        </w:rPr>
        <w:t xml:space="preserve">: Pie-chart </w:t>
      </w:r>
      <w:r w:rsidR="0051576F">
        <w:rPr>
          <w:i w:val="0"/>
          <w:color w:val="auto"/>
          <w:sz w:val="24"/>
          <w:szCs w:val="24"/>
        </w:rPr>
        <w:t>of</w:t>
      </w:r>
      <w:r w:rsidRPr="00456014">
        <w:rPr>
          <w:i w:val="0"/>
          <w:color w:val="auto"/>
          <w:sz w:val="24"/>
          <w:szCs w:val="24"/>
        </w:rPr>
        <w:t xml:space="preserve"> </w:t>
      </w:r>
      <w:r w:rsidR="0051576F">
        <w:rPr>
          <w:i w:val="0"/>
          <w:color w:val="auto"/>
          <w:sz w:val="24"/>
          <w:szCs w:val="24"/>
        </w:rPr>
        <w:t xml:space="preserve">the </w:t>
      </w:r>
      <w:r w:rsidRPr="00456014">
        <w:rPr>
          <w:i w:val="0"/>
          <w:color w:val="auto"/>
          <w:sz w:val="24"/>
          <w:szCs w:val="24"/>
        </w:rPr>
        <w:t>physiographic, geology and climatic factors</w:t>
      </w:r>
      <w:r w:rsidR="0051576F">
        <w:rPr>
          <w:i w:val="0"/>
          <w:color w:val="auto"/>
          <w:sz w:val="24"/>
          <w:szCs w:val="24"/>
        </w:rPr>
        <w:t xml:space="preserve"> </w:t>
      </w:r>
      <w:r w:rsidR="0051576F" w:rsidRPr="00456014">
        <w:rPr>
          <w:i w:val="0"/>
          <w:color w:val="auto"/>
          <w:sz w:val="24"/>
          <w:szCs w:val="24"/>
        </w:rPr>
        <w:t>weightage</w:t>
      </w:r>
      <w:bookmarkEnd w:id="221"/>
    </w:p>
    <w:p w:rsidR="005B6890" w:rsidRPr="00456014" w:rsidRDefault="005C5B5D" w:rsidP="008D3D8E">
      <w:pPr>
        <w:pStyle w:val="Heading2"/>
        <w:numPr>
          <w:ilvl w:val="1"/>
          <w:numId w:val="3"/>
        </w:numPr>
        <w:ind w:hanging="540"/>
        <w:rPr>
          <w:szCs w:val="24"/>
        </w:rPr>
      </w:pPr>
      <w:bookmarkStart w:id="222" w:name="_Toc68025103"/>
      <w:bookmarkStart w:id="223" w:name="_Toc68761585"/>
      <w:r w:rsidRPr="00456014">
        <w:rPr>
          <w:szCs w:val="24"/>
        </w:rPr>
        <w:lastRenderedPageBreak/>
        <w:t xml:space="preserve">Delineation of </w:t>
      </w:r>
      <w:r w:rsidR="00C42FA8" w:rsidRPr="00456014">
        <w:rPr>
          <w:szCs w:val="24"/>
        </w:rPr>
        <w:t>Groundwater Potential Zones</w:t>
      </w:r>
      <w:bookmarkEnd w:id="222"/>
      <w:bookmarkEnd w:id="223"/>
    </w:p>
    <w:p w:rsidR="00233CD4" w:rsidRDefault="005533EC" w:rsidP="009426CC">
      <w:r w:rsidRPr="00456014">
        <w:t>T</w:t>
      </w:r>
      <w:r w:rsidR="00C71A85" w:rsidRPr="00456014">
        <w:t xml:space="preserve">he resulting groundwater potential index of the study area indicates five zones representing </w:t>
      </w:r>
      <w:r w:rsidR="00991326">
        <w:t>very high, high, moderate, poor</w:t>
      </w:r>
      <w:r w:rsidR="00C71A85" w:rsidRPr="00456014">
        <w:t xml:space="preserve"> and very poor groundwa</w:t>
      </w:r>
      <w:r w:rsidR="00560FD5">
        <w:t>ter potential areas</w:t>
      </w:r>
      <w:r w:rsidR="00C71A85" w:rsidRPr="00456014">
        <w:t xml:space="preserve">. The total areal extent of very high </w:t>
      </w:r>
      <w:r w:rsidR="003819BA">
        <w:t>GWPZ</w:t>
      </w:r>
      <w:r w:rsidR="00C71A85" w:rsidRPr="00456014">
        <w:t xml:space="preserve"> is 41 km</w:t>
      </w:r>
      <w:r w:rsidR="00C71A85" w:rsidRPr="00487E5A">
        <w:rPr>
          <w:vertAlign w:val="superscript"/>
        </w:rPr>
        <w:t>2</w:t>
      </w:r>
      <w:r w:rsidR="00560FD5">
        <w:t xml:space="preserve">. </w:t>
      </w:r>
      <w:r w:rsidR="00C71A85" w:rsidRPr="00456014">
        <w:t xml:space="preserve">A considerable extent of very high </w:t>
      </w:r>
      <w:r w:rsidR="00487E5A">
        <w:t>GWPZ</w:t>
      </w:r>
      <w:r w:rsidR="0060006D">
        <w:t xml:space="preserve"> is found in the S</w:t>
      </w:r>
      <w:r w:rsidR="00C71A85" w:rsidRPr="00456014">
        <w:t>outhwestern part of the study area. The high</w:t>
      </w:r>
      <w:r w:rsidR="0097448C">
        <w:t xml:space="preserve"> productive fractured, jointed </w:t>
      </w:r>
      <w:r w:rsidR="00C71A85" w:rsidRPr="00456014">
        <w:t>and porous volcanic aquifer of Nazret group stratoid silics and t</w:t>
      </w:r>
      <w:r w:rsidR="0097448C">
        <w:t>eltele basalt</w:t>
      </w:r>
      <w:r w:rsidR="00C71A85" w:rsidRPr="00456014">
        <w:t xml:space="preserve"> forming flat slope plain and valley landforms suit very high </w:t>
      </w:r>
      <w:r w:rsidR="005C6660">
        <w:t>GWPZ</w:t>
      </w:r>
      <w:r w:rsidR="00C71A85" w:rsidRPr="00456014">
        <w:t>.</w:t>
      </w:r>
      <w:r w:rsidR="006B40DF">
        <w:t xml:space="preserve"> </w:t>
      </w:r>
      <w:r w:rsidR="00233CD4">
        <w:t xml:space="preserve">The </w:t>
      </w:r>
      <w:r w:rsidR="00233CD4" w:rsidRPr="00233CD4">
        <w:t>relatively high and co</w:t>
      </w:r>
      <w:r w:rsidR="00AC13ED">
        <w:t xml:space="preserve">nstant discharge rate </w:t>
      </w:r>
      <w:r w:rsidR="00233CD4" w:rsidRPr="00233CD4">
        <w:t>multipl</w:t>
      </w:r>
      <w:r w:rsidR="00233CD4">
        <w:t>e eye springs emerging from those</w:t>
      </w:r>
      <w:r w:rsidR="00233CD4" w:rsidRPr="00233CD4">
        <w:t xml:space="preserve"> unit </w:t>
      </w:r>
      <w:r w:rsidR="00D802DF">
        <w:t>were</w:t>
      </w:r>
      <w:r w:rsidR="00233CD4">
        <w:t xml:space="preserve"> developed for </w:t>
      </w:r>
      <w:r w:rsidR="00584C5B" w:rsidRPr="00233CD4">
        <w:t xml:space="preserve">Dinsho town </w:t>
      </w:r>
      <w:r w:rsidR="00584C5B">
        <w:t xml:space="preserve">and </w:t>
      </w:r>
      <w:r w:rsidR="00233CD4" w:rsidRPr="00233CD4">
        <w:t>Bale Mountain National Park water supply</w:t>
      </w:r>
      <w:r w:rsidR="00F4417D">
        <w:t xml:space="preserve"> </w:t>
      </w:r>
      <w:r w:rsidR="00F4417D">
        <w:fldChar w:fldCharType="begin" w:fldLock="1"/>
      </w:r>
      <w:r w:rsidR="00A309A8">
        <w:instrText>ADDIN CSL_CITATION {"citationItems":[{"id":"ITEM-1","itemData":{"author":[{"dropping-particle":"","family":"Kiflu","given":"Astatke","non-dropping-particle":"","parse-names":false,"suffix":""},{"dropping-particle":"","family":"Tafa","given":"Yosef","non-dropping-particle":"","parse-names":false,"suffix":""},{"dropping-particle":"","family":"Mulugeta","given":"Yonas","non-dropping-particle":"","parse-names":false,"suffix":""}],"id":"ITEM-1","issued":{"date-parts":[["2009"]]},"number-of-pages":"1-74","publisher-place":"Addis Abeba, Ethiopia","title":"Hydrogeological mapping of part of Asela map sheet (NB 37-3) South eastern high land of Ethiopia","type":"report"},"uris":["http://www.mendeley.com/documents/?uuid=00ac486c-3b45-4648-a467-648ee30a24fa","http://www.mendeley.com/documents/?uuid=b3043dd7-ee9c-4f47-9f3e-21b95483fb89"]}],"mendeley":{"formattedCitation":"(Kiflu et al., 2009)","plainTextFormattedCitation":"(Kiflu et al., 2009)","previouslyFormattedCitation":"(Kiflu et al., 2009)"},"properties":{"noteIndex":0},"schema":"https://github.com/citation-style-language/schema/raw/master/csl-citation.json"}</w:instrText>
      </w:r>
      <w:r w:rsidR="00F4417D">
        <w:fldChar w:fldCharType="separate"/>
      </w:r>
      <w:r w:rsidR="00F4417D" w:rsidRPr="00F4417D">
        <w:rPr>
          <w:noProof/>
        </w:rPr>
        <w:t>(Kiflu et al., 2009)</w:t>
      </w:r>
      <w:r w:rsidR="00F4417D">
        <w:fldChar w:fldCharType="end"/>
      </w:r>
      <w:r w:rsidR="00233CD4" w:rsidRPr="00233CD4">
        <w:t>.</w:t>
      </w:r>
    </w:p>
    <w:p w:rsidR="00D24CA9" w:rsidRPr="00456014" w:rsidRDefault="00D24CA9" w:rsidP="009426CC">
      <w:pPr>
        <w:pStyle w:val="Caption"/>
        <w:keepNext/>
        <w:spacing w:before="120" w:after="120" w:line="360" w:lineRule="auto"/>
        <w:rPr>
          <w:color w:val="auto"/>
          <w:sz w:val="24"/>
          <w:szCs w:val="24"/>
        </w:rPr>
      </w:pPr>
      <w:bookmarkStart w:id="224" w:name="_Toc68761608"/>
      <w:r w:rsidRPr="00456014">
        <w:rPr>
          <w:i w:val="0"/>
          <w:color w:val="auto"/>
          <w:sz w:val="24"/>
          <w:szCs w:val="24"/>
        </w:rPr>
        <w:t xml:space="preserve">Table </w:t>
      </w:r>
      <w:r w:rsidRPr="00456014">
        <w:rPr>
          <w:i w:val="0"/>
          <w:color w:val="auto"/>
          <w:sz w:val="24"/>
          <w:szCs w:val="24"/>
        </w:rPr>
        <w:fldChar w:fldCharType="begin"/>
      </w:r>
      <w:r w:rsidRPr="00456014">
        <w:rPr>
          <w:i w:val="0"/>
          <w:color w:val="auto"/>
          <w:sz w:val="24"/>
          <w:szCs w:val="24"/>
        </w:rPr>
        <w:instrText xml:space="preserve"> STYLEREF 1 \s </w:instrText>
      </w:r>
      <w:r w:rsidRPr="00456014">
        <w:rPr>
          <w:i w:val="0"/>
          <w:color w:val="auto"/>
          <w:sz w:val="24"/>
          <w:szCs w:val="24"/>
        </w:rPr>
        <w:fldChar w:fldCharType="separate"/>
      </w:r>
      <w:r w:rsidR="00BD510E">
        <w:rPr>
          <w:i w:val="0"/>
          <w:noProof/>
          <w:color w:val="auto"/>
          <w:sz w:val="24"/>
          <w:szCs w:val="24"/>
        </w:rPr>
        <w:t>4</w:t>
      </w:r>
      <w:r w:rsidRPr="00456014">
        <w:rPr>
          <w:i w:val="0"/>
          <w:color w:val="auto"/>
          <w:sz w:val="24"/>
          <w:szCs w:val="24"/>
        </w:rPr>
        <w:fldChar w:fldCharType="end"/>
      </w:r>
      <w:r w:rsidRPr="00456014">
        <w:rPr>
          <w:i w:val="0"/>
          <w:color w:val="auto"/>
          <w:sz w:val="24"/>
          <w:szCs w:val="24"/>
        </w:rPr>
        <w:t>.</w:t>
      </w:r>
      <w:r w:rsidRPr="00456014">
        <w:rPr>
          <w:i w:val="0"/>
          <w:color w:val="auto"/>
          <w:sz w:val="24"/>
          <w:szCs w:val="24"/>
        </w:rPr>
        <w:fldChar w:fldCharType="begin"/>
      </w:r>
      <w:r w:rsidRPr="00456014">
        <w:rPr>
          <w:i w:val="0"/>
          <w:color w:val="auto"/>
          <w:sz w:val="24"/>
          <w:szCs w:val="24"/>
        </w:rPr>
        <w:instrText xml:space="preserve"> SEQ Table \* ARABIC \s 1 </w:instrText>
      </w:r>
      <w:r w:rsidRPr="00456014">
        <w:rPr>
          <w:i w:val="0"/>
          <w:color w:val="auto"/>
          <w:sz w:val="24"/>
          <w:szCs w:val="24"/>
        </w:rPr>
        <w:fldChar w:fldCharType="separate"/>
      </w:r>
      <w:r w:rsidR="00BD510E">
        <w:rPr>
          <w:i w:val="0"/>
          <w:noProof/>
          <w:color w:val="auto"/>
          <w:sz w:val="24"/>
          <w:szCs w:val="24"/>
        </w:rPr>
        <w:t>14</w:t>
      </w:r>
      <w:r w:rsidRPr="00456014">
        <w:rPr>
          <w:i w:val="0"/>
          <w:color w:val="auto"/>
          <w:sz w:val="24"/>
          <w:szCs w:val="24"/>
        </w:rPr>
        <w:fldChar w:fldCharType="end"/>
      </w:r>
      <w:r w:rsidRPr="00456014">
        <w:rPr>
          <w:i w:val="0"/>
          <w:color w:val="auto"/>
          <w:sz w:val="24"/>
          <w:szCs w:val="24"/>
        </w:rPr>
        <w:t>: Groundwater potential zone</w:t>
      </w:r>
      <w:bookmarkEnd w:id="224"/>
    </w:p>
    <w:tbl>
      <w:tblPr>
        <w:tblW w:w="5000" w:type="pct"/>
        <w:jc w:val="center"/>
        <w:tblBorders>
          <w:top w:val="single" w:sz="4" w:space="0" w:color="auto"/>
          <w:bottom w:val="single" w:sz="4" w:space="0" w:color="auto"/>
        </w:tblBorders>
        <w:tblLook w:val="04A0" w:firstRow="1" w:lastRow="0" w:firstColumn="1" w:lastColumn="0" w:noHBand="0" w:noVBand="1"/>
      </w:tblPr>
      <w:tblGrid>
        <w:gridCol w:w="1118"/>
        <w:gridCol w:w="1840"/>
        <w:gridCol w:w="1240"/>
        <w:gridCol w:w="1474"/>
        <w:gridCol w:w="3328"/>
      </w:tblGrid>
      <w:tr w:rsidR="00D24CA9" w:rsidRPr="00F579CA" w:rsidTr="00F5497D">
        <w:trPr>
          <w:trHeight w:val="188"/>
          <w:jc w:val="center"/>
        </w:trPr>
        <w:tc>
          <w:tcPr>
            <w:tcW w:w="621" w:type="pct"/>
            <w:tcBorders>
              <w:top w:val="single" w:sz="4" w:space="0" w:color="auto"/>
              <w:bottom w:val="single" w:sz="4" w:space="0" w:color="auto"/>
            </w:tcBorders>
            <w:shd w:val="clear" w:color="auto" w:fill="auto"/>
          </w:tcPr>
          <w:p w:rsidR="00D24CA9" w:rsidRPr="00F579CA" w:rsidRDefault="00D24CA9" w:rsidP="00F5497D">
            <w:pPr>
              <w:spacing w:before="0" w:after="0"/>
              <w:jc w:val="center"/>
            </w:pPr>
            <w:r w:rsidRPr="00F579CA">
              <w:t>S.no</w:t>
            </w:r>
          </w:p>
        </w:tc>
        <w:tc>
          <w:tcPr>
            <w:tcW w:w="1022" w:type="pct"/>
            <w:tcBorders>
              <w:top w:val="single" w:sz="4" w:space="0" w:color="auto"/>
              <w:bottom w:val="single" w:sz="4" w:space="0" w:color="auto"/>
            </w:tcBorders>
            <w:shd w:val="clear" w:color="auto" w:fill="auto"/>
            <w:noWrap/>
            <w:hideMark/>
          </w:tcPr>
          <w:p w:rsidR="00D24CA9" w:rsidRPr="00F579CA" w:rsidRDefault="00D24CA9" w:rsidP="00F5497D">
            <w:pPr>
              <w:spacing w:before="0" w:after="0"/>
              <w:jc w:val="center"/>
            </w:pPr>
            <w:r w:rsidRPr="00F579CA">
              <w:t>Evaluation scale</w:t>
            </w:r>
          </w:p>
        </w:tc>
        <w:tc>
          <w:tcPr>
            <w:tcW w:w="689" w:type="pct"/>
            <w:tcBorders>
              <w:top w:val="single" w:sz="4" w:space="0" w:color="auto"/>
              <w:bottom w:val="single" w:sz="4" w:space="0" w:color="auto"/>
            </w:tcBorders>
            <w:shd w:val="clear" w:color="auto" w:fill="auto"/>
            <w:noWrap/>
            <w:hideMark/>
          </w:tcPr>
          <w:p w:rsidR="00D24CA9" w:rsidRPr="00F579CA" w:rsidRDefault="00D24CA9" w:rsidP="00F5497D">
            <w:pPr>
              <w:spacing w:before="0" w:after="0"/>
              <w:jc w:val="center"/>
            </w:pPr>
            <w:r w:rsidRPr="00F579CA">
              <w:t>GWPZ</w:t>
            </w:r>
          </w:p>
        </w:tc>
        <w:tc>
          <w:tcPr>
            <w:tcW w:w="819" w:type="pct"/>
            <w:tcBorders>
              <w:top w:val="single" w:sz="4" w:space="0" w:color="auto"/>
              <w:bottom w:val="single" w:sz="4" w:space="0" w:color="auto"/>
            </w:tcBorders>
            <w:shd w:val="clear" w:color="auto" w:fill="auto"/>
            <w:noWrap/>
            <w:hideMark/>
          </w:tcPr>
          <w:p w:rsidR="00D24CA9" w:rsidRPr="00F579CA" w:rsidRDefault="00D24CA9" w:rsidP="00BA7674">
            <w:pPr>
              <w:spacing w:before="0" w:after="0"/>
              <w:jc w:val="center"/>
            </w:pPr>
            <w:r w:rsidRPr="00F579CA">
              <w:t>Area (</w:t>
            </w:r>
            <w:r w:rsidR="00BA7674" w:rsidRPr="00F579CA">
              <w:t>k</w:t>
            </w:r>
            <w:r w:rsidRPr="00F579CA">
              <w:t>m2)</w:t>
            </w:r>
          </w:p>
        </w:tc>
        <w:tc>
          <w:tcPr>
            <w:tcW w:w="1849" w:type="pct"/>
            <w:tcBorders>
              <w:top w:val="single" w:sz="4" w:space="0" w:color="auto"/>
              <w:bottom w:val="single" w:sz="4" w:space="0" w:color="auto"/>
            </w:tcBorders>
            <w:shd w:val="clear" w:color="auto" w:fill="auto"/>
            <w:noWrap/>
            <w:hideMark/>
          </w:tcPr>
          <w:p w:rsidR="00D24CA9" w:rsidRPr="00F579CA" w:rsidRDefault="00D24CA9" w:rsidP="00F5497D">
            <w:pPr>
              <w:spacing w:before="0" w:after="0"/>
              <w:jc w:val="center"/>
            </w:pPr>
            <w:r w:rsidRPr="00F579CA">
              <w:t>Percentage of the total area (%)</w:t>
            </w:r>
          </w:p>
        </w:tc>
      </w:tr>
      <w:tr w:rsidR="00D24CA9" w:rsidRPr="00F579CA" w:rsidTr="00F5497D">
        <w:trPr>
          <w:trHeight w:val="125"/>
          <w:jc w:val="center"/>
        </w:trPr>
        <w:tc>
          <w:tcPr>
            <w:tcW w:w="621" w:type="pct"/>
            <w:tcBorders>
              <w:top w:val="single" w:sz="4" w:space="0" w:color="auto"/>
            </w:tcBorders>
            <w:shd w:val="clear" w:color="auto" w:fill="auto"/>
          </w:tcPr>
          <w:p w:rsidR="00D24CA9" w:rsidRPr="00F579CA" w:rsidRDefault="00D24CA9" w:rsidP="00F5497D">
            <w:pPr>
              <w:spacing w:before="0" w:after="0"/>
            </w:pPr>
            <w:r w:rsidRPr="00F579CA">
              <w:t>1</w:t>
            </w:r>
          </w:p>
        </w:tc>
        <w:tc>
          <w:tcPr>
            <w:tcW w:w="1022" w:type="pct"/>
            <w:tcBorders>
              <w:top w:val="single" w:sz="4" w:space="0" w:color="auto"/>
            </w:tcBorders>
            <w:shd w:val="clear" w:color="auto" w:fill="auto"/>
            <w:noWrap/>
          </w:tcPr>
          <w:p w:rsidR="00D24CA9" w:rsidRPr="00F579CA" w:rsidRDefault="00D24CA9" w:rsidP="00F5497D">
            <w:pPr>
              <w:spacing w:before="0" w:after="0"/>
            </w:pPr>
            <w:r w:rsidRPr="00F579CA">
              <w:t>5</w:t>
            </w:r>
          </w:p>
        </w:tc>
        <w:tc>
          <w:tcPr>
            <w:tcW w:w="689" w:type="pct"/>
            <w:tcBorders>
              <w:top w:val="single" w:sz="4" w:space="0" w:color="auto"/>
            </w:tcBorders>
            <w:shd w:val="clear" w:color="auto" w:fill="auto"/>
            <w:noWrap/>
          </w:tcPr>
          <w:p w:rsidR="00D24CA9" w:rsidRPr="00F579CA" w:rsidRDefault="00D24CA9" w:rsidP="00F5497D">
            <w:pPr>
              <w:spacing w:before="0" w:after="0"/>
            </w:pPr>
            <w:r w:rsidRPr="00F579CA">
              <w:t>Very high</w:t>
            </w:r>
          </w:p>
        </w:tc>
        <w:tc>
          <w:tcPr>
            <w:tcW w:w="819" w:type="pct"/>
            <w:tcBorders>
              <w:top w:val="single" w:sz="4" w:space="0" w:color="auto"/>
            </w:tcBorders>
            <w:shd w:val="clear" w:color="auto" w:fill="auto"/>
            <w:noWrap/>
          </w:tcPr>
          <w:p w:rsidR="00D24CA9" w:rsidRPr="00F579CA" w:rsidRDefault="00D24CA9" w:rsidP="00F5497D">
            <w:pPr>
              <w:spacing w:before="0" w:after="0"/>
            </w:pPr>
            <w:r w:rsidRPr="00F579CA">
              <w:t>41</w:t>
            </w:r>
          </w:p>
        </w:tc>
        <w:tc>
          <w:tcPr>
            <w:tcW w:w="1849" w:type="pct"/>
            <w:tcBorders>
              <w:top w:val="single" w:sz="4" w:space="0" w:color="auto"/>
            </w:tcBorders>
            <w:shd w:val="clear" w:color="auto" w:fill="auto"/>
            <w:noWrap/>
          </w:tcPr>
          <w:p w:rsidR="00D24CA9" w:rsidRPr="00F579CA" w:rsidRDefault="00D24CA9" w:rsidP="00F5497D">
            <w:pPr>
              <w:spacing w:before="0" w:after="0"/>
            </w:pPr>
            <w:r w:rsidRPr="00F579CA">
              <w:t>0.92</w:t>
            </w:r>
          </w:p>
        </w:tc>
      </w:tr>
      <w:tr w:rsidR="00D24CA9" w:rsidRPr="00F579CA" w:rsidTr="00F5497D">
        <w:trPr>
          <w:trHeight w:val="300"/>
          <w:jc w:val="center"/>
        </w:trPr>
        <w:tc>
          <w:tcPr>
            <w:tcW w:w="621" w:type="pct"/>
            <w:shd w:val="clear" w:color="auto" w:fill="auto"/>
          </w:tcPr>
          <w:p w:rsidR="00D24CA9" w:rsidRPr="00F579CA" w:rsidRDefault="00D24CA9" w:rsidP="00F5497D">
            <w:pPr>
              <w:spacing w:before="0" w:after="0"/>
            </w:pPr>
            <w:r w:rsidRPr="00F579CA">
              <w:t>2</w:t>
            </w:r>
          </w:p>
        </w:tc>
        <w:tc>
          <w:tcPr>
            <w:tcW w:w="1022" w:type="pct"/>
            <w:shd w:val="clear" w:color="auto" w:fill="auto"/>
            <w:noWrap/>
          </w:tcPr>
          <w:p w:rsidR="00D24CA9" w:rsidRPr="00F579CA" w:rsidRDefault="00D24CA9" w:rsidP="00F5497D">
            <w:pPr>
              <w:spacing w:before="0" w:after="0"/>
            </w:pPr>
            <w:r w:rsidRPr="00F579CA">
              <w:t>4</w:t>
            </w:r>
          </w:p>
        </w:tc>
        <w:tc>
          <w:tcPr>
            <w:tcW w:w="689" w:type="pct"/>
            <w:shd w:val="clear" w:color="auto" w:fill="auto"/>
            <w:noWrap/>
          </w:tcPr>
          <w:p w:rsidR="00D24CA9" w:rsidRPr="00F579CA" w:rsidRDefault="00D24CA9" w:rsidP="00F5497D">
            <w:pPr>
              <w:spacing w:before="0" w:after="0"/>
            </w:pPr>
            <w:r w:rsidRPr="00F579CA">
              <w:t>High</w:t>
            </w:r>
          </w:p>
        </w:tc>
        <w:tc>
          <w:tcPr>
            <w:tcW w:w="819" w:type="pct"/>
            <w:shd w:val="clear" w:color="auto" w:fill="auto"/>
            <w:noWrap/>
          </w:tcPr>
          <w:p w:rsidR="00D24CA9" w:rsidRPr="00F579CA" w:rsidRDefault="00D24CA9" w:rsidP="00F5497D">
            <w:pPr>
              <w:spacing w:before="0" w:after="0"/>
            </w:pPr>
            <w:r w:rsidRPr="00F579CA">
              <w:t>2032</w:t>
            </w:r>
          </w:p>
        </w:tc>
        <w:tc>
          <w:tcPr>
            <w:tcW w:w="1849" w:type="pct"/>
            <w:shd w:val="clear" w:color="auto" w:fill="auto"/>
            <w:noWrap/>
          </w:tcPr>
          <w:p w:rsidR="00D24CA9" w:rsidRPr="00F579CA" w:rsidRDefault="00D24CA9" w:rsidP="00F5497D">
            <w:pPr>
              <w:spacing w:before="0" w:after="0"/>
            </w:pPr>
            <w:r w:rsidRPr="00F579CA">
              <w:t>46.06</w:t>
            </w:r>
          </w:p>
        </w:tc>
      </w:tr>
      <w:tr w:rsidR="00D24CA9" w:rsidRPr="00F579CA" w:rsidTr="00F5497D">
        <w:trPr>
          <w:trHeight w:val="300"/>
          <w:jc w:val="center"/>
        </w:trPr>
        <w:tc>
          <w:tcPr>
            <w:tcW w:w="621" w:type="pct"/>
            <w:shd w:val="clear" w:color="auto" w:fill="auto"/>
          </w:tcPr>
          <w:p w:rsidR="00D24CA9" w:rsidRPr="00F579CA" w:rsidRDefault="00D24CA9" w:rsidP="00F5497D">
            <w:pPr>
              <w:spacing w:before="0" w:after="0"/>
            </w:pPr>
            <w:r w:rsidRPr="00F579CA">
              <w:t>3</w:t>
            </w:r>
          </w:p>
        </w:tc>
        <w:tc>
          <w:tcPr>
            <w:tcW w:w="1022" w:type="pct"/>
            <w:shd w:val="clear" w:color="auto" w:fill="auto"/>
            <w:noWrap/>
          </w:tcPr>
          <w:p w:rsidR="00D24CA9" w:rsidRPr="00F579CA" w:rsidRDefault="00D24CA9" w:rsidP="00F5497D">
            <w:pPr>
              <w:spacing w:before="0" w:after="0"/>
            </w:pPr>
            <w:r w:rsidRPr="00F579CA">
              <w:t>3</w:t>
            </w:r>
          </w:p>
        </w:tc>
        <w:tc>
          <w:tcPr>
            <w:tcW w:w="689" w:type="pct"/>
            <w:shd w:val="clear" w:color="auto" w:fill="auto"/>
            <w:noWrap/>
          </w:tcPr>
          <w:p w:rsidR="00D24CA9" w:rsidRPr="00F579CA" w:rsidRDefault="00D24CA9" w:rsidP="00F5497D">
            <w:pPr>
              <w:spacing w:before="0" w:after="0"/>
            </w:pPr>
            <w:r w:rsidRPr="00F579CA">
              <w:t>Moderate</w:t>
            </w:r>
          </w:p>
        </w:tc>
        <w:tc>
          <w:tcPr>
            <w:tcW w:w="819" w:type="pct"/>
            <w:shd w:val="clear" w:color="auto" w:fill="auto"/>
            <w:noWrap/>
          </w:tcPr>
          <w:p w:rsidR="00D24CA9" w:rsidRPr="00F579CA" w:rsidRDefault="00D24CA9" w:rsidP="00F5497D">
            <w:pPr>
              <w:spacing w:before="0" w:after="0"/>
            </w:pPr>
            <w:r w:rsidRPr="00F579CA">
              <w:t>2088</w:t>
            </w:r>
          </w:p>
        </w:tc>
        <w:tc>
          <w:tcPr>
            <w:tcW w:w="1849" w:type="pct"/>
            <w:shd w:val="clear" w:color="auto" w:fill="auto"/>
            <w:noWrap/>
          </w:tcPr>
          <w:p w:rsidR="00D24CA9" w:rsidRPr="00F579CA" w:rsidRDefault="00D24CA9" w:rsidP="00F5497D">
            <w:pPr>
              <w:spacing w:before="0" w:after="0"/>
            </w:pPr>
            <w:r w:rsidRPr="00F579CA">
              <w:t>47.31</w:t>
            </w:r>
          </w:p>
        </w:tc>
      </w:tr>
      <w:tr w:rsidR="00D24CA9" w:rsidRPr="00F579CA" w:rsidTr="00F5497D">
        <w:trPr>
          <w:trHeight w:val="440"/>
          <w:jc w:val="center"/>
        </w:trPr>
        <w:tc>
          <w:tcPr>
            <w:tcW w:w="621" w:type="pct"/>
            <w:shd w:val="clear" w:color="auto" w:fill="auto"/>
          </w:tcPr>
          <w:p w:rsidR="00D24CA9" w:rsidRPr="00F579CA" w:rsidRDefault="00D24CA9" w:rsidP="00F5497D">
            <w:pPr>
              <w:spacing w:before="0" w:after="0"/>
            </w:pPr>
            <w:r w:rsidRPr="00F579CA">
              <w:t>4</w:t>
            </w:r>
          </w:p>
        </w:tc>
        <w:tc>
          <w:tcPr>
            <w:tcW w:w="1022" w:type="pct"/>
            <w:shd w:val="clear" w:color="auto" w:fill="auto"/>
            <w:noWrap/>
          </w:tcPr>
          <w:p w:rsidR="00D24CA9" w:rsidRPr="00F579CA" w:rsidRDefault="00D24CA9" w:rsidP="00F5497D">
            <w:pPr>
              <w:spacing w:before="0" w:after="0"/>
            </w:pPr>
            <w:r w:rsidRPr="00F579CA">
              <w:t>2</w:t>
            </w:r>
          </w:p>
        </w:tc>
        <w:tc>
          <w:tcPr>
            <w:tcW w:w="689" w:type="pct"/>
            <w:shd w:val="clear" w:color="auto" w:fill="auto"/>
            <w:noWrap/>
          </w:tcPr>
          <w:p w:rsidR="00D24CA9" w:rsidRPr="00F579CA" w:rsidRDefault="00D24CA9" w:rsidP="00F5497D">
            <w:pPr>
              <w:spacing w:before="0" w:after="0"/>
            </w:pPr>
            <w:r w:rsidRPr="00F579CA">
              <w:t>Poor</w:t>
            </w:r>
          </w:p>
        </w:tc>
        <w:tc>
          <w:tcPr>
            <w:tcW w:w="819" w:type="pct"/>
            <w:shd w:val="clear" w:color="auto" w:fill="auto"/>
            <w:noWrap/>
          </w:tcPr>
          <w:p w:rsidR="00D24CA9" w:rsidRPr="00F579CA" w:rsidRDefault="00D24CA9" w:rsidP="00F5497D">
            <w:pPr>
              <w:spacing w:before="0" w:after="0"/>
            </w:pPr>
            <w:r w:rsidRPr="00F579CA">
              <w:t>252</w:t>
            </w:r>
          </w:p>
        </w:tc>
        <w:tc>
          <w:tcPr>
            <w:tcW w:w="1849" w:type="pct"/>
            <w:shd w:val="clear" w:color="auto" w:fill="auto"/>
            <w:noWrap/>
          </w:tcPr>
          <w:p w:rsidR="00D24CA9" w:rsidRPr="00F579CA" w:rsidRDefault="00D24CA9" w:rsidP="00F5497D">
            <w:pPr>
              <w:spacing w:before="0" w:after="0"/>
            </w:pPr>
            <w:r w:rsidRPr="00F579CA">
              <w:t>5.71</w:t>
            </w:r>
          </w:p>
        </w:tc>
      </w:tr>
      <w:tr w:rsidR="00D24CA9" w:rsidRPr="00F579CA" w:rsidTr="00F5497D">
        <w:trPr>
          <w:trHeight w:val="224"/>
          <w:jc w:val="center"/>
        </w:trPr>
        <w:tc>
          <w:tcPr>
            <w:tcW w:w="621" w:type="pct"/>
            <w:shd w:val="clear" w:color="auto" w:fill="auto"/>
          </w:tcPr>
          <w:p w:rsidR="00D24CA9" w:rsidRPr="00F579CA" w:rsidRDefault="00D24CA9" w:rsidP="00F5497D">
            <w:pPr>
              <w:spacing w:before="0" w:after="0"/>
            </w:pPr>
            <w:r w:rsidRPr="00F579CA">
              <w:t>5</w:t>
            </w:r>
          </w:p>
        </w:tc>
        <w:tc>
          <w:tcPr>
            <w:tcW w:w="1022" w:type="pct"/>
            <w:shd w:val="clear" w:color="auto" w:fill="auto"/>
            <w:noWrap/>
          </w:tcPr>
          <w:p w:rsidR="00D24CA9" w:rsidRPr="00F579CA" w:rsidRDefault="00D24CA9" w:rsidP="00F5497D">
            <w:pPr>
              <w:spacing w:before="0" w:after="0"/>
            </w:pPr>
            <w:r w:rsidRPr="00F579CA">
              <w:t>1</w:t>
            </w:r>
          </w:p>
        </w:tc>
        <w:tc>
          <w:tcPr>
            <w:tcW w:w="689" w:type="pct"/>
            <w:shd w:val="clear" w:color="auto" w:fill="auto"/>
            <w:noWrap/>
          </w:tcPr>
          <w:p w:rsidR="00D24CA9" w:rsidRPr="00F579CA" w:rsidRDefault="00D24CA9" w:rsidP="00F5497D">
            <w:pPr>
              <w:spacing w:before="0" w:after="0"/>
            </w:pPr>
            <w:r w:rsidRPr="00F579CA">
              <w:t>Very Poor</w:t>
            </w:r>
          </w:p>
        </w:tc>
        <w:tc>
          <w:tcPr>
            <w:tcW w:w="819" w:type="pct"/>
            <w:shd w:val="clear" w:color="auto" w:fill="auto"/>
            <w:noWrap/>
          </w:tcPr>
          <w:p w:rsidR="00D24CA9" w:rsidRPr="00F579CA" w:rsidRDefault="00D24CA9" w:rsidP="00F5497D">
            <w:pPr>
              <w:spacing w:before="0" w:after="0"/>
            </w:pPr>
            <w:r w:rsidRPr="00F579CA">
              <w:t>0.142</w:t>
            </w:r>
          </w:p>
        </w:tc>
        <w:tc>
          <w:tcPr>
            <w:tcW w:w="1849" w:type="pct"/>
            <w:shd w:val="clear" w:color="auto" w:fill="auto"/>
            <w:noWrap/>
          </w:tcPr>
          <w:p w:rsidR="00D24CA9" w:rsidRPr="00F579CA" w:rsidRDefault="00D24CA9" w:rsidP="00F5497D">
            <w:pPr>
              <w:spacing w:before="0" w:after="0"/>
            </w:pPr>
            <w:r w:rsidRPr="00F579CA">
              <w:t>0.0032</w:t>
            </w:r>
          </w:p>
        </w:tc>
      </w:tr>
    </w:tbl>
    <w:p w:rsidR="00102BCD" w:rsidRPr="00456014" w:rsidRDefault="009C09B5" w:rsidP="009426CC">
      <w:pPr>
        <w:jc w:val="center"/>
      </w:pPr>
      <w:r w:rsidRPr="00456014">
        <w:rPr>
          <w:noProof/>
        </w:rPr>
        <w:drawing>
          <wp:inline distT="0" distB="0" distL="0" distR="0" wp14:anchorId="0C29D17E" wp14:editId="3B568FD0">
            <wp:extent cx="5257800" cy="3717485"/>
            <wp:effectExtent l="19050" t="19050" r="19050" b="16510"/>
            <wp:docPr id="35" name="Picture 35" descr="C:\Users\Abdul Gafar\Desktop\Report_MXD_JPEG\GWP\GWP_OBO\GWP_08_06_13.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dul Gafar\Desktop\Report_MXD_JPEG\GWP\GWP_OBO\GWP_08_06_13.bmp"/>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292305" cy="3741881"/>
                    </a:xfrm>
                    <a:prstGeom prst="rect">
                      <a:avLst/>
                    </a:prstGeom>
                    <a:noFill/>
                    <a:ln w="12700">
                      <a:solidFill>
                        <a:schemeClr val="tx1"/>
                      </a:solidFill>
                    </a:ln>
                  </pic:spPr>
                </pic:pic>
              </a:graphicData>
            </a:graphic>
          </wp:inline>
        </w:drawing>
      </w:r>
    </w:p>
    <w:p w:rsidR="00102BCD" w:rsidRDefault="00C267B4" w:rsidP="003819BA">
      <w:bookmarkStart w:id="225" w:name="_Toc68761641"/>
      <w:r w:rsidRPr="00456014">
        <w:t>Figure</w:t>
      </w:r>
      <w:r w:rsidR="00102BCD" w:rsidRPr="00456014">
        <w:t xml:space="preserve"> </w:t>
      </w:r>
      <w:r w:rsidR="00515F3B">
        <w:rPr>
          <w:noProof/>
        </w:rPr>
        <w:fldChar w:fldCharType="begin"/>
      </w:r>
      <w:r w:rsidR="00515F3B">
        <w:rPr>
          <w:noProof/>
        </w:rPr>
        <w:instrText xml:space="preserve"> STYLEREF 1 \s </w:instrText>
      </w:r>
      <w:r w:rsidR="00515F3B">
        <w:rPr>
          <w:noProof/>
        </w:rPr>
        <w:fldChar w:fldCharType="separate"/>
      </w:r>
      <w:r w:rsidR="00BD510E">
        <w:rPr>
          <w:noProof/>
        </w:rPr>
        <w:t>4</w:t>
      </w:r>
      <w:r w:rsidR="00515F3B">
        <w:rPr>
          <w:noProof/>
        </w:rPr>
        <w:fldChar w:fldCharType="end"/>
      </w:r>
      <w:r w:rsidR="001342E5">
        <w:t>.</w:t>
      </w:r>
      <w:r w:rsidR="00515F3B">
        <w:rPr>
          <w:noProof/>
        </w:rPr>
        <w:fldChar w:fldCharType="begin"/>
      </w:r>
      <w:r w:rsidR="00515F3B">
        <w:rPr>
          <w:noProof/>
        </w:rPr>
        <w:instrText xml:space="preserve"> SEQ Figure \* ARABIC \s 1 </w:instrText>
      </w:r>
      <w:r w:rsidR="00515F3B">
        <w:rPr>
          <w:noProof/>
        </w:rPr>
        <w:fldChar w:fldCharType="separate"/>
      </w:r>
      <w:r w:rsidR="00BD510E">
        <w:rPr>
          <w:noProof/>
        </w:rPr>
        <w:t>23</w:t>
      </w:r>
      <w:r w:rsidR="00515F3B">
        <w:rPr>
          <w:noProof/>
        </w:rPr>
        <w:fldChar w:fldCharType="end"/>
      </w:r>
      <w:r w:rsidR="00102BCD" w:rsidRPr="00456014">
        <w:t xml:space="preserve">: The groundwater potential </w:t>
      </w:r>
      <w:r w:rsidR="0075652F" w:rsidRPr="00456014">
        <w:t xml:space="preserve">zone </w:t>
      </w:r>
      <w:r w:rsidR="00102BCD" w:rsidRPr="00456014">
        <w:t>map</w:t>
      </w:r>
      <w:bookmarkEnd w:id="225"/>
    </w:p>
    <w:p w:rsidR="00560FD5" w:rsidRDefault="00560FD5" w:rsidP="003819BA">
      <w:r w:rsidRPr="00560FD5">
        <w:lastRenderedPageBreak/>
        <w:t>The foothills of lower plateau volcanic terrains formed by volcanic shields are characterized by high lineament density. These areas are favorable for the emergence of groundwater as springs</w:t>
      </w:r>
      <w:r>
        <w:t xml:space="preserve">. </w:t>
      </w:r>
      <w:r w:rsidR="00EF4A28" w:rsidRPr="00456014">
        <w:t>Areas following the alluvial plain of the Weyib River course classified under high GWPZ, while the subsequent edge is characterized by mod</w:t>
      </w:r>
      <w:r w:rsidR="00EF4A28">
        <w:t>erate GWPZ’s.</w:t>
      </w:r>
      <w:bookmarkStart w:id="226" w:name="_Toc60507775"/>
      <w:r w:rsidR="00EF4A28">
        <w:t xml:space="preserve"> </w:t>
      </w:r>
      <w:r w:rsidR="00A2749F">
        <w:t xml:space="preserve">A small area of </w:t>
      </w:r>
      <w:r w:rsidR="00A2749F" w:rsidRPr="00456014">
        <w:t>very high GWPZ zone followed by high groundwater potential was d</w:t>
      </w:r>
      <w:r w:rsidR="00A2749F">
        <w:t>iscretely distributed over the NE</w:t>
      </w:r>
      <w:r w:rsidR="00A2749F" w:rsidRPr="00456014">
        <w:t xml:space="preserve"> side between Gasera and Ginnir Woreda. The barren top of steep slope mountain/ridge and drainages are classified under poor and very poor GWPZ. The low productivity sedimentary aquifer and scarc</w:t>
      </w:r>
      <w:r w:rsidR="00A2749F">
        <w:t>e rainfall distribution of the S</w:t>
      </w:r>
      <w:r w:rsidR="00A2749F" w:rsidRPr="00456014">
        <w:t>outheastern edge enforce the GWPZ of an area for categorizi</w:t>
      </w:r>
      <w:r>
        <w:t>ng under low and moderate groundwater potential zone.</w:t>
      </w:r>
    </w:p>
    <w:p w:rsidR="002C5570" w:rsidRDefault="00015913" w:rsidP="003819BA">
      <w:r w:rsidRPr="00456014">
        <w:t xml:space="preserve">The boundary of Weyib Sub-basin encompasses eight Woredas </w:t>
      </w:r>
      <w:r w:rsidR="0074659D">
        <w:t>including;</w:t>
      </w:r>
      <w:r w:rsidRPr="00456014">
        <w:t xml:space="preserve"> Dinsho, Agarfa, Adaba, Gasera, Ginnir, Goba, Goro</w:t>
      </w:r>
      <w:r w:rsidR="0074659D">
        <w:t xml:space="preserve"> </w:t>
      </w:r>
      <w:r w:rsidRPr="00456014">
        <w:t xml:space="preserve">and Sinana. </w:t>
      </w:r>
      <w:r w:rsidR="002C5570">
        <w:t xml:space="preserve">The </w:t>
      </w:r>
      <w:r w:rsidR="002E0467">
        <w:t>suitability of</w:t>
      </w:r>
      <w:r w:rsidRPr="00456014">
        <w:t xml:space="preserve"> </w:t>
      </w:r>
      <w:r w:rsidR="002E0467" w:rsidRPr="00456014">
        <w:t xml:space="preserve">Woredas </w:t>
      </w:r>
      <w:r w:rsidRPr="00456014">
        <w:t xml:space="preserve">GWPZ </w:t>
      </w:r>
      <w:r w:rsidR="00A309A8">
        <w:t>was</w:t>
      </w:r>
      <w:r w:rsidR="002C5570">
        <w:t xml:space="preserve"> </w:t>
      </w:r>
      <w:r w:rsidRPr="00456014">
        <w:t xml:space="preserve">identified </w:t>
      </w:r>
      <w:r w:rsidR="002E0467">
        <w:t>in terms of potentials</w:t>
      </w:r>
      <w:r w:rsidR="00134952">
        <w:t xml:space="preserve">. </w:t>
      </w:r>
      <w:r w:rsidR="00A309A8">
        <w:t>I.e</w:t>
      </w:r>
      <w:r w:rsidR="006B3553">
        <w:t xml:space="preserve">. </w:t>
      </w:r>
      <w:r w:rsidRPr="00456014">
        <w:t xml:space="preserve">considering very high and high GWPZ. </w:t>
      </w:r>
      <w:r w:rsidR="00886BE3" w:rsidRPr="00456014">
        <w:t xml:space="preserve">The present administrative boundary of Woredas and the delineated hydrologic boundary of </w:t>
      </w:r>
      <w:r w:rsidR="00AE60C5">
        <w:t>the s</w:t>
      </w:r>
      <w:r w:rsidR="00886BE3" w:rsidRPr="00456014">
        <w:t xml:space="preserve">ub-basin cannot follow the same configuration. </w:t>
      </w:r>
      <w:r w:rsidR="00CE2A94">
        <w:t>Hence</w:t>
      </w:r>
      <w:r w:rsidR="00886BE3" w:rsidRPr="00456014">
        <w:t xml:space="preserve">, the </w:t>
      </w:r>
      <w:r w:rsidR="00CE2A94">
        <w:t xml:space="preserve">identified </w:t>
      </w:r>
      <w:r w:rsidR="002E0467">
        <w:t xml:space="preserve">suitable </w:t>
      </w:r>
      <w:r w:rsidR="00AE60C5">
        <w:t xml:space="preserve">groundwater potential zone </w:t>
      </w:r>
      <w:r w:rsidR="0045135E">
        <w:t>include</w:t>
      </w:r>
      <w:r w:rsidR="00454289">
        <w:t xml:space="preserve">s only the area of parts of the </w:t>
      </w:r>
      <w:r w:rsidR="00CE2A94">
        <w:t>Woreda</w:t>
      </w:r>
      <w:r w:rsidR="00454289">
        <w:t>s</w:t>
      </w:r>
      <w:r w:rsidR="00CE2A94">
        <w:t xml:space="preserve"> </w:t>
      </w:r>
      <w:r w:rsidR="00D27262">
        <w:t xml:space="preserve">which </w:t>
      </w:r>
      <w:r w:rsidR="00454289">
        <w:t xml:space="preserve">found in the </w:t>
      </w:r>
      <w:r w:rsidR="00886BE3" w:rsidRPr="00456014">
        <w:t>Sub-basin</w:t>
      </w:r>
      <w:r w:rsidR="00454289">
        <w:t xml:space="preserve">. </w:t>
      </w:r>
    </w:p>
    <w:p w:rsidR="00015913" w:rsidRDefault="00015913" w:rsidP="003819BA">
      <w:pPr>
        <w:jc w:val="center"/>
      </w:pPr>
      <w:r w:rsidRPr="00456014">
        <w:rPr>
          <w:noProof/>
        </w:rPr>
        <w:drawing>
          <wp:inline distT="0" distB="0" distL="0" distR="0" wp14:anchorId="02D7EB85" wp14:editId="3072EF56">
            <wp:extent cx="5576792" cy="3717860"/>
            <wp:effectExtent l="19050" t="19050" r="24130" b="16510"/>
            <wp:docPr id="33" name="Picture 33" descr="C:\Users\Abdul Gafar\Desktop\Report_MXD_JPEG\GWP\GWP_OBO\GWP_Woredaa\SuitabilityFor_Woredas.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dul Gafar\Desktop\Report_MXD_JPEG\GWP\GWP_OBO\GWP_Woredaa\SuitabilityFor_Woredas.bmp"/>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674095" cy="3782729"/>
                    </a:xfrm>
                    <a:prstGeom prst="rect">
                      <a:avLst/>
                    </a:prstGeom>
                    <a:noFill/>
                    <a:ln w="12700">
                      <a:solidFill>
                        <a:sysClr val="windowText" lastClr="000000">
                          <a:alpha val="89000"/>
                        </a:sysClr>
                      </a:solidFill>
                    </a:ln>
                  </pic:spPr>
                </pic:pic>
              </a:graphicData>
            </a:graphic>
          </wp:inline>
        </w:drawing>
      </w:r>
    </w:p>
    <w:p w:rsidR="00455FE6" w:rsidRDefault="00D3675D" w:rsidP="003819BA">
      <w:pPr>
        <w:pStyle w:val="Caption"/>
        <w:spacing w:before="120" w:after="120" w:line="360" w:lineRule="auto"/>
        <w:rPr>
          <w:i w:val="0"/>
          <w:color w:val="auto"/>
          <w:sz w:val="24"/>
          <w:szCs w:val="24"/>
        </w:rPr>
      </w:pPr>
      <w:bookmarkStart w:id="227" w:name="_Toc68761642"/>
      <w:r w:rsidRPr="00456014">
        <w:rPr>
          <w:i w:val="0"/>
          <w:color w:val="auto"/>
          <w:sz w:val="24"/>
          <w:szCs w:val="24"/>
        </w:rPr>
        <w:t xml:space="preserve">Figure </w:t>
      </w:r>
      <w:r w:rsidR="001342E5">
        <w:rPr>
          <w:i w:val="0"/>
          <w:color w:val="auto"/>
          <w:sz w:val="24"/>
          <w:szCs w:val="24"/>
        </w:rPr>
        <w:fldChar w:fldCharType="begin"/>
      </w:r>
      <w:r w:rsidR="001342E5">
        <w:rPr>
          <w:i w:val="0"/>
          <w:color w:val="auto"/>
          <w:sz w:val="24"/>
          <w:szCs w:val="24"/>
        </w:rPr>
        <w:instrText xml:space="preserve"> STYLEREF 1 \s </w:instrText>
      </w:r>
      <w:r w:rsidR="001342E5">
        <w:rPr>
          <w:i w:val="0"/>
          <w:color w:val="auto"/>
          <w:sz w:val="24"/>
          <w:szCs w:val="24"/>
        </w:rPr>
        <w:fldChar w:fldCharType="separate"/>
      </w:r>
      <w:r w:rsidR="00BD510E">
        <w:rPr>
          <w:i w:val="0"/>
          <w:noProof/>
          <w:color w:val="auto"/>
          <w:sz w:val="24"/>
          <w:szCs w:val="24"/>
        </w:rPr>
        <w:t>4</w:t>
      </w:r>
      <w:r w:rsidR="001342E5">
        <w:rPr>
          <w:i w:val="0"/>
          <w:color w:val="auto"/>
          <w:sz w:val="24"/>
          <w:szCs w:val="24"/>
        </w:rPr>
        <w:fldChar w:fldCharType="end"/>
      </w:r>
      <w:r w:rsidR="001342E5">
        <w:rPr>
          <w:i w:val="0"/>
          <w:color w:val="auto"/>
          <w:sz w:val="24"/>
          <w:szCs w:val="24"/>
        </w:rPr>
        <w:t>.</w:t>
      </w:r>
      <w:r w:rsidR="001342E5">
        <w:rPr>
          <w:i w:val="0"/>
          <w:color w:val="auto"/>
          <w:sz w:val="24"/>
          <w:szCs w:val="24"/>
        </w:rPr>
        <w:fldChar w:fldCharType="begin"/>
      </w:r>
      <w:r w:rsidR="001342E5">
        <w:rPr>
          <w:i w:val="0"/>
          <w:color w:val="auto"/>
          <w:sz w:val="24"/>
          <w:szCs w:val="24"/>
        </w:rPr>
        <w:instrText xml:space="preserve"> SEQ Figure \* ARABIC \s 1 </w:instrText>
      </w:r>
      <w:r w:rsidR="001342E5">
        <w:rPr>
          <w:i w:val="0"/>
          <w:color w:val="auto"/>
          <w:sz w:val="24"/>
          <w:szCs w:val="24"/>
        </w:rPr>
        <w:fldChar w:fldCharType="separate"/>
      </w:r>
      <w:r w:rsidR="00BD510E">
        <w:rPr>
          <w:i w:val="0"/>
          <w:noProof/>
          <w:color w:val="auto"/>
          <w:sz w:val="24"/>
          <w:szCs w:val="24"/>
        </w:rPr>
        <w:t>24</w:t>
      </w:r>
      <w:r w:rsidR="001342E5">
        <w:rPr>
          <w:i w:val="0"/>
          <w:color w:val="auto"/>
          <w:sz w:val="24"/>
          <w:szCs w:val="24"/>
        </w:rPr>
        <w:fldChar w:fldCharType="end"/>
      </w:r>
      <w:r w:rsidRPr="00456014">
        <w:rPr>
          <w:i w:val="0"/>
          <w:color w:val="auto"/>
          <w:sz w:val="24"/>
          <w:szCs w:val="24"/>
        </w:rPr>
        <w:t>: Suitable groundwater potential zone for Woredas in the study area</w:t>
      </w:r>
      <w:bookmarkEnd w:id="227"/>
    </w:p>
    <w:p w:rsidR="00560FD5" w:rsidRPr="00560FD5" w:rsidRDefault="00560FD5" w:rsidP="00560FD5">
      <w:r w:rsidRPr="00456014">
        <w:lastRenderedPageBreak/>
        <w:t xml:space="preserve">The coverage area of suitable GWPZ for parts of Woredas found in </w:t>
      </w:r>
      <w:r>
        <w:t xml:space="preserve">the </w:t>
      </w:r>
      <w:r w:rsidRPr="00456014">
        <w:t xml:space="preserve">Sub-basin </w:t>
      </w:r>
      <w:r>
        <w:t>was</w:t>
      </w:r>
      <w:r w:rsidRPr="00456014">
        <w:t xml:space="preserve"> illustrated in </w:t>
      </w:r>
      <w:r>
        <w:t>Figure 4.24</w:t>
      </w:r>
      <w:r w:rsidRPr="00456014">
        <w:t xml:space="preserve"> and tabulated in Table 4.1</w:t>
      </w:r>
      <w:r>
        <w:t>5</w:t>
      </w:r>
      <w:r w:rsidRPr="00456014">
        <w:t xml:space="preserve">. </w:t>
      </w:r>
    </w:p>
    <w:p w:rsidR="00B51028" w:rsidRPr="00456014" w:rsidRDefault="00B51028" w:rsidP="009426CC">
      <w:pPr>
        <w:pStyle w:val="Caption"/>
        <w:keepNext/>
        <w:spacing w:before="120" w:after="120" w:line="360" w:lineRule="auto"/>
        <w:rPr>
          <w:i w:val="0"/>
          <w:color w:val="auto"/>
          <w:sz w:val="24"/>
          <w:szCs w:val="24"/>
        </w:rPr>
      </w:pPr>
      <w:bookmarkStart w:id="228" w:name="_Toc68761609"/>
      <w:r w:rsidRPr="00456014">
        <w:rPr>
          <w:i w:val="0"/>
          <w:color w:val="auto"/>
          <w:sz w:val="24"/>
          <w:szCs w:val="24"/>
        </w:rPr>
        <w:t xml:space="preserve">Table </w:t>
      </w:r>
      <w:r w:rsidRPr="00456014">
        <w:rPr>
          <w:i w:val="0"/>
          <w:color w:val="auto"/>
          <w:sz w:val="24"/>
          <w:szCs w:val="24"/>
        </w:rPr>
        <w:fldChar w:fldCharType="begin"/>
      </w:r>
      <w:r w:rsidRPr="00456014">
        <w:rPr>
          <w:i w:val="0"/>
          <w:color w:val="auto"/>
          <w:sz w:val="24"/>
          <w:szCs w:val="24"/>
        </w:rPr>
        <w:instrText xml:space="preserve"> STYLEREF 1 \s </w:instrText>
      </w:r>
      <w:r w:rsidRPr="00456014">
        <w:rPr>
          <w:i w:val="0"/>
          <w:color w:val="auto"/>
          <w:sz w:val="24"/>
          <w:szCs w:val="24"/>
        </w:rPr>
        <w:fldChar w:fldCharType="separate"/>
      </w:r>
      <w:r w:rsidR="00BD510E">
        <w:rPr>
          <w:i w:val="0"/>
          <w:noProof/>
          <w:color w:val="auto"/>
          <w:sz w:val="24"/>
          <w:szCs w:val="24"/>
        </w:rPr>
        <w:t>4</w:t>
      </w:r>
      <w:r w:rsidRPr="00456014">
        <w:rPr>
          <w:i w:val="0"/>
          <w:color w:val="auto"/>
          <w:sz w:val="24"/>
          <w:szCs w:val="24"/>
        </w:rPr>
        <w:fldChar w:fldCharType="end"/>
      </w:r>
      <w:r w:rsidRPr="00456014">
        <w:rPr>
          <w:i w:val="0"/>
          <w:color w:val="auto"/>
          <w:sz w:val="24"/>
          <w:szCs w:val="24"/>
        </w:rPr>
        <w:t>.</w:t>
      </w:r>
      <w:r w:rsidRPr="00456014">
        <w:rPr>
          <w:i w:val="0"/>
          <w:color w:val="auto"/>
          <w:sz w:val="24"/>
          <w:szCs w:val="24"/>
        </w:rPr>
        <w:fldChar w:fldCharType="begin"/>
      </w:r>
      <w:r w:rsidRPr="00456014">
        <w:rPr>
          <w:i w:val="0"/>
          <w:color w:val="auto"/>
          <w:sz w:val="24"/>
          <w:szCs w:val="24"/>
        </w:rPr>
        <w:instrText xml:space="preserve"> SEQ Table \* ARABIC \s 1 </w:instrText>
      </w:r>
      <w:r w:rsidRPr="00456014">
        <w:rPr>
          <w:i w:val="0"/>
          <w:color w:val="auto"/>
          <w:sz w:val="24"/>
          <w:szCs w:val="24"/>
        </w:rPr>
        <w:fldChar w:fldCharType="separate"/>
      </w:r>
      <w:r w:rsidR="00BD510E">
        <w:rPr>
          <w:i w:val="0"/>
          <w:noProof/>
          <w:color w:val="auto"/>
          <w:sz w:val="24"/>
          <w:szCs w:val="24"/>
        </w:rPr>
        <w:t>15</w:t>
      </w:r>
      <w:r w:rsidRPr="00456014">
        <w:rPr>
          <w:i w:val="0"/>
          <w:color w:val="auto"/>
          <w:sz w:val="24"/>
          <w:szCs w:val="24"/>
        </w:rPr>
        <w:fldChar w:fldCharType="end"/>
      </w:r>
      <w:r w:rsidRPr="00456014">
        <w:rPr>
          <w:i w:val="0"/>
          <w:color w:val="auto"/>
          <w:sz w:val="24"/>
          <w:szCs w:val="24"/>
        </w:rPr>
        <w:t>: Suitable groundwater potential zone for Woredas in the study area</w:t>
      </w:r>
      <w:bookmarkEnd w:id="228"/>
    </w:p>
    <w:tbl>
      <w:tblPr>
        <w:tblW w:w="5000" w:type="pct"/>
        <w:tblLook w:val="04A0" w:firstRow="1" w:lastRow="0" w:firstColumn="1" w:lastColumn="0" w:noHBand="0" w:noVBand="1"/>
      </w:tblPr>
      <w:tblGrid>
        <w:gridCol w:w="1082"/>
        <w:gridCol w:w="1355"/>
        <w:gridCol w:w="1359"/>
        <w:gridCol w:w="2434"/>
        <w:gridCol w:w="2770"/>
      </w:tblGrid>
      <w:tr w:rsidR="00B51028" w:rsidRPr="00456014" w:rsidTr="00CB54DA">
        <w:trPr>
          <w:trHeight w:val="300"/>
        </w:trPr>
        <w:tc>
          <w:tcPr>
            <w:tcW w:w="601" w:type="pct"/>
            <w:tcBorders>
              <w:top w:val="single" w:sz="4" w:space="0" w:color="auto"/>
              <w:left w:val="nil"/>
              <w:bottom w:val="single" w:sz="4" w:space="0" w:color="auto"/>
              <w:right w:val="nil"/>
            </w:tcBorders>
            <w:shd w:val="clear" w:color="auto" w:fill="auto"/>
            <w:noWrap/>
            <w:vAlign w:val="bottom"/>
            <w:hideMark/>
          </w:tcPr>
          <w:p w:rsidR="00B51028" w:rsidRPr="00456014" w:rsidRDefault="00B51028" w:rsidP="007D04EF">
            <w:pPr>
              <w:spacing w:before="0" w:after="0"/>
            </w:pPr>
            <w:r w:rsidRPr="00456014">
              <w:t>Woreda</w:t>
            </w:r>
          </w:p>
        </w:tc>
        <w:tc>
          <w:tcPr>
            <w:tcW w:w="753" w:type="pct"/>
            <w:tcBorders>
              <w:top w:val="single" w:sz="4" w:space="0" w:color="auto"/>
              <w:left w:val="nil"/>
              <w:bottom w:val="single" w:sz="4" w:space="0" w:color="auto"/>
              <w:right w:val="nil"/>
            </w:tcBorders>
            <w:vAlign w:val="bottom"/>
          </w:tcPr>
          <w:p w:rsidR="00B51028" w:rsidRPr="00456014" w:rsidRDefault="00B51028" w:rsidP="007D04EF">
            <w:pPr>
              <w:spacing w:before="0" w:after="0"/>
            </w:pPr>
            <w:r w:rsidRPr="00456014">
              <w:t>Suitability</w:t>
            </w:r>
          </w:p>
        </w:tc>
        <w:tc>
          <w:tcPr>
            <w:tcW w:w="755" w:type="pct"/>
            <w:tcBorders>
              <w:top w:val="single" w:sz="4" w:space="0" w:color="auto"/>
              <w:left w:val="nil"/>
              <w:bottom w:val="single" w:sz="4" w:space="0" w:color="auto"/>
              <w:right w:val="nil"/>
            </w:tcBorders>
            <w:vAlign w:val="bottom"/>
          </w:tcPr>
          <w:p w:rsidR="00B51028" w:rsidRDefault="00B51028" w:rsidP="007D04EF">
            <w:pPr>
              <w:spacing w:before="0" w:after="0"/>
            </w:pPr>
            <w:r>
              <w:t xml:space="preserve">Area </w:t>
            </w:r>
          </w:p>
          <w:p w:rsidR="00B51028" w:rsidRPr="00642854" w:rsidRDefault="00B51028" w:rsidP="00BA7674">
            <w:pPr>
              <w:spacing w:before="0" w:after="0"/>
            </w:pPr>
            <w:r>
              <w:t>(</w:t>
            </w:r>
            <w:r w:rsidR="00BA7674">
              <w:t>k</w:t>
            </w:r>
            <w:r w:rsidRPr="00456014">
              <w:t>m</w:t>
            </w:r>
            <w:r w:rsidRPr="00456014">
              <w:rPr>
                <w:vertAlign w:val="superscript"/>
              </w:rPr>
              <w:t>2</w:t>
            </w:r>
            <w:r>
              <w:t>)</w:t>
            </w:r>
          </w:p>
        </w:tc>
        <w:tc>
          <w:tcPr>
            <w:tcW w:w="1352" w:type="pct"/>
            <w:tcBorders>
              <w:top w:val="single" w:sz="4" w:space="0" w:color="auto"/>
              <w:left w:val="nil"/>
              <w:bottom w:val="single" w:sz="4" w:space="0" w:color="auto"/>
              <w:right w:val="nil"/>
            </w:tcBorders>
            <w:shd w:val="clear" w:color="auto" w:fill="auto"/>
            <w:noWrap/>
            <w:vAlign w:val="bottom"/>
            <w:hideMark/>
          </w:tcPr>
          <w:p w:rsidR="00B51028" w:rsidRDefault="00B51028" w:rsidP="007D04EF">
            <w:pPr>
              <w:spacing w:before="0" w:after="0"/>
            </w:pPr>
            <w:r w:rsidRPr="00456014">
              <w:t>Area</w:t>
            </w:r>
            <w:r>
              <w:t xml:space="preserve"> (</w:t>
            </w:r>
            <w:r w:rsidRPr="00456014">
              <w:t>%</w:t>
            </w:r>
            <w:r>
              <w:t>)</w:t>
            </w:r>
            <w:r w:rsidRPr="00456014">
              <w:t xml:space="preserve"> </w:t>
            </w:r>
          </w:p>
          <w:p w:rsidR="00B51028" w:rsidRPr="00456014" w:rsidRDefault="00B51028" w:rsidP="007D04EF">
            <w:pPr>
              <w:spacing w:before="0" w:after="0"/>
            </w:pPr>
            <w:r>
              <w:t>(I</w:t>
            </w:r>
            <w:r w:rsidRPr="00456014">
              <w:t>n Woreda</w:t>
            </w:r>
            <w:r>
              <w:t xml:space="preserve">) </w:t>
            </w:r>
          </w:p>
        </w:tc>
        <w:tc>
          <w:tcPr>
            <w:tcW w:w="1539" w:type="pct"/>
            <w:tcBorders>
              <w:top w:val="single" w:sz="4" w:space="0" w:color="auto"/>
              <w:left w:val="nil"/>
              <w:bottom w:val="single" w:sz="4" w:space="0" w:color="auto"/>
              <w:right w:val="nil"/>
            </w:tcBorders>
            <w:shd w:val="clear" w:color="auto" w:fill="auto"/>
            <w:noWrap/>
            <w:vAlign w:val="bottom"/>
            <w:hideMark/>
          </w:tcPr>
          <w:p w:rsidR="00B51028" w:rsidRDefault="00B51028" w:rsidP="007D04EF">
            <w:pPr>
              <w:spacing w:before="0" w:after="0"/>
            </w:pPr>
            <w:r w:rsidRPr="00456014">
              <w:t xml:space="preserve">Area </w:t>
            </w:r>
            <w:r>
              <w:t>(</w:t>
            </w:r>
            <w:r w:rsidRPr="00456014">
              <w:t>%</w:t>
            </w:r>
            <w:r>
              <w:t>)</w:t>
            </w:r>
          </w:p>
          <w:p w:rsidR="00B51028" w:rsidRPr="00456014" w:rsidRDefault="00B51028" w:rsidP="007D04EF">
            <w:pPr>
              <w:spacing w:before="0" w:after="0"/>
            </w:pPr>
            <w:r>
              <w:t xml:space="preserve">(from the total Sub-basin) </w:t>
            </w:r>
          </w:p>
        </w:tc>
      </w:tr>
      <w:tr w:rsidR="00B51028" w:rsidRPr="00456014" w:rsidTr="00CB54DA">
        <w:trPr>
          <w:trHeight w:val="315"/>
        </w:trPr>
        <w:tc>
          <w:tcPr>
            <w:tcW w:w="601" w:type="pct"/>
            <w:tcBorders>
              <w:top w:val="nil"/>
              <w:left w:val="nil"/>
              <w:bottom w:val="nil"/>
              <w:right w:val="nil"/>
            </w:tcBorders>
            <w:shd w:val="clear" w:color="auto" w:fill="auto"/>
            <w:noWrap/>
            <w:vAlign w:val="bottom"/>
            <w:hideMark/>
          </w:tcPr>
          <w:p w:rsidR="00B51028" w:rsidRPr="00456014" w:rsidRDefault="00B51028" w:rsidP="007D04EF">
            <w:pPr>
              <w:spacing w:before="0" w:after="0"/>
            </w:pPr>
            <w:r w:rsidRPr="00456014">
              <w:t>Dinsho</w:t>
            </w:r>
          </w:p>
        </w:tc>
        <w:tc>
          <w:tcPr>
            <w:tcW w:w="753" w:type="pct"/>
            <w:tcBorders>
              <w:top w:val="single" w:sz="4" w:space="0" w:color="auto"/>
              <w:left w:val="nil"/>
              <w:bottom w:val="single" w:sz="4" w:space="0" w:color="auto"/>
              <w:right w:val="nil"/>
            </w:tcBorders>
            <w:vAlign w:val="bottom"/>
          </w:tcPr>
          <w:p w:rsidR="00B51028" w:rsidRPr="00456014" w:rsidRDefault="00B51028" w:rsidP="007D04EF">
            <w:pPr>
              <w:spacing w:before="0" w:after="0"/>
            </w:pPr>
            <w:r w:rsidRPr="00456014">
              <w:t>High</w:t>
            </w:r>
          </w:p>
        </w:tc>
        <w:tc>
          <w:tcPr>
            <w:tcW w:w="755" w:type="pct"/>
            <w:tcBorders>
              <w:top w:val="single" w:sz="4" w:space="0" w:color="auto"/>
              <w:left w:val="nil"/>
              <w:bottom w:val="single" w:sz="4" w:space="0" w:color="auto"/>
              <w:right w:val="nil"/>
            </w:tcBorders>
            <w:vAlign w:val="bottom"/>
          </w:tcPr>
          <w:p w:rsidR="00B51028" w:rsidRPr="00456014" w:rsidRDefault="00B51028" w:rsidP="007D04EF">
            <w:pPr>
              <w:spacing w:before="0" w:after="0"/>
            </w:pPr>
            <w:r w:rsidRPr="00456014">
              <w:t>296.5</w:t>
            </w:r>
          </w:p>
        </w:tc>
        <w:tc>
          <w:tcPr>
            <w:tcW w:w="1352" w:type="pct"/>
            <w:tcBorders>
              <w:top w:val="single" w:sz="4" w:space="0" w:color="auto"/>
              <w:left w:val="nil"/>
              <w:bottom w:val="single" w:sz="4" w:space="0" w:color="auto"/>
              <w:right w:val="nil"/>
            </w:tcBorders>
            <w:shd w:val="clear" w:color="auto" w:fill="auto"/>
            <w:noWrap/>
            <w:vAlign w:val="bottom"/>
            <w:hideMark/>
          </w:tcPr>
          <w:p w:rsidR="00B51028" w:rsidRPr="00456014" w:rsidRDefault="00B51028" w:rsidP="007D04EF">
            <w:pPr>
              <w:spacing w:before="0" w:after="0"/>
            </w:pPr>
            <w:r w:rsidRPr="00456014">
              <w:t>47.5</w:t>
            </w:r>
          </w:p>
        </w:tc>
        <w:tc>
          <w:tcPr>
            <w:tcW w:w="1539" w:type="pct"/>
            <w:tcBorders>
              <w:top w:val="single" w:sz="4" w:space="0" w:color="auto"/>
              <w:left w:val="nil"/>
              <w:bottom w:val="single" w:sz="4" w:space="0" w:color="auto"/>
              <w:right w:val="nil"/>
            </w:tcBorders>
            <w:shd w:val="clear" w:color="auto" w:fill="auto"/>
            <w:noWrap/>
            <w:vAlign w:val="bottom"/>
            <w:hideMark/>
          </w:tcPr>
          <w:p w:rsidR="00B51028" w:rsidRPr="00456014" w:rsidRDefault="00B51028" w:rsidP="007D04EF">
            <w:pPr>
              <w:spacing w:before="0" w:after="0"/>
            </w:pPr>
            <w:r w:rsidRPr="00456014">
              <w:t>6.7</w:t>
            </w:r>
          </w:p>
        </w:tc>
      </w:tr>
      <w:tr w:rsidR="00B51028" w:rsidRPr="00456014" w:rsidTr="00CB54DA">
        <w:trPr>
          <w:trHeight w:val="390"/>
        </w:trPr>
        <w:tc>
          <w:tcPr>
            <w:tcW w:w="601" w:type="pct"/>
            <w:tcBorders>
              <w:top w:val="nil"/>
              <w:left w:val="nil"/>
              <w:bottom w:val="nil"/>
              <w:right w:val="nil"/>
            </w:tcBorders>
            <w:shd w:val="clear" w:color="auto" w:fill="auto"/>
            <w:noWrap/>
            <w:vAlign w:val="bottom"/>
            <w:hideMark/>
          </w:tcPr>
          <w:p w:rsidR="00B51028" w:rsidRPr="00456014" w:rsidRDefault="00B51028" w:rsidP="007D04EF">
            <w:pPr>
              <w:spacing w:before="0" w:after="0"/>
              <w:rPr>
                <w:sz w:val="20"/>
                <w:szCs w:val="20"/>
              </w:rPr>
            </w:pPr>
          </w:p>
        </w:tc>
        <w:tc>
          <w:tcPr>
            <w:tcW w:w="753" w:type="pct"/>
            <w:tcBorders>
              <w:top w:val="single" w:sz="4" w:space="0" w:color="auto"/>
              <w:left w:val="nil"/>
              <w:bottom w:val="single" w:sz="4" w:space="0" w:color="auto"/>
              <w:right w:val="nil"/>
            </w:tcBorders>
            <w:vAlign w:val="bottom"/>
          </w:tcPr>
          <w:p w:rsidR="00B51028" w:rsidRPr="00456014" w:rsidRDefault="00B51028" w:rsidP="007D04EF">
            <w:pPr>
              <w:spacing w:before="0" w:after="0"/>
            </w:pPr>
            <w:r w:rsidRPr="00456014">
              <w:t>Very high</w:t>
            </w:r>
          </w:p>
        </w:tc>
        <w:tc>
          <w:tcPr>
            <w:tcW w:w="755" w:type="pct"/>
            <w:tcBorders>
              <w:top w:val="single" w:sz="4" w:space="0" w:color="auto"/>
              <w:left w:val="nil"/>
              <w:bottom w:val="single" w:sz="4" w:space="0" w:color="auto"/>
              <w:right w:val="nil"/>
            </w:tcBorders>
            <w:vAlign w:val="bottom"/>
          </w:tcPr>
          <w:p w:rsidR="00B51028" w:rsidRPr="00456014" w:rsidRDefault="00B51028" w:rsidP="007D04EF">
            <w:pPr>
              <w:spacing w:before="0" w:after="0"/>
            </w:pPr>
            <w:r w:rsidRPr="00456014">
              <w:t>28.0</w:t>
            </w:r>
          </w:p>
        </w:tc>
        <w:tc>
          <w:tcPr>
            <w:tcW w:w="1352" w:type="pct"/>
            <w:tcBorders>
              <w:top w:val="single" w:sz="4" w:space="0" w:color="auto"/>
              <w:left w:val="nil"/>
              <w:bottom w:val="single" w:sz="4" w:space="0" w:color="auto"/>
              <w:right w:val="nil"/>
            </w:tcBorders>
            <w:shd w:val="clear" w:color="auto" w:fill="auto"/>
            <w:noWrap/>
            <w:vAlign w:val="bottom"/>
            <w:hideMark/>
          </w:tcPr>
          <w:p w:rsidR="00B51028" w:rsidRPr="00456014" w:rsidRDefault="00B51028" w:rsidP="007D04EF">
            <w:pPr>
              <w:spacing w:before="0" w:after="0"/>
            </w:pPr>
            <w:r w:rsidRPr="00456014">
              <w:t>4.5</w:t>
            </w:r>
          </w:p>
        </w:tc>
        <w:tc>
          <w:tcPr>
            <w:tcW w:w="1539" w:type="pct"/>
            <w:tcBorders>
              <w:top w:val="single" w:sz="4" w:space="0" w:color="auto"/>
              <w:left w:val="nil"/>
              <w:bottom w:val="single" w:sz="4" w:space="0" w:color="auto"/>
              <w:right w:val="nil"/>
            </w:tcBorders>
            <w:shd w:val="clear" w:color="auto" w:fill="auto"/>
            <w:noWrap/>
            <w:vAlign w:val="bottom"/>
            <w:hideMark/>
          </w:tcPr>
          <w:p w:rsidR="00B51028" w:rsidRPr="00456014" w:rsidRDefault="00B51028" w:rsidP="007D04EF">
            <w:pPr>
              <w:spacing w:before="0" w:after="0"/>
            </w:pPr>
            <w:r w:rsidRPr="00456014">
              <w:t>0.6</w:t>
            </w:r>
          </w:p>
        </w:tc>
      </w:tr>
      <w:tr w:rsidR="00B51028" w:rsidRPr="00456014" w:rsidTr="00CB54DA">
        <w:trPr>
          <w:trHeight w:val="330"/>
        </w:trPr>
        <w:tc>
          <w:tcPr>
            <w:tcW w:w="601" w:type="pct"/>
            <w:tcBorders>
              <w:top w:val="nil"/>
              <w:left w:val="nil"/>
              <w:bottom w:val="nil"/>
              <w:right w:val="nil"/>
            </w:tcBorders>
            <w:shd w:val="clear" w:color="auto" w:fill="auto"/>
            <w:noWrap/>
            <w:vAlign w:val="bottom"/>
            <w:hideMark/>
          </w:tcPr>
          <w:p w:rsidR="00B51028" w:rsidRPr="00456014" w:rsidRDefault="00B51028" w:rsidP="007D04EF">
            <w:pPr>
              <w:spacing w:before="0" w:after="0"/>
            </w:pPr>
            <w:r w:rsidRPr="00456014">
              <w:t>Agarfa</w:t>
            </w:r>
          </w:p>
        </w:tc>
        <w:tc>
          <w:tcPr>
            <w:tcW w:w="753" w:type="pct"/>
            <w:tcBorders>
              <w:top w:val="single" w:sz="4" w:space="0" w:color="auto"/>
              <w:left w:val="nil"/>
              <w:bottom w:val="single" w:sz="4" w:space="0" w:color="auto"/>
              <w:right w:val="nil"/>
            </w:tcBorders>
            <w:vAlign w:val="bottom"/>
          </w:tcPr>
          <w:p w:rsidR="00B51028" w:rsidRPr="00456014" w:rsidRDefault="00B51028" w:rsidP="007D04EF">
            <w:pPr>
              <w:spacing w:before="0" w:after="0"/>
            </w:pPr>
            <w:r w:rsidRPr="00456014">
              <w:t>High</w:t>
            </w:r>
          </w:p>
        </w:tc>
        <w:tc>
          <w:tcPr>
            <w:tcW w:w="755" w:type="pct"/>
            <w:tcBorders>
              <w:top w:val="single" w:sz="4" w:space="0" w:color="auto"/>
              <w:left w:val="nil"/>
              <w:bottom w:val="single" w:sz="4" w:space="0" w:color="auto"/>
              <w:right w:val="nil"/>
            </w:tcBorders>
            <w:vAlign w:val="bottom"/>
          </w:tcPr>
          <w:p w:rsidR="00B51028" w:rsidRPr="00456014" w:rsidRDefault="00B51028" w:rsidP="007D04EF">
            <w:pPr>
              <w:spacing w:before="0" w:after="0"/>
            </w:pPr>
            <w:r w:rsidRPr="00456014">
              <w:t>260.8</w:t>
            </w:r>
          </w:p>
        </w:tc>
        <w:tc>
          <w:tcPr>
            <w:tcW w:w="1352" w:type="pct"/>
            <w:tcBorders>
              <w:top w:val="single" w:sz="4" w:space="0" w:color="auto"/>
              <w:left w:val="nil"/>
              <w:bottom w:val="single" w:sz="4" w:space="0" w:color="auto"/>
              <w:right w:val="nil"/>
            </w:tcBorders>
            <w:shd w:val="clear" w:color="auto" w:fill="auto"/>
            <w:noWrap/>
            <w:vAlign w:val="bottom"/>
            <w:hideMark/>
          </w:tcPr>
          <w:p w:rsidR="00B51028" w:rsidRPr="00456014" w:rsidRDefault="00B51028" w:rsidP="007D04EF">
            <w:pPr>
              <w:spacing w:before="0" w:after="0"/>
            </w:pPr>
            <w:r w:rsidRPr="00456014">
              <w:t>51</w:t>
            </w:r>
          </w:p>
        </w:tc>
        <w:tc>
          <w:tcPr>
            <w:tcW w:w="1539" w:type="pct"/>
            <w:tcBorders>
              <w:top w:val="single" w:sz="4" w:space="0" w:color="auto"/>
              <w:left w:val="nil"/>
              <w:bottom w:val="single" w:sz="4" w:space="0" w:color="auto"/>
              <w:right w:val="nil"/>
            </w:tcBorders>
            <w:shd w:val="clear" w:color="auto" w:fill="auto"/>
            <w:noWrap/>
            <w:vAlign w:val="bottom"/>
            <w:hideMark/>
          </w:tcPr>
          <w:p w:rsidR="00B51028" w:rsidRPr="00456014" w:rsidRDefault="00B51028" w:rsidP="007D04EF">
            <w:pPr>
              <w:spacing w:before="0" w:after="0"/>
            </w:pPr>
            <w:r w:rsidRPr="00456014">
              <w:t>5.9</w:t>
            </w:r>
          </w:p>
        </w:tc>
      </w:tr>
      <w:tr w:rsidR="00B51028" w:rsidRPr="00456014" w:rsidTr="00CB54DA">
        <w:trPr>
          <w:trHeight w:val="315"/>
        </w:trPr>
        <w:tc>
          <w:tcPr>
            <w:tcW w:w="601" w:type="pct"/>
            <w:tcBorders>
              <w:top w:val="nil"/>
              <w:left w:val="nil"/>
              <w:bottom w:val="nil"/>
              <w:right w:val="nil"/>
            </w:tcBorders>
            <w:shd w:val="clear" w:color="auto" w:fill="auto"/>
            <w:noWrap/>
            <w:vAlign w:val="bottom"/>
            <w:hideMark/>
          </w:tcPr>
          <w:p w:rsidR="00B51028" w:rsidRPr="00456014" w:rsidRDefault="00B51028" w:rsidP="007D04EF">
            <w:pPr>
              <w:spacing w:before="0" w:after="0"/>
            </w:pPr>
            <w:r w:rsidRPr="00456014">
              <w:t xml:space="preserve">Adaba </w:t>
            </w:r>
          </w:p>
        </w:tc>
        <w:tc>
          <w:tcPr>
            <w:tcW w:w="753" w:type="pct"/>
            <w:tcBorders>
              <w:top w:val="single" w:sz="4" w:space="0" w:color="auto"/>
              <w:left w:val="nil"/>
              <w:bottom w:val="single" w:sz="4" w:space="0" w:color="auto"/>
              <w:right w:val="nil"/>
            </w:tcBorders>
            <w:vAlign w:val="bottom"/>
          </w:tcPr>
          <w:p w:rsidR="00B51028" w:rsidRPr="00456014" w:rsidRDefault="00B51028" w:rsidP="007D04EF">
            <w:pPr>
              <w:spacing w:before="0" w:after="0"/>
            </w:pPr>
            <w:r w:rsidRPr="00456014">
              <w:t>High</w:t>
            </w:r>
          </w:p>
        </w:tc>
        <w:tc>
          <w:tcPr>
            <w:tcW w:w="755" w:type="pct"/>
            <w:tcBorders>
              <w:top w:val="single" w:sz="4" w:space="0" w:color="auto"/>
              <w:left w:val="nil"/>
              <w:bottom w:val="single" w:sz="4" w:space="0" w:color="auto"/>
              <w:right w:val="nil"/>
            </w:tcBorders>
            <w:vAlign w:val="bottom"/>
          </w:tcPr>
          <w:p w:rsidR="00B51028" w:rsidRPr="00456014" w:rsidRDefault="00B51028" w:rsidP="007D04EF">
            <w:pPr>
              <w:spacing w:before="0" w:after="0"/>
            </w:pPr>
            <w:r w:rsidRPr="00456014">
              <w:t>77.7</w:t>
            </w:r>
          </w:p>
        </w:tc>
        <w:tc>
          <w:tcPr>
            <w:tcW w:w="1352" w:type="pct"/>
            <w:tcBorders>
              <w:top w:val="single" w:sz="4" w:space="0" w:color="auto"/>
              <w:left w:val="nil"/>
              <w:bottom w:val="single" w:sz="4" w:space="0" w:color="auto"/>
              <w:right w:val="nil"/>
            </w:tcBorders>
            <w:shd w:val="clear" w:color="auto" w:fill="auto"/>
            <w:noWrap/>
            <w:vAlign w:val="bottom"/>
            <w:hideMark/>
          </w:tcPr>
          <w:p w:rsidR="00B51028" w:rsidRPr="00456014" w:rsidRDefault="00B51028" w:rsidP="007D04EF">
            <w:pPr>
              <w:spacing w:before="0" w:after="0"/>
            </w:pPr>
            <w:r w:rsidRPr="00456014">
              <w:t>32.6</w:t>
            </w:r>
          </w:p>
        </w:tc>
        <w:tc>
          <w:tcPr>
            <w:tcW w:w="1539" w:type="pct"/>
            <w:tcBorders>
              <w:top w:val="single" w:sz="4" w:space="0" w:color="auto"/>
              <w:left w:val="nil"/>
              <w:bottom w:val="single" w:sz="4" w:space="0" w:color="auto"/>
              <w:right w:val="nil"/>
            </w:tcBorders>
            <w:shd w:val="clear" w:color="auto" w:fill="auto"/>
            <w:noWrap/>
            <w:vAlign w:val="bottom"/>
            <w:hideMark/>
          </w:tcPr>
          <w:p w:rsidR="00B51028" w:rsidRPr="00456014" w:rsidRDefault="00B51028" w:rsidP="007D04EF">
            <w:pPr>
              <w:spacing w:before="0" w:after="0"/>
            </w:pPr>
            <w:r w:rsidRPr="00456014">
              <w:t>1.7</w:t>
            </w:r>
          </w:p>
        </w:tc>
      </w:tr>
      <w:tr w:rsidR="00B51028" w:rsidRPr="00456014" w:rsidTr="00CB54DA">
        <w:trPr>
          <w:trHeight w:val="315"/>
        </w:trPr>
        <w:tc>
          <w:tcPr>
            <w:tcW w:w="601" w:type="pct"/>
            <w:tcBorders>
              <w:top w:val="nil"/>
              <w:left w:val="nil"/>
              <w:bottom w:val="nil"/>
              <w:right w:val="nil"/>
            </w:tcBorders>
            <w:shd w:val="clear" w:color="auto" w:fill="auto"/>
            <w:noWrap/>
            <w:vAlign w:val="bottom"/>
            <w:hideMark/>
          </w:tcPr>
          <w:p w:rsidR="00B51028" w:rsidRPr="00456014" w:rsidRDefault="00B51028" w:rsidP="007D04EF">
            <w:pPr>
              <w:spacing w:before="0" w:after="0"/>
              <w:rPr>
                <w:sz w:val="20"/>
                <w:szCs w:val="20"/>
              </w:rPr>
            </w:pPr>
          </w:p>
        </w:tc>
        <w:tc>
          <w:tcPr>
            <w:tcW w:w="753" w:type="pct"/>
            <w:tcBorders>
              <w:top w:val="single" w:sz="4" w:space="0" w:color="auto"/>
              <w:left w:val="nil"/>
              <w:bottom w:val="single" w:sz="4" w:space="0" w:color="auto"/>
              <w:right w:val="nil"/>
            </w:tcBorders>
            <w:vAlign w:val="bottom"/>
          </w:tcPr>
          <w:p w:rsidR="00B51028" w:rsidRPr="00456014" w:rsidRDefault="00B51028" w:rsidP="007D04EF">
            <w:pPr>
              <w:spacing w:before="0" w:after="0"/>
            </w:pPr>
            <w:r w:rsidRPr="00456014">
              <w:t>Very high</w:t>
            </w:r>
          </w:p>
        </w:tc>
        <w:tc>
          <w:tcPr>
            <w:tcW w:w="755" w:type="pct"/>
            <w:tcBorders>
              <w:top w:val="single" w:sz="4" w:space="0" w:color="auto"/>
              <w:left w:val="nil"/>
              <w:bottom w:val="single" w:sz="4" w:space="0" w:color="auto"/>
              <w:right w:val="nil"/>
            </w:tcBorders>
            <w:vAlign w:val="bottom"/>
          </w:tcPr>
          <w:p w:rsidR="00B51028" w:rsidRPr="00456014" w:rsidRDefault="00B51028" w:rsidP="007D04EF">
            <w:pPr>
              <w:spacing w:before="0" w:after="0"/>
            </w:pPr>
            <w:r w:rsidRPr="00456014">
              <w:t>2.5</w:t>
            </w:r>
          </w:p>
        </w:tc>
        <w:tc>
          <w:tcPr>
            <w:tcW w:w="1352" w:type="pct"/>
            <w:tcBorders>
              <w:top w:val="single" w:sz="4" w:space="0" w:color="auto"/>
              <w:left w:val="nil"/>
              <w:bottom w:val="single" w:sz="4" w:space="0" w:color="auto"/>
              <w:right w:val="nil"/>
            </w:tcBorders>
            <w:shd w:val="clear" w:color="auto" w:fill="auto"/>
            <w:noWrap/>
            <w:vAlign w:val="bottom"/>
            <w:hideMark/>
          </w:tcPr>
          <w:p w:rsidR="00B51028" w:rsidRPr="00456014" w:rsidRDefault="00B51028" w:rsidP="007D04EF">
            <w:pPr>
              <w:spacing w:before="0" w:after="0"/>
            </w:pPr>
            <w:r w:rsidRPr="00456014">
              <w:t>1</w:t>
            </w:r>
          </w:p>
        </w:tc>
        <w:tc>
          <w:tcPr>
            <w:tcW w:w="1539" w:type="pct"/>
            <w:tcBorders>
              <w:top w:val="single" w:sz="4" w:space="0" w:color="auto"/>
              <w:left w:val="nil"/>
              <w:bottom w:val="single" w:sz="4" w:space="0" w:color="auto"/>
              <w:right w:val="nil"/>
            </w:tcBorders>
            <w:shd w:val="clear" w:color="auto" w:fill="auto"/>
            <w:noWrap/>
            <w:vAlign w:val="bottom"/>
            <w:hideMark/>
          </w:tcPr>
          <w:p w:rsidR="00B51028" w:rsidRPr="00456014" w:rsidRDefault="00B51028" w:rsidP="007D04EF">
            <w:pPr>
              <w:spacing w:before="0" w:after="0"/>
            </w:pPr>
            <w:r w:rsidRPr="00456014">
              <w:t>0.06</w:t>
            </w:r>
          </w:p>
        </w:tc>
      </w:tr>
      <w:tr w:rsidR="00B51028" w:rsidRPr="00456014" w:rsidTr="00CB54DA">
        <w:trPr>
          <w:trHeight w:val="315"/>
        </w:trPr>
        <w:tc>
          <w:tcPr>
            <w:tcW w:w="601" w:type="pct"/>
            <w:tcBorders>
              <w:top w:val="nil"/>
              <w:left w:val="nil"/>
              <w:bottom w:val="nil"/>
              <w:right w:val="nil"/>
            </w:tcBorders>
            <w:shd w:val="clear" w:color="auto" w:fill="auto"/>
            <w:noWrap/>
            <w:vAlign w:val="bottom"/>
            <w:hideMark/>
          </w:tcPr>
          <w:p w:rsidR="00B51028" w:rsidRPr="00456014" w:rsidRDefault="00B51028" w:rsidP="007D04EF">
            <w:pPr>
              <w:spacing w:before="0" w:after="0"/>
            </w:pPr>
            <w:r w:rsidRPr="00456014">
              <w:t>Gasera</w:t>
            </w:r>
          </w:p>
        </w:tc>
        <w:tc>
          <w:tcPr>
            <w:tcW w:w="753" w:type="pct"/>
            <w:tcBorders>
              <w:top w:val="single" w:sz="4" w:space="0" w:color="auto"/>
              <w:left w:val="nil"/>
              <w:bottom w:val="single" w:sz="4" w:space="0" w:color="auto"/>
              <w:right w:val="nil"/>
            </w:tcBorders>
            <w:vAlign w:val="bottom"/>
          </w:tcPr>
          <w:p w:rsidR="00B51028" w:rsidRPr="00456014" w:rsidRDefault="00B51028" w:rsidP="007D04EF">
            <w:pPr>
              <w:spacing w:before="0" w:after="0"/>
            </w:pPr>
            <w:r w:rsidRPr="00456014">
              <w:t>High</w:t>
            </w:r>
          </w:p>
        </w:tc>
        <w:tc>
          <w:tcPr>
            <w:tcW w:w="755" w:type="pct"/>
            <w:tcBorders>
              <w:top w:val="single" w:sz="4" w:space="0" w:color="auto"/>
              <w:left w:val="nil"/>
              <w:bottom w:val="single" w:sz="4" w:space="0" w:color="auto"/>
              <w:right w:val="nil"/>
            </w:tcBorders>
            <w:vAlign w:val="bottom"/>
          </w:tcPr>
          <w:p w:rsidR="00B51028" w:rsidRPr="00456014" w:rsidRDefault="00B51028" w:rsidP="007D04EF">
            <w:pPr>
              <w:spacing w:before="0" w:after="0"/>
            </w:pPr>
            <w:r w:rsidRPr="00456014">
              <w:t>308.9</w:t>
            </w:r>
          </w:p>
        </w:tc>
        <w:tc>
          <w:tcPr>
            <w:tcW w:w="1352" w:type="pct"/>
            <w:tcBorders>
              <w:top w:val="single" w:sz="4" w:space="0" w:color="auto"/>
              <w:left w:val="nil"/>
              <w:bottom w:val="single" w:sz="4" w:space="0" w:color="auto"/>
              <w:right w:val="nil"/>
            </w:tcBorders>
            <w:shd w:val="clear" w:color="auto" w:fill="auto"/>
            <w:noWrap/>
            <w:vAlign w:val="bottom"/>
            <w:hideMark/>
          </w:tcPr>
          <w:p w:rsidR="00B51028" w:rsidRPr="00456014" w:rsidRDefault="00B51028" w:rsidP="007D04EF">
            <w:pPr>
              <w:spacing w:before="0" w:after="0"/>
            </w:pPr>
            <w:r w:rsidRPr="00456014">
              <w:t>57.6</w:t>
            </w:r>
          </w:p>
        </w:tc>
        <w:tc>
          <w:tcPr>
            <w:tcW w:w="1539" w:type="pct"/>
            <w:tcBorders>
              <w:top w:val="single" w:sz="4" w:space="0" w:color="auto"/>
              <w:left w:val="nil"/>
              <w:bottom w:val="single" w:sz="4" w:space="0" w:color="auto"/>
              <w:right w:val="nil"/>
            </w:tcBorders>
            <w:shd w:val="clear" w:color="auto" w:fill="auto"/>
            <w:noWrap/>
            <w:vAlign w:val="bottom"/>
            <w:hideMark/>
          </w:tcPr>
          <w:p w:rsidR="00B51028" w:rsidRPr="00456014" w:rsidRDefault="00B51028" w:rsidP="007D04EF">
            <w:pPr>
              <w:spacing w:before="0" w:after="0"/>
            </w:pPr>
            <w:r w:rsidRPr="00456014">
              <w:t>6.9</w:t>
            </w:r>
          </w:p>
        </w:tc>
      </w:tr>
      <w:tr w:rsidR="00B51028" w:rsidRPr="00456014" w:rsidTr="00CB54DA">
        <w:trPr>
          <w:trHeight w:val="330"/>
        </w:trPr>
        <w:tc>
          <w:tcPr>
            <w:tcW w:w="601" w:type="pct"/>
            <w:tcBorders>
              <w:top w:val="nil"/>
              <w:left w:val="nil"/>
              <w:bottom w:val="nil"/>
              <w:right w:val="nil"/>
            </w:tcBorders>
            <w:shd w:val="clear" w:color="auto" w:fill="auto"/>
            <w:noWrap/>
            <w:vAlign w:val="bottom"/>
            <w:hideMark/>
          </w:tcPr>
          <w:p w:rsidR="00B51028" w:rsidRPr="00456014" w:rsidRDefault="00B51028" w:rsidP="007D04EF">
            <w:pPr>
              <w:spacing w:before="0" w:after="0"/>
              <w:rPr>
                <w:sz w:val="20"/>
                <w:szCs w:val="20"/>
              </w:rPr>
            </w:pPr>
          </w:p>
        </w:tc>
        <w:tc>
          <w:tcPr>
            <w:tcW w:w="753" w:type="pct"/>
            <w:tcBorders>
              <w:top w:val="single" w:sz="4" w:space="0" w:color="auto"/>
              <w:left w:val="nil"/>
              <w:bottom w:val="single" w:sz="4" w:space="0" w:color="auto"/>
              <w:right w:val="nil"/>
            </w:tcBorders>
            <w:vAlign w:val="bottom"/>
          </w:tcPr>
          <w:p w:rsidR="00B51028" w:rsidRPr="00456014" w:rsidRDefault="00B51028" w:rsidP="007D04EF">
            <w:pPr>
              <w:spacing w:before="0" w:after="0"/>
            </w:pPr>
            <w:r w:rsidRPr="00456014">
              <w:t>Very high</w:t>
            </w:r>
          </w:p>
        </w:tc>
        <w:tc>
          <w:tcPr>
            <w:tcW w:w="755" w:type="pct"/>
            <w:tcBorders>
              <w:top w:val="single" w:sz="4" w:space="0" w:color="auto"/>
              <w:left w:val="nil"/>
              <w:bottom w:val="single" w:sz="4" w:space="0" w:color="auto"/>
              <w:right w:val="nil"/>
            </w:tcBorders>
            <w:vAlign w:val="bottom"/>
          </w:tcPr>
          <w:p w:rsidR="00B51028" w:rsidRPr="00456014" w:rsidRDefault="00B51028" w:rsidP="007D04EF">
            <w:pPr>
              <w:spacing w:before="0" w:after="0"/>
            </w:pPr>
            <w:r w:rsidRPr="00456014">
              <w:t>0.15</w:t>
            </w:r>
          </w:p>
        </w:tc>
        <w:tc>
          <w:tcPr>
            <w:tcW w:w="1352" w:type="pct"/>
            <w:tcBorders>
              <w:top w:val="single" w:sz="4" w:space="0" w:color="auto"/>
              <w:left w:val="nil"/>
              <w:bottom w:val="single" w:sz="4" w:space="0" w:color="auto"/>
              <w:right w:val="nil"/>
            </w:tcBorders>
            <w:shd w:val="clear" w:color="auto" w:fill="auto"/>
            <w:noWrap/>
            <w:vAlign w:val="bottom"/>
            <w:hideMark/>
          </w:tcPr>
          <w:p w:rsidR="00B51028" w:rsidRPr="00456014" w:rsidRDefault="00B51028" w:rsidP="007D04EF">
            <w:pPr>
              <w:spacing w:before="0" w:after="0"/>
            </w:pPr>
            <w:r w:rsidRPr="00456014">
              <w:t>0.02</w:t>
            </w:r>
          </w:p>
        </w:tc>
        <w:tc>
          <w:tcPr>
            <w:tcW w:w="1539" w:type="pct"/>
            <w:tcBorders>
              <w:top w:val="single" w:sz="4" w:space="0" w:color="auto"/>
              <w:left w:val="nil"/>
              <w:bottom w:val="single" w:sz="4" w:space="0" w:color="auto"/>
              <w:right w:val="nil"/>
            </w:tcBorders>
            <w:shd w:val="clear" w:color="auto" w:fill="auto"/>
            <w:noWrap/>
            <w:vAlign w:val="bottom"/>
            <w:hideMark/>
          </w:tcPr>
          <w:p w:rsidR="00B51028" w:rsidRPr="00456014" w:rsidRDefault="00B51028" w:rsidP="007D04EF">
            <w:pPr>
              <w:spacing w:before="0" w:after="0"/>
            </w:pPr>
            <w:r w:rsidRPr="00456014">
              <w:t>0.003</w:t>
            </w:r>
          </w:p>
        </w:tc>
      </w:tr>
      <w:tr w:rsidR="00B51028" w:rsidRPr="00456014" w:rsidTr="00CB54DA">
        <w:trPr>
          <w:trHeight w:val="300"/>
        </w:trPr>
        <w:tc>
          <w:tcPr>
            <w:tcW w:w="601" w:type="pct"/>
            <w:tcBorders>
              <w:top w:val="nil"/>
              <w:left w:val="nil"/>
              <w:bottom w:val="nil"/>
              <w:right w:val="nil"/>
            </w:tcBorders>
            <w:shd w:val="clear" w:color="auto" w:fill="auto"/>
            <w:noWrap/>
            <w:vAlign w:val="bottom"/>
            <w:hideMark/>
          </w:tcPr>
          <w:p w:rsidR="00B51028" w:rsidRPr="00456014" w:rsidRDefault="00B51028" w:rsidP="007D04EF">
            <w:pPr>
              <w:spacing w:before="0" w:after="0"/>
            </w:pPr>
            <w:r w:rsidRPr="00456014">
              <w:t>Ginnir</w:t>
            </w:r>
          </w:p>
        </w:tc>
        <w:tc>
          <w:tcPr>
            <w:tcW w:w="753" w:type="pct"/>
            <w:tcBorders>
              <w:top w:val="single" w:sz="4" w:space="0" w:color="auto"/>
              <w:left w:val="nil"/>
              <w:bottom w:val="single" w:sz="4" w:space="0" w:color="auto"/>
              <w:right w:val="nil"/>
            </w:tcBorders>
            <w:vAlign w:val="bottom"/>
          </w:tcPr>
          <w:p w:rsidR="00B51028" w:rsidRPr="00456014" w:rsidRDefault="00B51028" w:rsidP="007D04EF">
            <w:pPr>
              <w:spacing w:before="0" w:after="0"/>
            </w:pPr>
            <w:r w:rsidRPr="00456014">
              <w:t>High</w:t>
            </w:r>
          </w:p>
        </w:tc>
        <w:tc>
          <w:tcPr>
            <w:tcW w:w="755" w:type="pct"/>
            <w:tcBorders>
              <w:top w:val="single" w:sz="4" w:space="0" w:color="auto"/>
              <w:left w:val="nil"/>
              <w:bottom w:val="single" w:sz="4" w:space="0" w:color="auto"/>
              <w:right w:val="nil"/>
            </w:tcBorders>
            <w:vAlign w:val="bottom"/>
          </w:tcPr>
          <w:p w:rsidR="00B51028" w:rsidRPr="00456014" w:rsidRDefault="00B51028" w:rsidP="007D04EF">
            <w:pPr>
              <w:spacing w:before="0" w:after="0"/>
            </w:pPr>
            <w:r w:rsidRPr="00456014">
              <w:t>286</w:t>
            </w:r>
          </w:p>
        </w:tc>
        <w:tc>
          <w:tcPr>
            <w:tcW w:w="1352" w:type="pct"/>
            <w:tcBorders>
              <w:top w:val="single" w:sz="4" w:space="0" w:color="auto"/>
              <w:left w:val="nil"/>
              <w:bottom w:val="single" w:sz="4" w:space="0" w:color="auto"/>
              <w:right w:val="nil"/>
            </w:tcBorders>
            <w:shd w:val="clear" w:color="auto" w:fill="auto"/>
            <w:noWrap/>
            <w:vAlign w:val="bottom"/>
            <w:hideMark/>
          </w:tcPr>
          <w:p w:rsidR="00B51028" w:rsidRPr="00456014" w:rsidRDefault="00B51028" w:rsidP="007D04EF">
            <w:pPr>
              <w:spacing w:before="0" w:after="0"/>
            </w:pPr>
            <w:r w:rsidRPr="00456014">
              <w:t>41</w:t>
            </w:r>
          </w:p>
        </w:tc>
        <w:tc>
          <w:tcPr>
            <w:tcW w:w="1539" w:type="pct"/>
            <w:tcBorders>
              <w:top w:val="single" w:sz="4" w:space="0" w:color="auto"/>
              <w:left w:val="nil"/>
              <w:bottom w:val="single" w:sz="4" w:space="0" w:color="auto"/>
              <w:right w:val="nil"/>
            </w:tcBorders>
            <w:shd w:val="clear" w:color="auto" w:fill="auto"/>
            <w:noWrap/>
            <w:vAlign w:val="bottom"/>
            <w:hideMark/>
          </w:tcPr>
          <w:p w:rsidR="00B51028" w:rsidRPr="00456014" w:rsidRDefault="00B51028" w:rsidP="007D04EF">
            <w:pPr>
              <w:spacing w:before="0" w:after="0"/>
            </w:pPr>
            <w:r w:rsidRPr="00456014">
              <w:t>6.5</w:t>
            </w:r>
          </w:p>
        </w:tc>
      </w:tr>
      <w:tr w:rsidR="00B51028" w:rsidRPr="00456014" w:rsidTr="00CB54DA">
        <w:trPr>
          <w:trHeight w:val="300"/>
        </w:trPr>
        <w:tc>
          <w:tcPr>
            <w:tcW w:w="601" w:type="pct"/>
            <w:tcBorders>
              <w:top w:val="nil"/>
              <w:left w:val="nil"/>
              <w:bottom w:val="nil"/>
              <w:right w:val="nil"/>
            </w:tcBorders>
            <w:shd w:val="clear" w:color="auto" w:fill="auto"/>
            <w:noWrap/>
            <w:vAlign w:val="bottom"/>
            <w:hideMark/>
          </w:tcPr>
          <w:p w:rsidR="00B51028" w:rsidRPr="00456014" w:rsidRDefault="00B51028" w:rsidP="007D04EF">
            <w:pPr>
              <w:spacing w:before="0" w:after="0"/>
              <w:rPr>
                <w:sz w:val="20"/>
                <w:szCs w:val="20"/>
              </w:rPr>
            </w:pPr>
          </w:p>
        </w:tc>
        <w:tc>
          <w:tcPr>
            <w:tcW w:w="753" w:type="pct"/>
            <w:tcBorders>
              <w:top w:val="single" w:sz="4" w:space="0" w:color="auto"/>
              <w:left w:val="nil"/>
              <w:bottom w:val="single" w:sz="4" w:space="0" w:color="auto"/>
              <w:right w:val="nil"/>
            </w:tcBorders>
            <w:vAlign w:val="bottom"/>
          </w:tcPr>
          <w:p w:rsidR="00B51028" w:rsidRPr="00456014" w:rsidRDefault="00B51028" w:rsidP="007D04EF">
            <w:pPr>
              <w:spacing w:before="0" w:after="0"/>
            </w:pPr>
            <w:r w:rsidRPr="00456014">
              <w:t>Very high</w:t>
            </w:r>
          </w:p>
        </w:tc>
        <w:tc>
          <w:tcPr>
            <w:tcW w:w="755" w:type="pct"/>
            <w:tcBorders>
              <w:top w:val="single" w:sz="4" w:space="0" w:color="auto"/>
              <w:left w:val="nil"/>
              <w:bottom w:val="single" w:sz="4" w:space="0" w:color="auto"/>
              <w:right w:val="nil"/>
            </w:tcBorders>
            <w:vAlign w:val="bottom"/>
          </w:tcPr>
          <w:p w:rsidR="00B51028" w:rsidRPr="00456014" w:rsidRDefault="00B51028" w:rsidP="007D04EF">
            <w:pPr>
              <w:spacing w:before="0" w:after="0"/>
            </w:pPr>
            <w:r w:rsidRPr="00456014">
              <w:t>3.53</w:t>
            </w:r>
          </w:p>
        </w:tc>
        <w:tc>
          <w:tcPr>
            <w:tcW w:w="1352" w:type="pct"/>
            <w:tcBorders>
              <w:top w:val="single" w:sz="4" w:space="0" w:color="auto"/>
              <w:left w:val="nil"/>
              <w:bottom w:val="single" w:sz="4" w:space="0" w:color="auto"/>
              <w:right w:val="nil"/>
            </w:tcBorders>
            <w:shd w:val="clear" w:color="auto" w:fill="auto"/>
            <w:noWrap/>
            <w:vAlign w:val="bottom"/>
            <w:hideMark/>
          </w:tcPr>
          <w:p w:rsidR="00B51028" w:rsidRPr="00456014" w:rsidRDefault="00B51028" w:rsidP="007D04EF">
            <w:pPr>
              <w:spacing w:before="0" w:after="0"/>
            </w:pPr>
            <w:r w:rsidRPr="00456014">
              <w:t>0.5</w:t>
            </w:r>
          </w:p>
        </w:tc>
        <w:tc>
          <w:tcPr>
            <w:tcW w:w="1539" w:type="pct"/>
            <w:tcBorders>
              <w:top w:val="single" w:sz="4" w:space="0" w:color="auto"/>
              <w:left w:val="nil"/>
              <w:bottom w:val="single" w:sz="4" w:space="0" w:color="auto"/>
              <w:right w:val="nil"/>
            </w:tcBorders>
            <w:shd w:val="clear" w:color="auto" w:fill="auto"/>
            <w:noWrap/>
            <w:vAlign w:val="bottom"/>
            <w:hideMark/>
          </w:tcPr>
          <w:p w:rsidR="00B51028" w:rsidRPr="00456014" w:rsidRDefault="00B51028" w:rsidP="007D04EF">
            <w:pPr>
              <w:spacing w:before="0" w:after="0"/>
            </w:pPr>
            <w:r w:rsidRPr="00456014">
              <w:t>0.08</w:t>
            </w:r>
          </w:p>
        </w:tc>
      </w:tr>
      <w:tr w:rsidR="00B51028" w:rsidRPr="00456014" w:rsidTr="006855D2">
        <w:trPr>
          <w:trHeight w:val="300"/>
        </w:trPr>
        <w:tc>
          <w:tcPr>
            <w:tcW w:w="601" w:type="pct"/>
            <w:tcBorders>
              <w:top w:val="nil"/>
              <w:left w:val="nil"/>
              <w:bottom w:val="nil"/>
              <w:right w:val="nil"/>
            </w:tcBorders>
            <w:shd w:val="clear" w:color="auto" w:fill="auto"/>
            <w:noWrap/>
            <w:vAlign w:val="bottom"/>
            <w:hideMark/>
          </w:tcPr>
          <w:p w:rsidR="00B51028" w:rsidRPr="00456014" w:rsidRDefault="00B51028" w:rsidP="007D04EF">
            <w:pPr>
              <w:spacing w:before="0" w:after="0"/>
            </w:pPr>
            <w:r w:rsidRPr="00456014">
              <w:t>Goba</w:t>
            </w:r>
          </w:p>
        </w:tc>
        <w:tc>
          <w:tcPr>
            <w:tcW w:w="753" w:type="pct"/>
            <w:tcBorders>
              <w:top w:val="single" w:sz="4" w:space="0" w:color="auto"/>
              <w:left w:val="nil"/>
              <w:bottom w:val="single" w:sz="4" w:space="0" w:color="auto"/>
              <w:right w:val="nil"/>
            </w:tcBorders>
            <w:vAlign w:val="bottom"/>
          </w:tcPr>
          <w:p w:rsidR="00B51028" w:rsidRPr="00456014" w:rsidRDefault="00B51028" w:rsidP="007D04EF">
            <w:pPr>
              <w:spacing w:before="0" w:after="0"/>
            </w:pPr>
            <w:r w:rsidRPr="00456014">
              <w:t>High</w:t>
            </w:r>
          </w:p>
        </w:tc>
        <w:tc>
          <w:tcPr>
            <w:tcW w:w="755" w:type="pct"/>
            <w:tcBorders>
              <w:top w:val="single" w:sz="4" w:space="0" w:color="auto"/>
              <w:left w:val="nil"/>
              <w:bottom w:val="single" w:sz="4" w:space="0" w:color="auto"/>
              <w:right w:val="nil"/>
            </w:tcBorders>
            <w:vAlign w:val="bottom"/>
          </w:tcPr>
          <w:p w:rsidR="00B51028" w:rsidRPr="00456014" w:rsidRDefault="00B51028" w:rsidP="007D04EF">
            <w:pPr>
              <w:spacing w:before="0" w:after="0"/>
            </w:pPr>
            <w:r w:rsidRPr="00456014">
              <w:t>251</w:t>
            </w:r>
          </w:p>
        </w:tc>
        <w:tc>
          <w:tcPr>
            <w:tcW w:w="1352" w:type="pct"/>
            <w:tcBorders>
              <w:top w:val="single" w:sz="4" w:space="0" w:color="auto"/>
              <w:left w:val="nil"/>
              <w:bottom w:val="single" w:sz="4" w:space="0" w:color="auto"/>
              <w:right w:val="nil"/>
            </w:tcBorders>
            <w:shd w:val="clear" w:color="auto" w:fill="auto"/>
            <w:noWrap/>
            <w:vAlign w:val="bottom"/>
            <w:hideMark/>
          </w:tcPr>
          <w:p w:rsidR="00B51028" w:rsidRPr="00456014" w:rsidRDefault="00B51028" w:rsidP="007D04EF">
            <w:pPr>
              <w:spacing w:before="0" w:after="0"/>
            </w:pPr>
            <w:r w:rsidRPr="00456014">
              <w:t>42</w:t>
            </w:r>
          </w:p>
        </w:tc>
        <w:tc>
          <w:tcPr>
            <w:tcW w:w="1539" w:type="pct"/>
            <w:tcBorders>
              <w:top w:val="single" w:sz="4" w:space="0" w:color="auto"/>
              <w:left w:val="nil"/>
              <w:bottom w:val="single" w:sz="4" w:space="0" w:color="auto"/>
              <w:right w:val="nil"/>
            </w:tcBorders>
            <w:shd w:val="clear" w:color="auto" w:fill="auto"/>
            <w:noWrap/>
            <w:vAlign w:val="bottom"/>
            <w:hideMark/>
          </w:tcPr>
          <w:p w:rsidR="00B51028" w:rsidRPr="00456014" w:rsidRDefault="00B51028" w:rsidP="007D04EF">
            <w:pPr>
              <w:spacing w:before="0" w:after="0"/>
            </w:pPr>
            <w:r w:rsidRPr="00456014">
              <w:t>5.6</w:t>
            </w:r>
          </w:p>
        </w:tc>
      </w:tr>
      <w:tr w:rsidR="00B51028" w:rsidRPr="00456014" w:rsidTr="006855D2">
        <w:trPr>
          <w:trHeight w:val="322"/>
        </w:trPr>
        <w:tc>
          <w:tcPr>
            <w:tcW w:w="601" w:type="pct"/>
            <w:vMerge w:val="restart"/>
            <w:tcBorders>
              <w:top w:val="nil"/>
              <w:left w:val="nil"/>
              <w:right w:val="nil"/>
            </w:tcBorders>
            <w:shd w:val="clear" w:color="auto" w:fill="auto"/>
            <w:noWrap/>
            <w:vAlign w:val="bottom"/>
            <w:hideMark/>
          </w:tcPr>
          <w:p w:rsidR="00B51028" w:rsidRPr="00456014" w:rsidRDefault="00B51028" w:rsidP="007D04EF">
            <w:pPr>
              <w:spacing w:before="0" w:after="0"/>
              <w:rPr>
                <w:sz w:val="20"/>
                <w:szCs w:val="20"/>
              </w:rPr>
            </w:pPr>
            <w:r w:rsidRPr="00456014">
              <w:t>Goro</w:t>
            </w:r>
          </w:p>
        </w:tc>
        <w:tc>
          <w:tcPr>
            <w:tcW w:w="753" w:type="pct"/>
            <w:tcBorders>
              <w:top w:val="single" w:sz="4" w:space="0" w:color="auto"/>
              <w:left w:val="nil"/>
              <w:bottom w:val="single" w:sz="4" w:space="0" w:color="auto"/>
              <w:right w:val="nil"/>
            </w:tcBorders>
            <w:vAlign w:val="bottom"/>
          </w:tcPr>
          <w:p w:rsidR="00B51028" w:rsidRPr="00456014" w:rsidRDefault="00B51028" w:rsidP="007D04EF">
            <w:pPr>
              <w:spacing w:before="0" w:after="0"/>
            </w:pPr>
            <w:r w:rsidRPr="00456014">
              <w:t>Very high</w:t>
            </w:r>
          </w:p>
        </w:tc>
        <w:tc>
          <w:tcPr>
            <w:tcW w:w="755" w:type="pct"/>
            <w:tcBorders>
              <w:top w:val="single" w:sz="4" w:space="0" w:color="auto"/>
              <w:left w:val="nil"/>
              <w:bottom w:val="single" w:sz="4" w:space="0" w:color="auto"/>
              <w:right w:val="nil"/>
            </w:tcBorders>
            <w:vAlign w:val="bottom"/>
          </w:tcPr>
          <w:p w:rsidR="00B51028" w:rsidRPr="00456014" w:rsidRDefault="00B51028" w:rsidP="007D04EF">
            <w:pPr>
              <w:spacing w:before="0" w:after="0"/>
            </w:pPr>
            <w:r w:rsidRPr="00456014">
              <w:t>3</w:t>
            </w:r>
          </w:p>
        </w:tc>
        <w:tc>
          <w:tcPr>
            <w:tcW w:w="1352" w:type="pct"/>
            <w:tcBorders>
              <w:top w:val="single" w:sz="4" w:space="0" w:color="auto"/>
              <w:left w:val="nil"/>
              <w:bottom w:val="single" w:sz="4" w:space="0" w:color="auto"/>
              <w:right w:val="nil"/>
            </w:tcBorders>
            <w:shd w:val="clear" w:color="auto" w:fill="auto"/>
            <w:noWrap/>
            <w:vAlign w:val="bottom"/>
            <w:hideMark/>
          </w:tcPr>
          <w:p w:rsidR="00B51028" w:rsidRPr="00456014" w:rsidRDefault="00B51028" w:rsidP="007D04EF">
            <w:pPr>
              <w:spacing w:before="0" w:after="0"/>
            </w:pPr>
            <w:r w:rsidRPr="00456014">
              <w:t>0.5</w:t>
            </w:r>
          </w:p>
        </w:tc>
        <w:tc>
          <w:tcPr>
            <w:tcW w:w="1539" w:type="pct"/>
            <w:tcBorders>
              <w:top w:val="single" w:sz="4" w:space="0" w:color="auto"/>
              <w:left w:val="nil"/>
              <w:bottom w:val="single" w:sz="4" w:space="0" w:color="auto"/>
              <w:right w:val="nil"/>
            </w:tcBorders>
            <w:shd w:val="clear" w:color="auto" w:fill="auto"/>
            <w:noWrap/>
            <w:vAlign w:val="bottom"/>
            <w:hideMark/>
          </w:tcPr>
          <w:p w:rsidR="00B51028" w:rsidRPr="00456014" w:rsidRDefault="00B51028" w:rsidP="007D04EF">
            <w:pPr>
              <w:spacing w:before="0" w:after="0"/>
            </w:pPr>
            <w:r w:rsidRPr="00456014">
              <w:t>0.07</w:t>
            </w:r>
          </w:p>
        </w:tc>
      </w:tr>
      <w:tr w:rsidR="00B51028" w:rsidRPr="00456014" w:rsidTr="006855D2">
        <w:trPr>
          <w:trHeight w:val="77"/>
        </w:trPr>
        <w:tc>
          <w:tcPr>
            <w:tcW w:w="601" w:type="pct"/>
            <w:vMerge/>
            <w:tcBorders>
              <w:left w:val="nil"/>
              <w:bottom w:val="nil"/>
              <w:right w:val="nil"/>
            </w:tcBorders>
            <w:shd w:val="clear" w:color="auto" w:fill="auto"/>
            <w:noWrap/>
            <w:vAlign w:val="bottom"/>
          </w:tcPr>
          <w:p w:rsidR="00B51028" w:rsidRPr="00456014" w:rsidRDefault="00B51028" w:rsidP="007D04EF">
            <w:pPr>
              <w:spacing w:before="0" w:after="0"/>
            </w:pPr>
          </w:p>
        </w:tc>
        <w:tc>
          <w:tcPr>
            <w:tcW w:w="753" w:type="pct"/>
            <w:tcBorders>
              <w:top w:val="single" w:sz="4" w:space="0" w:color="auto"/>
              <w:left w:val="nil"/>
              <w:bottom w:val="single" w:sz="4" w:space="0" w:color="auto"/>
              <w:right w:val="nil"/>
            </w:tcBorders>
            <w:vAlign w:val="bottom"/>
          </w:tcPr>
          <w:p w:rsidR="00B51028" w:rsidRPr="00456014" w:rsidRDefault="00B51028" w:rsidP="007D04EF">
            <w:pPr>
              <w:spacing w:before="0" w:after="0"/>
            </w:pPr>
            <w:r w:rsidRPr="00456014">
              <w:t>High</w:t>
            </w:r>
          </w:p>
        </w:tc>
        <w:tc>
          <w:tcPr>
            <w:tcW w:w="755" w:type="pct"/>
            <w:tcBorders>
              <w:top w:val="single" w:sz="4" w:space="0" w:color="auto"/>
              <w:left w:val="nil"/>
              <w:bottom w:val="single" w:sz="4" w:space="0" w:color="auto"/>
              <w:right w:val="nil"/>
            </w:tcBorders>
            <w:vAlign w:val="bottom"/>
          </w:tcPr>
          <w:p w:rsidR="00B51028" w:rsidRPr="00456014" w:rsidRDefault="00B51028" w:rsidP="007D04EF">
            <w:pPr>
              <w:spacing w:before="0" w:after="0"/>
            </w:pPr>
            <w:r w:rsidRPr="00456014">
              <w:t>99</w:t>
            </w:r>
          </w:p>
        </w:tc>
        <w:tc>
          <w:tcPr>
            <w:tcW w:w="1352" w:type="pct"/>
            <w:tcBorders>
              <w:top w:val="single" w:sz="4" w:space="0" w:color="auto"/>
              <w:left w:val="nil"/>
              <w:bottom w:val="single" w:sz="4" w:space="0" w:color="auto"/>
              <w:right w:val="nil"/>
            </w:tcBorders>
            <w:shd w:val="clear" w:color="auto" w:fill="auto"/>
            <w:noWrap/>
            <w:vAlign w:val="bottom"/>
          </w:tcPr>
          <w:p w:rsidR="00B51028" w:rsidRPr="00456014" w:rsidRDefault="00B51028" w:rsidP="007D04EF">
            <w:pPr>
              <w:spacing w:before="0" w:after="0"/>
            </w:pPr>
            <w:r w:rsidRPr="00456014">
              <w:t>42.8</w:t>
            </w:r>
          </w:p>
        </w:tc>
        <w:tc>
          <w:tcPr>
            <w:tcW w:w="1539" w:type="pct"/>
            <w:tcBorders>
              <w:top w:val="single" w:sz="4" w:space="0" w:color="auto"/>
              <w:left w:val="nil"/>
              <w:bottom w:val="single" w:sz="4" w:space="0" w:color="auto"/>
              <w:right w:val="nil"/>
            </w:tcBorders>
            <w:shd w:val="clear" w:color="auto" w:fill="auto"/>
            <w:noWrap/>
            <w:vAlign w:val="bottom"/>
          </w:tcPr>
          <w:p w:rsidR="00B51028" w:rsidRPr="00456014" w:rsidRDefault="00B51028" w:rsidP="007D04EF">
            <w:pPr>
              <w:spacing w:before="0" w:after="0"/>
            </w:pPr>
            <w:r w:rsidRPr="00456014">
              <w:t>2</w:t>
            </w:r>
          </w:p>
        </w:tc>
      </w:tr>
      <w:tr w:rsidR="00B51028" w:rsidRPr="00456014" w:rsidTr="006855D2">
        <w:trPr>
          <w:trHeight w:val="300"/>
        </w:trPr>
        <w:tc>
          <w:tcPr>
            <w:tcW w:w="601" w:type="pct"/>
            <w:vMerge w:val="restart"/>
            <w:tcBorders>
              <w:top w:val="nil"/>
              <w:left w:val="nil"/>
              <w:right w:val="nil"/>
            </w:tcBorders>
            <w:shd w:val="clear" w:color="auto" w:fill="auto"/>
            <w:noWrap/>
            <w:vAlign w:val="bottom"/>
          </w:tcPr>
          <w:p w:rsidR="00B51028" w:rsidRPr="00456014" w:rsidRDefault="00C17501" w:rsidP="007D04EF">
            <w:pPr>
              <w:spacing w:before="0" w:after="0"/>
            </w:pPr>
            <w:r w:rsidRPr="00C17501">
              <w:t>Sinana</w:t>
            </w:r>
          </w:p>
        </w:tc>
        <w:tc>
          <w:tcPr>
            <w:tcW w:w="753" w:type="pct"/>
            <w:tcBorders>
              <w:top w:val="single" w:sz="4" w:space="0" w:color="auto"/>
              <w:left w:val="nil"/>
              <w:bottom w:val="single" w:sz="4" w:space="0" w:color="auto"/>
              <w:right w:val="nil"/>
            </w:tcBorders>
            <w:vAlign w:val="bottom"/>
          </w:tcPr>
          <w:p w:rsidR="00B51028" w:rsidRPr="00456014" w:rsidRDefault="00B51028" w:rsidP="007D04EF">
            <w:pPr>
              <w:spacing w:before="0" w:after="0"/>
            </w:pPr>
            <w:r w:rsidRPr="00456014">
              <w:t>Very high</w:t>
            </w:r>
          </w:p>
        </w:tc>
        <w:tc>
          <w:tcPr>
            <w:tcW w:w="755" w:type="pct"/>
            <w:tcBorders>
              <w:top w:val="single" w:sz="4" w:space="0" w:color="auto"/>
              <w:left w:val="nil"/>
              <w:bottom w:val="single" w:sz="4" w:space="0" w:color="auto"/>
              <w:right w:val="nil"/>
            </w:tcBorders>
            <w:vAlign w:val="bottom"/>
          </w:tcPr>
          <w:p w:rsidR="00B51028" w:rsidRPr="00456014" w:rsidRDefault="00B51028" w:rsidP="007D04EF">
            <w:pPr>
              <w:spacing w:before="0" w:after="0"/>
            </w:pPr>
            <w:r w:rsidRPr="00456014">
              <w:t>0.04</w:t>
            </w:r>
          </w:p>
        </w:tc>
        <w:tc>
          <w:tcPr>
            <w:tcW w:w="1352" w:type="pct"/>
            <w:tcBorders>
              <w:top w:val="single" w:sz="4" w:space="0" w:color="auto"/>
              <w:left w:val="nil"/>
              <w:bottom w:val="single" w:sz="4" w:space="0" w:color="auto"/>
              <w:right w:val="nil"/>
            </w:tcBorders>
            <w:shd w:val="clear" w:color="auto" w:fill="auto"/>
            <w:noWrap/>
            <w:vAlign w:val="bottom"/>
          </w:tcPr>
          <w:p w:rsidR="00B51028" w:rsidRPr="00456014" w:rsidRDefault="00B51028" w:rsidP="007D04EF">
            <w:pPr>
              <w:spacing w:before="0" w:after="0"/>
            </w:pPr>
            <w:r w:rsidRPr="00456014">
              <w:t>0.02</w:t>
            </w:r>
          </w:p>
        </w:tc>
        <w:tc>
          <w:tcPr>
            <w:tcW w:w="1539" w:type="pct"/>
            <w:tcBorders>
              <w:top w:val="single" w:sz="4" w:space="0" w:color="auto"/>
              <w:left w:val="nil"/>
              <w:bottom w:val="single" w:sz="4" w:space="0" w:color="auto"/>
              <w:right w:val="nil"/>
            </w:tcBorders>
            <w:shd w:val="clear" w:color="auto" w:fill="auto"/>
            <w:noWrap/>
            <w:vAlign w:val="bottom"/>
          </w:tcPr>
          <w:p w:rsidR="00B51028" w:rsidRPr="00456014" w:rsidRDefault="00B51028" w:rsidP="007D04EF">
            <w:pPr>
              <w:spacing w:before="0" w:after="0"/>
            </w:pPr>
            <w:r w:rsidRPr="00456014">
              <w:t>0.001</w:t>
            </w:r>
          </w:p>
        </w:tc>
      </w:tr>
      <w:tr w:rsidR="00B51028" w:rsidRPr="00456014" w:rsidTr="006855D2">
        <w:trPr>
          <w:trHeight w:val="300"/>
        </w:trPr>
        <w:tc>
          <w:tcPr>
            <w:tcW w:w="601" w:type="pct"/>
            <w:vMerge/>
            <w:tcBorders>
              <w:left w:val="nil"/>
              <w:right w:val="nil"/>
            </w:tcBorders>
            <w:shd w:val="clear" w:color="auto" w:fill="auto"/>
            <w:noWrap/>
            <w:vAlign w:val="bottom"/>
            <w:hideMark/>
          </w:tcPr>
          <w:p w:rsidR="00B51028" w:rsidRPr="00456014" w:rsidRDefault="00B51028" w:rsidP="007D04EF">
            <w:pPr>
              <w:spacing w:before="0" w:after="0"/>
              <w:rPr>
                <w:sz w:val="20"/>
                <w:szCs w:val="20"/>
              </w:rPr>
            </w:pPr>
          </w:p>
        </w:tc>
        <w:tc>
          <w:tcPr>
            <w:tcW w:w="753" w:type="pct"/>
            <w:tcBorders>
              <w:top w:val="single" w:sz="4" w:space="0" w:color="auto"/>
              <w:left w:val="nil"/>
              <w:right w:val="nil"/>
            </w:tcBorders>
            <w:vAlign w:val="bottom"/>
          </w:tcPr>
          <w:p w:rsidR="00B51028" w:rsidRPr="00456014" w:rsidRDefault="00B51028" w:rsidP="007D04EF">
            <w:pPr>
              <w:spacing w:before="0" w:after="0"/>
            </w:pPr>
            <w:r w:rsidRPr="00456014">
              <w:t>High</w:t>
            </w:r>
          </w:p>
        </w:tc>
        <w:tc>
          <w:tcPr>
            <w:tcW w:w="755" w:type="pct"/>
            <w:tcBorders>
              <w:top w:val="single" w:sz="4" w:space="0" w:color="auto"/>
              <w:left w:val="nil"/>
              <w:bottom w:val="single" w:sz="4" w:space="0" w:color="auto"/>
              <w:right w:val="nil"/>
            </w:tcBorders>
            <w:vAlign w:val="bottom"/>
          </w:tcPr>
          <w:p w:rsidR="00B51028" w:rsidRPr="00456014" w:rsidRDefault="00B51028" w:rsidP="007D04EF">
            <w:pPr>
              <w:spacing w:before="0" w:after="0"/>
            </w:pPr>
            <w:r w:rsidRPr="00456014">
              <w:t>452</w:t>
            </w:r>
          </w:p>
        </w:tc>
        <w:tc>
          <w:tcPr>
            <w:tcW w:w="1352" w:type="pct"/>
            <w:tcBorders>
              <w:top w:val="single" w:sz="4" w:space="0" w:color="auto"/>
              <w:left w:val="nil"/>
              <w:bottom w:val="single" w:sz="4" w:space="0" w:color="auto"/>
              <w:right w:val="nil"/>
            </w:tcBorders>
            <w:shd w:val="clear" w:color="auto" w:fill="auto"/>
            <w:noWrap/>
            <w:vAlign w:val="bottom"/>
          </w:tcPr>
          <w:p w:rsidR="00B51028" w:rsidRPr="00456014" w:rsidRDefault="00B51028" w:rsidP="007D04EF">
            <w:pPr>
              <w:spacing w:before="0" w:after="0"/>
            </w:pPr>
            <w:r w:rsidRPr="00456014">
              <w:t>47</w:t>
            </w:r>
          </w:p>
        </w:tc>
        <w:tc>
          <w:tcPr>
            <w:tcW w:w="1539" w:type="pct"/>
            <w:tcBorders>
              <w:top w:val="single" w:sz="4" w:space="0" w:color="auto"/>
              <w:left w:val="nil"/>
              <w:bottom w:val="single" w:sz="4" w:space="0" w:color="auto"/>
              <w:right w:val="nil"/>
            </w:tcBorders>
            <w:shd w:val="clear" w:color="auto" w:fill="auto"/>
            <w:noWrap/>
            <w:vAlign w:val="bottom"/>
          </w:tcPr>
          <w:p w:rsidR="00B51028" w:rsidRPr="00456014" w:rsidRDefault="00B51028" w:rsidP="007D04EF">
            <w:pPr>
              <w:spacing w:before="0" w:after="0"/>
            </w:pPr>
            <w:r w:rsidRPr="00456014">
              <w:t>10</w:t>
            </w:r>
          </w:p>
        </w:tc>
      </w:tr>
      <w:tr w:rsidR="00B51028" w:rsidRPr="00456014" w:rsidTr="006855D2">
        <w:trPr>
          <w:trHeight w:val="300"/>
        </w:trPr>
        <w:tc>
          <w:tcPr>
            <w:tcW w:w="601" w:type="pct"/>
            <w:tcBorders>
              <w:top w:val="nil"/>
              <w:left w:val="nil"/>
              <w:bottom w:val="single" w:sz="4" w:space="0" w:color="auto"/>
              <w:right w:val="nil"/>
            </w:tcBorders>
            <w:shd w:val="clear" w:color="auto" w:fill="auto"/>
            <w:noWrap/>
            <w:vAlign w:val="bottom"/>
            <w:hideMark/>
          </w:tcPr>
          <w:p w:rsidR="00B51028" w:rsidRPr="00456014" w:rsidRDefault="00B51028" w:rsidP="007D04EF">
            <w:pPr>
              <w:spacing w:before="0" w:after="0"/>
            </w:pPr>
          </w:p>
        </w:tc>
        <w:tc>
          <w:tcPr>
            <w:tcW w:w="753" w:type="pct"/>
            <w:tcBorders>
              <w:top w:val="single" w:sz="4" w:space="0" w:color="auto"/>
              <w:left w:val="nil"/>
              <w:bottom w:val="single" w:sz="4" w:space="0" w:color="auto"/>
              <w:right w:val="nil"/>
            </w:tcBorders>
            <w:vAlign w:val="bottom"/>
          </w:tcPr>
          <w:p w:rsidR="00B51028" w:rsidRPr="00456014" w:rsidRDefault="00B51028" w:rsidP="007D04EF">
            <w:pPr>
              <w:spacing w:before="0" w:after="0"/>
            </w:pPr>
            <w:r w:rsidRPr="00456014">
              <w:t>Very high</w:t>
            </w:r>
          </w:p>
        </w:tc>
        <w:tc>
          <w:tcPr>
            <w:tcW w:w="755" w:type="pct"/>
            <w:tcBorders>
              <w:top w:val="single" w:sz="4" w:space="0" w:color="auto"/>
              <w:left w:val="nil"/>
              <w:bottom w:val="single" w:sz="4" w:space="0" w:color="auto"/>
              <w:right w:val="nil"/>
            </w:tcBorders>
            <w:vAlign w:val="bottom"/>
          </w:tcPr>
          <w:p w:rsidR="00B51028" w:rsidRPr="00456014" w:rsidRDefault="00B51028" w:rsidP="007D04EF">
            <w:pPr>
              <w:spacing w:before="0" w:after="0"/>
            </w:pPr>
            <w:r w:rsidRPr="00456014">
              <w:t>3.8</w:t>
            </w:r>
          </w:p>
        </w:tc>
        <w:tc>
          <w:tcPr>
            <w:tcW w:w="1352" w:type="pct"/>
            <w:tcBorders>
              <w:top w:val="single" w:sz="4" w:space="0" w:color="auto"/>
              <w:left w:val="nil"/>
              <w:bottom w:val="single" w:sz="4" w:space="0" w:color="auto"/>
              <w:right w:val="nil"/>
            </w:tcBorders>
            <w:shd w:val="clear" w:color="auto" w:fill="auto"/>
            <w:noWrap/>
            <w:vAlign w:val="bottom"/>
          </w:tcPr>
          <w:p w:rsidR="00B51028" w:rsidRPr="00456014" w:rsidRDefault="00B51028" w:rsidP="007D04EF">
            <w:pPr>
              <w:spacing w:before="0" w:after="0"/>
            </w:pPr>
            <w:r w:rsidRPr="00456014">
              <w:t>0.4</w:t>
            </w:r>
          </w:p>
        </w:tc>
        <w:tc>
          <w:tcPr>
            <w:tcW w:w="1539" w:type="pct"/>
            <w:tcBorders>
              <w:top w:val="single" w:sz="4" w:space="0" w:color="auto"/>
              <w:left w:val="nil"/>
              <w:bottom w:val="single" w:sz="4" w:space="0" w:color="auto"/>
              <w:right w:val="nil"/>
            </w:tcBorders>
            <w:shd w:val="clear" w:color="auto" w:fill="auto"/>
            <w:noWrap/>
            <w:vAlign w:val="bottom"/>
          </w:tcPr>
          <w:p w:rsidR="00B51028" w:rsidRPr="00456014" w:rsidRDefault="00B51028" w:rsidP="007D04EF">
            <w:pPr>
              <w:spacing w:before="0" w:after="0"/>
            </w:pPr>
            <w:r w:rsidRPr="00456014">
              <w:t>0.08</w:t>
            </w:r>
          </w:p>
        </w:tc>
      </w:tr>
    </w:tbl>
    <w:p w:rsidR="005E477C" w:rsidRPr="00456014" w:rsidRDefault="005E477C" w:rsidP="00015913">
      <w:pPr>
        <w:jc w:val="center"/>
      </w:pPr>
      <w:r>
        <w:rPr>
          <w:noProof/>
        </w:rPr>
        <w:drawing>
          <wp:inline distT="0" distB="0" distL="0" distR="0" wp14:anchorId="44547B8E" wp14:editId="7814C1BC">
            <wp:extent cx="2698750" cy="2450592"/>
            <wp:effectExtent l="0" t="0" r="6350" b="6985"/>
            <wp:docPr id="34" name="Chart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r>
        <w:rPr>
          <w:noProof/>
        </w:rPr>
        <w:drawing>
          <wp:inline distT="0" distB="0" distL="0" distR="0" wp14:anchorId="4F59509E" wp14:editId="30769909">
            <wp:extent cx="2816225" cy="2449855"/>
            <wp:effectExtent l="0" t="0" r="3175" b="762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r w:rsidRPr="005E477C">
        <w:rPr>
          <w:noProof/>
        </w:rPr>
        <w:t xml:space="preserve"> </w:t>
      </w:r>
    </w:p>
    <w:p w:rsidR="00015913" w:rsidRPr="00456014" w:rsidRDefault="00015913" w:rsidP="00015913">
      <w:pPr>
        <w:pStyle w:val="Caption"/>
        <w:spacing w:before="120" w:after="120" w:line="360" w:lineRule="auto"/>
        <w:rPr>
          <w:i w:val="0"/>
          <w:color w:val="auto"/>
          <w:sz w:val="24"/>
        </w:rPr>
      </w:pPr>
      <w:bookmarkStart w:id="229" w:name="_Toc68761643"/>
      <w:r w:rsidRPr="0057131A">
        <w:rPr>
          <w:i w:val="0"/>
          <w:color w:val="auto"/>
          <w:sz w:val="24"/>
        </w:rPr>
        <w:t xml:space="preserve">Figure </w:t>
      </w:r>
      <w:r w:rsidR="001342E5">
        <w:rPr>
          <w:i w:val="0"/>
          <w:color w:val="auto"/>
          <w:sz w:val="24"/>
        </w:rPr>
        <w:fldChar w:fldCharType="begin"/>
      </w:r>
      <w:r w:rsidR="001342E5">
        <w:rPr>
          <w:i w:val="0"/>
          <w:color w:val="auto"/>
          <w:sz w:val="24"/>
        </w:rPr>
        <w:instrText xml:space="preserve"> STYLEREF 1 \s </w:instrText>
      </w:r>
      <w:r w:rsidR="001342E5">
        <w:rPr>
          <w:i w:val="0"/>
          <w:color w:val="auto"/>
          <w:sz w:val="24"/>
        </w:rPr>
        <w:fldChar w:fldCharType="separate"/>
      </w:r>
      <w:r w:rsidR="00BD510E">
        <w:rPr>
          <w:i w:val="0"/>
          <w:noProof/>
          <w:color w:val="auto"/>
          <w:sz w:val="24"/>
        </w:rPr>
        <w:t>4</w:t>
      </w:r>
      <w:r w:rsidR="001342E5">
        <w:rPr>
          <w:i w:val="0"/>
          <w:color w:val="auto"/>
          <w:sz w:val="24"/>
        </w:rPr>
        <w:fldChar w:fldCharType="end"/>
      </w:r>
      <w:r w:rsidR="001342E5">
        <w:rPr>
          <w:i w:val="0"/>
          <w:color w:val="auto"/>
          <w:sz w:val="24"/>
        </w:rPr>
        <w:t>.</w:t>
      </w:r>
      <w:r w:rsidR="001342E5">
        <w:rPr>
          <w:i w:val="0"/>
          <w:color w:val="auto"/>
          <w:sz w:val="24"/>
        </w:rPr>
        <w:fldChar w:fldCharType="begin"/>
      </w:r>
      <w:r w:rsidR="001342E5">
        <w:rPr>
          <w:i w:val="0"/>
          <w:color w:val="auto"/>
          <w:sz w:val="24"/>
        </w:rPr>
        <w:instrText xml:space="preserve"> SEQ Figure \* ARABIC \s 1 </w:instrText>
      </w:r>
      <w:r w:rsidR="001342E5">
        <w:rPr>
          <w:i w:val="0"/>
          <w:color w:val="auto"/>
          <w:sz w:val="24"/>
        </w:rPr>
        <w:fldChar w:fldCharType="separate"/>
      </w:r>
      <w:r w:rsidR="00BD510E">
        <w:rPr>
          <w:i w:val="0"/>
          <w:noProof/>
          <w:color w:val="auto"/>
          <w:sz w:val="24"/>
        </w:rPr>
        <w:t>25</w:t>
      </w:r>
      <w:r w:rsidR="001342E5">
        <w:rPr>
          <w:i w:val="0"/>
          <w:color w:val="auto"/>
          <w:sz w:val="24"/>
        </w:rPr>
        <w:fldChar w:fldCharType="end"/>
      </w:r>
      <w:r w:rsidR="0075652F">
        <w:rPr>
          <w:i w:val="0"/>
          <w:color w:val="auto"/>
          <w:sz w:val="24"/>
        </w:rPr>
        <w:t xml:space="preserve">: Bar charts showing </w:t>
      </w:r>
      <w:r w:rsidR="00407E40" w:rsidRPr="0057131A">
        <w:rPr>
          <w:i w:val="0"/>
          <w:color w:val="auto"/>
          <w:sz w:val="24"/>
        </w:rPr>
        <w:t xml:space="preserve">very </w:t>
      </w:r>
      <w:r w:rsidR="00884349" w:rsidRPr="0057131A">
        <w:rPr>
          <w:i w:val="0"/>
          <w:color w:val="auto"/>
          <w:sz w:val="24"/>
        </w:rPr>
        <w:t xml:space="preserve">high and high </w:t>
      </w:r>
      <w:r w:rsidRPr="0057131A">
        <w:rPr>
          <w:i w:val="0"/>
          <w:color w:val="auto"/>
          <w:sz w:val="24"/>
        </w:rPr>
        <w:t xml:space="preserve">GWPZ’s </w:t>
      </w:r>
      <w:r w:rsidR="00CA5FC7" w:rsidRPr="0057131A">
        <w:rPr>
          <w:i w:val="0"/>
          <w:color w:val="auto"/>
          <w:sz w:val="24"/>
        </w:rPr>
        <w:t xml:space="preserve">of </w:t>
      </w:r>
      <w:r w:rsidRPr="0057131A">
        <w:rPr>
          <w:i w:val="0"/>
          <w:color w:val="auto"/>
          <w:sz w:val="24"/>
        </w:rPr>
        <w:t>Woreda</w:t>
      </w:r>
      <w:r w:rsidR="00DD0E8D" w:rsidRPr="0057131A">
        <w:rPr>
          <w:i w:val="0"/>
          <w:color w:val="auto"/>
          <w:sz w:val="24"/>
        </w:rPr>
        <w:t>s</w:t>
      </w:r>
      <w:bookmarkEnd w:id="229"/>
    </w:p>
    <w:p w:rsidR="00C87F42" w:rsidRPr="00456014" w:rsidRDefault="00C87F42" w:rsidP="008D3D8E">
      <w:pPr>
        <w:pStyle w:val="Heading2"/>
        <w:numPr>
          <w:ilvl w:val="1"/>
          <w:numId w:val="3"/>
        </w:numPr>
        <w:ind w:hanging="540"/>
        <w:rPr>
          <w:rFonts w:eastAsiaTheme="majorEastAsia"/>
          <w:szCs w:val="24"/>
        </w:rPr>
      </w:pPr>
      <w:bookmarkStart w:id="230" w:name="_Toc68025104"/>
      <w:bookmarkStart w:id="231" w:name="_Toc68761586"/>
      <w:r w:rsidRPr="00456014">
        <w:rPr>
          <w:rFonts w:eastAsiaTheme="majorEastAsia"/>
          <w:szCs w:val="24"/>
        </w:rPr>
        <w:lastRenderedPageBreak/>
        <w:t xml:space="preserve">Verification of the </w:t>
      </w:r>
      <w:r w:rsidR="00C42FA8" w:rsidRPr="00456014">
        <w:rPr>
          <w:rFonts w:eastAsiaTheme="majorEastAsia"/>
          <w:szCs w:val="24"/>
        </w:rPr>
        <w:t xml:space="preserve">Result Using Water Point </w:t>
      </w:r>
      <w:bookmarkEnd w:id="226"/>
      <w:r w:rsidR="003618B1">
        <w:rPr>
          <w:rFonts w:eastAsiaTheme="majorEastAsia"/>
          <w:szCs w:val="24"/>
        </w:rPr>
        <w:t>Data</w:t>
      </w:r>
      <w:bookmarkEnd w:id="230"/>
      <w:bookmarkEnd w:id="231"/>
    </w:p>
    <w:p w:rsidR="005F1C99" w:rsidRPr="000969EE" w:rsidRDefault="00FB6592" w:rsidP="00961DEE">
      <w:pPr>
        <w:rPr>
          <w:rFonts w:eastAsia="Times New Roman"/>
        </w:rPr>
      </w:pPr>
      <w:r>
        <w:t>To confirm the accuracy of predicted</w:t>
      </w:r>
      <w:r w:rsidR="00CE5044">
        <w:t xml:space="preserve"> GWPZ</w:t>
      </w:r>
      <w:r w:rsidR="00284BCC">
        <w:t>,</w:t>
      </w:r>
      <w:r w:rsidR="00CE5044">
        <w:t xml:space="preserve"> t</w:t>
      </w:r>
      <w:r w:rsidR="00C71A85" w:rsidRPr="00456014">
        <w:t xml:space="preserve">he resulting groundwater potential map was </w:t>
      </w:r>
      <w:r w:rsidR="00325455">
        <w:t>verified</w:t>
      </w:r>
      <w:r w:rsidR="00C71A85" w:rsidRPr="00456014">
        <w:t xml:space="preserve"> by using the existing </w:t>
      </w:r>
      <w:r w:rsidR="000374A8">
        <w:t xml:space="preserve">water </w:t>
      </w:r>
      <w:r w:rsidR="006A200A">
        <w:t>point’s</w:t>
      </w:r>
      <w:r w:rsidR="000374A8">
        <w:t xml:space="preserve"> inventory data. </w:t>
      </w:r>
      <w:r w:rsidR="00C71A85" w:rsidRPr="00456014">
        <w:t>The highest yield among the collected g</w:t>
      </w:r>
      <w:r w:rsidR="0022095A">
        <w:t xml:space="preserve">roundwater </w:t>
      </w:r>
      <w:r w:rsidR="006E533E">
        <w:t>point</w:t>
      </w:r>
      <w:r w:rsidR="0022095A">
        <w:t xml:space="preserve"> was Mio-spring of </w:t>
      </w:r>
      <w:r w:rsidR="00C71A85" w:rsidRPr="00456014">
        <w:t>40 l/s</w:t>
      </w:r>
      <w:r w:rsidR="0022095A">
        <w:t xml:space="preserve"> discharge</w:t>
      </w:r>
      <w:r w:rsidR="00C71A85" w:rsidRPr="00456014">
        <w:t>. On the contra</w:t>
      </w:r>
      <w:r w:rsidR="0022095A">
        <w:t xml:space="preserve">ry, </w:t>
      </w:r>
      <w:r w:rsidR="00C71A85" w:rsidRPr="00456014">
        <w:t>Asenberara spring and Amigna Shirar No</w:t>
      </w:r>
      <w:r w:rsidR="00284BCC">
        <w:t>.</w:t>
      </w:r>
      <w:r w:rsidR="00C71A85" w:rsidRPr="00456014">
        <w:t xml:space="preserve"> 1 dug wel</w:t>
      </w:r>
      <w:r w:rsidR="001939C2" w:rsidRPr="00456014">
        <w:t xml:space="preserve">l </w:t>
      </w:r>
      <w:r w:rsidR="0022095A">
        <w:t xml:space="preserve">yields the least value of </w:t>
      </w:r>
      <w:r w:rsidR="00F35EFF">
        <w:t>0.05</w:t>
      </w:r>
      <w:r w:rsidR="001939C2" w:rsidRPr="00456014">
        <w:t xml:space="preserve"> l/s yield (Appendix 19</w:t>
      </w:r>
      <w:r w:rsidR="00C71A85" w:rsidRPr="00456014">
        <w:t xml:space="preserve">). </w:t>
      </w:r>
      <w:r w:rsidR="00FD7E81">
        <w:t xml:space="preserve">The actual </w:t>
      </w:r>
      <w:r w:rsidR="00A309A8">
        <w:t>yields of fifty-one water points were</w:t>
      </w:r>
      <w:r w:rsidR="001A39FA">
        <w:t xml:space="preserve"> checked with the </w:t>
      </w:r>
      <w:r w:rsidR="005B018D">
        <w:t>identified</w:t>
      </w:r>
      <w:r w:rsidR="001A39FA">
        <w:t xml:space="preserve"> GWPZ. </w:t>
      </w:r>
      <w:r w:rsidR="007610CA">
        <w:t>T</w:t>
      </w:r>
      <w:r w:rsidR="0068543F">
        <w:t xml:space="preserve">he actual </w:t>
      </w:r>
      <w:r w:rsidR="008343DE">
        <w:t xml:space="preserve">yield of </w:t>
      </w:r>
      <w:r w:rsidR="009A1104" w:rsidRPr="00456014">
        <w:t xml:space="preserve">boreholes </w:t>
      </w:r>
      <w:r w:rsidR="008343DE">
        <w:t>and spring</w:t>
      </w:r>
      <w:r w:rsidR="00C71A85" w:rsidRPr="00456014">
        <w:t xml:space="preserve"> </w:t>
      </w:r>
      <w:r w:rsidR="0068543F" w:rsidRPr="00456014">
        <w:t xml:space="preserve">discharge </w:t>
      </w:r>
      <w:r w:rsidR="00B4068C">
        <w:t>were</w:t>
      </w:r>
      <w:r w:rsidR="00C71A85" w:rsidRPr="00456014">
        <w:t xml:space="preserve"> classified into five classes</w:t>
      </w:r>
      <w:r w:rsidR="00FD7E81">
        <w:t xml:space="preserve"> </w:t>
      </w:r>
      <w:r w:rsidR="00FD7E81">
        <w:fldChar w:fldCharType="begin" w:fldLock="1"/>
      </w:r>
      <w:r w:rsidR="00A309A8">
        <w:instrText>ADDIN CSL_CITATION {"citationItems":[{"id":"ITEM-1","itemData":{"author":[{"dropping-particle":"","family":"Gebru","given":"Hindeya","non-dropping-particle":"","parse-names":false,"suffix":""},{"dropping-particle":"","family":"Gebreyohannes","given":"Tesfamichael","non-dropping-particle":"","parse-names":false,"suffix":""},{"dropping-particle":"","family":"Hagos","given":"Ermias","non-dropping-particle":"","parse-names":false,"suffix":""}],"container-title":"International journal of advanced Remote Sensing and GIS","id":"ITEM-1","issue":"1","issued":{"date-parts":[["2020"]]},"page":"3289-3311","title":"Identification of groundwater potential zones using Analytical Hierarchy Process (AHP) and GIS-Remote Sensing integration, the case of Golina River Basin, Northern Ethiopia","type":"article-journal","volume":"9"},"uris":["http://www.mendeley.com/documents/?uuid=3e225bc8-36b1-425b-83b4-94cfacfd37f8","http://www.mendeley.com/documents/?uuid=63c7fd8b-fe9b-4d39-8769-bb3519cffdbe"]},{"id":"ITEM-2","itemData":{"author":[{"dropping-particle":"","family":"Doyo","given":"Diriba Worku","non-dropping-particle":"","parse-names":false,"suffix":""}],"id":"ITEM-2","issued":{"date-parts":[["2020"]]},"number-of-pages":"1-84","publisher":"Hawassa University","title":"Groundwater potential mapping using remote sensing and GIS techniques: the case of Meki watershed, Central Rift valley, Ethiopia","type":"thesis"},"uris":["http://www.mendeley.com/documents/?uuid=2751595d-7581-4867-a4a6-8a89444e1e59","http://www.mendeley.com/documents/?uuid=de24f4fb-afa8-4ca2-b379-e72af14d232b","http://www.mendeley.com/documents/?uuid=3abc866b-e6c6-4589-b8b8-f7c116ac47e6"]},{"id":"ITEM-3","itemData":{"ISSN":"22145818","abstract":"Study Region: Part of the Lake Tana sub-basin of the Blue Nile, Ethiopia Study focus: This study is aimed to identify and locate the groundwater potential zones of Megech watershed using geographic information system (GIS) and remote sensing. Lithology, lineament density, slope, geomorphology, soil, land use and land cover, rainfall, drainage density and elevation were used as proxy data to map the groundwater potential zones of the watershed. Weights were assigned for each thematic layer and thematic layer classes using the PriEsT Analytical Hierarchy Process (AHP) tool. Suitably ArcGIS overlay analysis was conducted to obtain the groundwater potential map. Geology, lineament density, slope and geomorphology were found to be the dominant and sensitive factors for groundwater zoning as portrayed in the map removal analysis. New hydrological insights for the region: Three groundwater potential zones were identified in the study area namely low, moderate and high. These groundwater potential zones were compared with an independent set of groundwater inventory data to validate the results. The validation analysis showed 78.5 % agreement between the groundwater inventory data and the qualitative results. Use of proxy data can serve as a credible source of information for groundwater potential zoning and could greatly help in the groundwater development and management of a region.","author":[{"dropping-particle":"","family":"Berhanu","given":"Kibrit Gedam","non-dropping-particle":"","parse-names":false,"suffix":""},{"dropping-particle":"","family":"Hatiye","given":"Samuel Dagalo","non-dropping-particle":"","parse-names":false,"suffix":""}],"container-title":"Journal of Hydrology: Regional Studies","id":"ITEM-3","issue":"2","issued":{"date-parts":[["2020"]]},"page":"1-20","publisher":"Elsevier","title":"Identification of Groundwater Potential Zones Using Proxy Data: Case study of Megech Watershed, Ethiopia","type":"article-journal","volume":"28"},"uris":["http://www.mendeley.com/documents/?uuid=3490be92-453d-4041-a8ee-a20a1819fce5","http://www.mendeley.com/documents/?uuid=eb26e103-6c48-4c4c-ba99-ee12644d8c83","http://www.mendeley.com/documents/?uuid=773cea08-7fd0-4f8d-aa7c-138be63648ad"]}],"mendeley":{"formattedCitation":"(K. G. Berhanu &amp; Hatiye, 2020; Doyo, 2020; Gebru et al., 2020)","manualFormatting":"(Berhanu and Hatiye, 2020; Doyo, 2020; Gebru et al., 2020)","plainTextFormattedCitation":"(K. G. Berhanu &amp; Hatiye, 2020; Doyo, 2020; Gebru et al., 2020)","previouslyFormattedCitation":"(K. G. Berhanu &amp; Hatiye, 2020; Doyo, 2020; Gebru et al., 2020)"},"properties":{"noteIndex":0},"schema":"https://github.com/citation-style-language/schema/raw/master/csl-citation.json"}</w:instrText>
      </w:r>
      <w:r w:rsidR="00FD7E81">
        <w:fldChar w:fldCharType="separate"/>
      </w:r>
      <w:r w:rsidR="00B54F65">
        <w:rPr>
          <w:noProof/>
        </w:rPr>
        <w:t>(</w:t>
      </w:r>
      <w:r w:rsidR="00B457F8">
        <w:rPr>
          <w:noProof/>
        </w:rPr>
        <w:t>Berhanu and</w:t>
      </w:r>
      <w:r w:rsidR="00B54F65" w:rsidRPr="00B54F65">
        <w:rPr>
          <w:noProof/>
        </w:rPr>
        <w:t xml:space="preserve"> Hatiye, 2020; Doyo, 2020; Gebru et al., 2020)</w:t>
      </w:r>
      <w:r w:rsidR="00FD7E81">
        <w:fldChar w:fldCharType="end"/>
      </w:r>
      <w:r w:rsidR="00C71A85" w:rsidRPr="00456014">
        <w:t xml:space="preserve">. The </w:t>
      </w:r>
      <w:r w:rsidR="00014386">
        <w:t>water point</w:t>
      </w:r>
      <w:r w:rsidR="00A309A8">
        <w:t>s</w:t>
      </w:r>
      <w:r w:rsidR="00C71A85" w:rsidRPr="00456014">
        <w:t xml:space="preserve"> that fall in the highest yield </w:t>
      </w:r>
      <w:r w:rsidR="00014386">
        <w:t xml:space="preserve">of </w:t>
      </w:r>
      <w:r w:rsidR="008E16A3">
        <w:t>≥</w:t>
      </w:r>
      <w:r w:rsidR="00C71A85" w:rsidRPr="00456014">
        <w:t xml:space="preserve">15 l/s were classified under very high groundwater potential. </w:t>
      </w:r>
      <w:r w:rsidR="003D2A8B" w:rsidRPr="00456014">
        <w:rPr>
          <w:rFonts w:eastAsia="Times New Roman"/>
        </w:rPr>
        <w:t xml:space="preserve">Yields/discharge </w:t>
      </w:r>
      <w:r w:rsidR="00797CB9">
        <w:rPr>
          <w:rFonts w:eastAsia="Times New Roman"/>
        </w:rPr>
        <w:t>between 15-3.5 l/s, 3.5-0.5 l/s, 0.5</w:t>
      </w:r>
      <w:r w:rsidR="003D2A8B" w:rsidRPr="00456014">
        <w:rPr>
          <w:rFonts w:eastAsia="Times New Roman"/>
        </w:rPr>
        <w:t>-0.</w:t>
      </w:r>
      <w:r w:rsidR="000A03A4">
        <w:rPr>
          <w:rFonts w:eastAsia="Times New Roman"/>
        </w:rPr>
        <w:t>0</w:t>
      </w:r>
      <w:r w:rsidR="00FE09E0">
        <w:rPr>
          <w:rFonts w:eastAsia="Times New Roman"/>
        </w:rPr>
        <w:t>5 l/s</w:t>
      </w:r>
      <w:r w:rsidR="003D2A8B" w:rsidRPr="00456014">
        <w:rPr>
          <w:rFonts w:eastAsia="Times New Roman"/>
        </w:rPr>
        <w:t xml:space="preserve"> and less than 0.</w:t>
      </w:r>
      <w:r w:rsidR="000A03A4">
        <w:rPr>
          <w:rFonts w:eastAsia="Times New Roman"/>
        </w:rPr>
        <w:t>0</w:t>
      </w:r>
      <w:r w:rsidR="003D2A8B" w:rsidRPr="00456014">
        <w:rPr>
          <w:rFonts w:eastAsia="Times New Roman"/>
        </w:rPr>
        <w:t>5 were class</w:t>
      </w:r>
      <w:r w:rsidR="00E45CA6">
        <w:rPr>
          <w:rFonts w:eastAsia="Times New Roman"/>
        </w:rPr>
        <w:t>ified under high, moderate, low</w:t>
      </w:r>
      <w:r w:rsidR="003D2A8B" w:rsidRPr="00456014">
        <w:rPr>
          <w:rFonts w:eastAsia="Times New Roman"/>
        </w:rPr>
        <w:t xml:space="preserve"> and very low GWPZ’s. </w:t>
      </w:r>
    </w:p>
    <w:p w:rsidR="0078207C" w:rsidRPr="00456014" w:rsidRDefault="0078207C" w:rsidP="00961DEE">
      <w:pPr>
        <w:pStyle w:val="Caption"/>
        <w:keepNext/>
        <w:spacing w:before="120" w:after="120" w:line="360" w:lineRule="auto"/>
        <w:rPr>
          <w:rFonts w:eastAsiaTheme="minorHAnsi"/>
          <w:i w:val="0"/>
          <w:color w:val="auto"/>
          <w:sz w:val="24"/>
          <w:szCs w:val="24"/>
        </w:rPr>
      </w:pPr>
      <w:bookmarkStart w:id="232" w:name="_Toc68761610"/>
      <w:r w:rsidRPr="00456014">
        <w:rPr>
          <w:i w:val="0"/>
          <w:color w:val="auto"/>
          <w:sz w:val="24"/>
          <w:szCs w:val="24"/>
        </w:rPr>
        <w:t xml:space="preserve">Table </w:t>
      </w:r>
      <w:r w:rsidR="001578A8" w:rsidRPr="00456014">
        <w:rPr>
          <w:i w:val="0"/>
          <w:color w:val="auto"/>
          <w:sz w:val="24"/>
          <w:szCs w:val="24"/>
        </w:rPr>
        <w:fldChar w:fldCharType="begin"/>
      </w:r>
      <w:r w:rsidR="001578A8" w:rsidRPr="00456014">
        <w:rPr>
          <w:i w:val="0"/>
          <w:color w:val="auto"/>
          <w:sz w:val="24"/>
          <w:szCs w:val="24"/>
        </w:rPr>
        <w:instrText xml:space="preserve"> STYLEREF 1 \s </w:instrText>
      </w:r>
      <w:r w:rsidR="001578A8" w:rsidRPr="00456014">
        <w:rPr>
          <w:i w:val="0"/>
          <w:color w:val="auto"/>
          <w:sz w:val="24"/>
          <w:szCs w:val="24"/>
        </w:rPr>
        <w:fldChar w:fldCharType="separate"/>
      </w:r>
      <w:r w:rsidR="00BD510E">
        <w:rPr>
          <w:i w:val="0"/>
          <w:noProof/>
          <w:color w:val="auto"/>
          <w:sz w:val="24"/>
          <w:szCs w:val="24"/>
        </w:rPr>
        <w:t>4</w:t>
      </w:r>
      <w:r w:rsidR="001578A8" w:rsidRPr="00456014">
        <w:rPr>
          <w:i w:val="0"/>
          <w:color w:val="auto"/>
          <w:sz w:val="24"/>
          <w:szCs w:val="24"/>
        </w:rPr>
        <w:fldChar w:fldCharType="end"/>
      </w:r>
      <w:r w:rsidR="001578A8" w:rsidRPr="00456014">
        <w:rPr>
          <w:i w:val="0"/>
          <w:color w:val="auto"/>
          <w:sz w:val="24"/>
          <w:szCs w:val="24"/>
        </w:rPr>
        <w:t>.</w:t>
      </w:r>
      <w:r w:rsidR="001578A8" w:rsidRPr="00456014">
        <w:rPr>
          <w:i w:val="0"/>
          <w:color w:val="auto"/>
          <w:sz w:val="24"/>
          <w:szCs w:val="24"/>
        </w:rPr>
        <w:fldChar w:fldCharType="begin"/>
      </w:r>
      <w:r w:rsidR="001578A8" w:rsidRPr="00456014">
        <w:rPr>
          <w:i w:val="0"/>
          <w:color w:val="auto"/>
          <w:sz w:val="24"/>
          <w:szCs w:val="24"/>
        </w:rPr>
        <w:instrText xml:space="preserve"> SEQ Table \* ARABIC \s 1 </w:instrText>
      </w:r>
      <w:r w:rsidR="001578A8" w:rsidRPr="00456014">
        <w:rPr>
          <w:i w:val="0"/>
          <w:color w:val="auto"/>
          <w:sz w:val="24"/>
          <w:szCs w:val="24"/>
        </w:rPr>
        <w:fldChar w:fldCharType="separate"/>
      </w:r>
      <w:r w:rsidR="00BD510E">
        <w:rPr>
          <w:i w:val="0"/>
          <w:noProof/>
          <w:color w:val="auto"/>
          <w:sz w:val="24"/>
          <w:szCs w:val="24"/>
        </w:rPr>
        <w:t>16</w:t>
      </w:r>
      <w:r w:rsidR="001578A8" w:rsidRPr="00456014">
        <w:rPr>
          <w:i w:val="0"/>
          <w:color w:val="auto"/>
          <w:sz w:val="24"/>
          <w:szCs w:val="24"/>
        </w:rPr>
        <w:fldChar w:fldCharType="end"/>
      </w:r>
      <w:r w:rsidR="00416B82" w:rsidRPr="00456014">
        <w:rPr>
          <w:i w:val="0"/>
          <w:color w:val="auto"/>
          <w:sz w:val="24"/>
          <w:szCs w:val="24"/>
        </w:rPr>
        <w:t>:</w:t>
      </w:r>
      <w:r w:rsidRPr="00456014">
        <w:rPr>
          <w:i w:val="0"/>
          <w:color w:val="auto"/>
          <w:sz w:val="24"/>
          <w:szCs w:val="24"/>
        </w:rPr>
        <w:t xml:space="preserve"> </w:t>
      </w:r>
      <w:r w:rsidRPr="00456014">
        <w:rPr>
          <w:rFonts w:eastAsiaTheme="minorHAnsi"/>
          <w:i w:val="0"/>
          <w:color w:val="auto"/>
          <w:sz w:val="24"/>
          <w:szCs w:val="24"/>
        </w:rPr>
        <w:t>Validation of the identified groundwater potential zones with actual yield</w:t>
      </w:r>
      <w:bookmarkEnd w:id="232"/>
    </w:p>
    <w:tbl>
      <w:tblPr>
        <w:tblW w:w="5000" w:type="pct"/>
        <w:jc w:val="center"/>
        <w:tblBorders>
          <w:top w:val="single" w:sz="4" w:space="0" w:color="auto"/>
          <w:bottom w:val="single" w:sz="4" w:space="0" w:color="auto"/>
        </w:tblBorders>
        <w:tblLook w:val="04A0" w:firstRow="1" w:lastRow="0" w:firstColumn="1" w:lastColumn="0" w:noHBand="0" w:noVBand="1"/>
      </w:tblPr>
      <w:tblGrid>
        <w:gridCol w:w="810"/>
        <w:gridCol w:w="990"/>
        <w:gridCol w:w="990"/>
        <w:gridCol w:w="1080"/>
        <w:gridCol w:w="990"/>
        <w:gridCol w:w="810"/>
        <w:gridCol w:w="871"/>
        <w:gridCol w:w="810"/>
        <w:gridCol w:w="810"/>
        <w:gridCol w:w="839"/>
      </w:tblGrid>
      <w:tr w:rsidR="00456014" w:rsidRPr="00456014" w:rsidTr="00C9335F">
        <w:trPr>
          <w:trHeight w:val="70"/>
          <w:jc w:val="center"/>
        </w:trPr>
        <w:tc>
          <w:tcPr>
            <w:tcW w:w="450" w:type="pct"/>
            <w:vMerge w:val="restart"/>
            <w:tcBorders>
              <w:top w:val="single" w:sz="4" w:space="0" w:color="auto"/>
              <w:bottom w:val="single" w:sz="4" w:space="0" w:color="auto"/>
              <w:right w:val="single" w:sz="4" w:space="0" w:color="auto"/>
            </w:tcBorders>
            <w:shd w:val="clear" w:color="auto" w:fill="auto"/>
            <w:noWrap/>
            <w:textDirection w:val="btLr"/>
            <w:vAlign w:val="center"/>
            <w:hideMark/>
          </w:tcPr>
          <w:p w:rsidR="005A0263" w:rsidRPr="00456014" w:rsidRDefault="00707023" w:rsidP="004800D0">
            <w:pPr>
              <w:spacing w:before="0" w:after="0"/>
              <w:ind w:left="113" w:right="113"/>
              <w:jc w:val="center"/>
              <w:rPr>
                <w:rFonts w:eastAsia="Times New Roman"/>
                <w:bCs/>
              </w:rPr>
            </w:pPr>
            <w:r w:rsidRPr="00456014">
              <w:rPr>
                <w:rFonts w:eastAsia="Times New Roman"/>
                <w:bCs/>
              </w:rPr>
              <w:t>Actual GWPZ</w:t>
            </w:r>
          </w:p>
        </w:tc>
        <w:tc>
          <w:tcPr>
            <w:tcW w:w="550" w:type="pct"/>
            <w:tcBorders>
              <w:top w:val="single" w:sz="4" w:space="0" w:color="auto"/>
              <w:left w:val="single" w:sz="4" w:space="0" w:color="auto"/>
              <w:bottom w:val="single" w:sz="4" w:space="0" w:color="auto"/>
            </w:tcBorders>
            <w:shd w:val="clear" w:color="auto" w:fill="auto"/>
            <w:noWrap/>
            <w:vAlign w:val="bottom"/>
            <w:hideMark/>
          </w:tcPr>
          <w:p w:rsidR="005A0263" w:rsidRPr="00456014" w:rsidRDefault="005A0263" w:rsidP="004800D0">
            <w:pPr>
              <w:spacing w:before="0" w:after="0"/>
              <w:jc w:val="left"/>
              <w:rPr>
                <w:rFonts w:eastAsia="Times New Roman"/>
                <w:bCs/>
              </w:rPr>
            </w:pPr>
          </w:p>
        </w:tc>
        <w:tc>
          <w:tcPr>
            <w:tcW w:w="4000" w:type="pct"/>
            <w:gridSpan w:val="8"/>
            <w:tcBorders>
              <w:top w:val="single" w:sz="4" w:space="0" w:color="auto"/>
              <w:bottom w:val="single" w:sz="4" w:space="0" w:color="auto"/>
            </w:tcBorders>
            <w:shd w:val="clear" w:color="auto" w:fill="auto"/>
            <w:vAlign w:val="bottom"/>
          </w:tcPr>
          <w:p w:rsidR="005A0263" w:rsidRPr="00456014" w:rsidRDefault="005A0263" w:rsidP="004800D0">
            <w:pPr>
              <w:spacing w:before="0" w:after="0"/>
              <w:jc w:val="center"/>
              <w:rPr>
                <w:rFonts w:eastAsia="Times New Roman"/>
                <w:bCs/>
              </w:rPr>
            </w:pPr>
            <w:r w:rsidRPr="00456014">
              <w:rPr>
                <w:rFonts w:eastAsia="Times New Roman"/>
                <w:bCs/>
              </w:rPr>
              <w:t xml:space="preserve">Mapped </w:t>
            </w:r>
            <w:r w:rsidR="00707023" w:rsidRPr="00456014">
              <w:rPr>
                <w:rFonts w:eastAsia="Times New Roman"/>
                <w:bCs/>
              </w:rPr>
              <w:t>GWPZ</w:t>
            </w:r>
          </w:p>
        </w:tc>
      </w:tr>
      <w:tr w:rsidR="00456014" w:rsidRPr="00456014" w:rsidTr="00C9335F">
        <w:trPr>
          <w:trHeight w:val="82"/>
          <w:jc w:val="center"/>
        </w:trPr>
        <w:tc>
          <w:tcPr>
            <w:tcW w:w="450" w:type="pct"/>
            <w:vMerge/>
            <w:tcBorders>
              <w:top w:val="single" w:sz="4" w:space="0" w:color="auto"/>
              <w:right w:val="single" w:sz="4" w:space="0" w:color="auto"/>
            </w:tcBorders>
            <w:shd w:val="clear" w:color="auto" w:fill="auto"/>
            <w:noWrap/>
            <w:vAlign w:val="bottom"/>
            <w:hideMark/>
          </w:tcPr>
          <w:p w:rsidR="00D958A5" w:rsidRPr="00456014" w:rsidRDefault="00D958A5" w:rsidP="004800D0">
            <w:pPr>
              <w:spacing w:before="0" w:after="0"/>
              <w:jc w:val="left"/>
              <w:rPr>
                <w:rFonts w:eastAsia="Times New Roman"/>
                <w:bCs/>
              </w:rPr>
            </w:pPr>
          </w:p>
        </w:tc>
        <w:tc>
          <w:tcPr>
            <w:tcW w:w="550" w:type="pct"/>
            <w:tcBorders>
              <w:top w:val="single" w:sz="4" w:space="0" w:color="auto"/>
              <w:left w:val="single" w:sz="4" w:space="0" w:color="auto"/>
            </w:tcBorders>
            <w:shd w:val="clear" w:color="auto" w:fill="auto"/>
            <w:noWrap/>
            <w:vAlign w:val="bottom"/>
            <w:hideMark/>
          </w:tcPr>
          <w:p w:rsidR="00D958A5" w:rsidRPr="00456014" w:rsidRDefault="00D958A5" w:rsidP="004800D0">
            <w:pPr>
              <w:spacing w:before="0" w:after="0"/>
              <w:jc w:val="left"/>
              <w:rPr>
                <w:rFonts w:eastAsia="Times New Roman"/>
                <w:bCs/>
              </w:rPr>
            </w:pPr>
          </w:p>
        </w:tc>
        <w:tc>
          <w:tcPr>
            <w:tcW w:w="550" w:type="pct"/>
            <w:tcBorders>
              <w:top w:val="single" w:sz="4" w:space="0" w:color="auto"/>
            </w:tcBorders>
            <w:shd w:val="clear" w:color="auto" w:fill="auto"/>
            <w:noWrap/>
            <w:vAlign w:val="bottom"/>
            <w:hideMark/>
          </w:tcPr>
          <w:p w:rsidR="00D958A5" w:rsidRPr="00456014" w:rsidRDefault="00D958A5" w:rsidP="004800D0">
            <w:pPr>
              <w:spacing w:before="0" w:after="0"/>
              <w:jc w:val="left"/>
              <w:rPr>
                <w:rFonts w:eastAsia="Times New Roman"/>
              </w:rPr>
            </w:pPr>
            <w:r w:rsidRPr="00456014">
              <w:rPr>
                <w:rFonts w:eastAsia="Times New Roman"/>
                <w:bCs/>
              </w:rPr>
              <w:t>VH</w:t>
            </w:r>
          </w:p>
        </w:tc>
        <w:tc>
          <w:tcPr>
            <w:tcW w:w="600" w:type="pct"/>
            <w:tcBorders>
              <w:top w:val="single" w:sz="4" w:space="0" w:color="auto"/>
            </w:tcBorders>
            <w:shd w:val="clear" w:color="auto" w:fill="auto"/>
            <w:noWrap/>
            <w:vAlign w:val="bottom"/>
            <w:hideMark/>
          </w:tcPr>
          <w:p w:rsidR="00D958A5" w:rsidRPr="00456014" w:rsidRDefault="00D958A5" w:rsidP="004800D0">
            <w:pPr>
              <w:spacing w:before="0" w:after="0"/>
              <w:jc w:val="left"/>
              <w:rPr>
                <w:rFonts w:eastAsia="Times New Roman"/>
              </w:rPr>
            </w:pPr>
            <w:r w:rsidRPr="00456014">
              <w:rPr>
                <w:rFonts w:eastAsia="Times New Roman"/>
                <w:bCs/>
              </w:rPr>
              <w:t>H</w:t>
            </w:r>
          </w:p>
        </w:tc>
        <w:tc>
          <w:tcPr>
            <w:tcW w:w="550" w:type="pct"/>
            <w:tcBorders>
              <w:top w:val="single" w:sz="4" w:space="0" w:color="auto"/>
            </w:tcBorders>
            <w:shd w:val="clear" w:color="auto" w:fill="auto"/>
            <w:noWrap/>
            <w:vAlign w:val="bottom"/>
            <w:hideMark/>
          </w:tcPr>
          <w:p w:rsidR="00D958A5" w:rsidRPr="00456014" w:rsidRDefault="00D958A5" w:rsidP="004800D0">
            <w:pPr>
              <w:spacing w:before="0" w:after="0"/>
              <w:jc w:val="left"/>
              <w:rPr>
                <w:rFonts w:eastAsia="Times New Roman"/>
              </w:rPr>
            </w:pPr>
            <w:r w:rsidRPr="00456014">
              <w:rPr>
                <w:rFonts w:eastAsia="Times New Roman"/>
                <w:bCs/>
              </w:rPr>
              <w:t>M</w:t>
            </w:r>
          </w:p>
        </w:tc>
        <w:tc>
          <w:tcPr>
            <w:tcW w:w="450" w:type="pct"/>
            <w:tcBorders>
              <w:top w:val="single" w:sz="4" w:space="0" w:color="auto"/>
            </w:tcBorders>
            <w:shd w:val="clear" w:color="auto" w:fill="auto"/>
            <w:noWrap/>
            <w:vAlign w:val="bottom"/>
            <w:hideMark/>
          </w:tcPr>
          <w:p w:rsidR="00D958A5" w:rsidRPr="00456014" w:rsidRDefault="00D958A5" w:rsidP="004800D0">
            <w:pPr>
              <w:spacing w:before="0" w:after="0"/>
              <w:jc w:val="left"/>
              <w:rPr>
                <w:rFonts w:eastAsia="Times New Roman"/>
              </w:rPr>
            </w:pPr>
            <w:r w:rsidRPr="00456014">
              <w:rPr>
                <w:rFonts w:eastAsia="Times New Roman"/>
                <w:bCs/>
              </w:rPr>
              <w:t>L</w:t>
            </w:r>
          </w:p>
        </w:tc>
        <w:tc>
          <w:tcPr>
            <w:tcW w:w="484" w:type="pct"/>
            <w:tcBorders>
              <w:top w:val="single" w:sz="4" w:space="0" w:color="auto"/>
              <w:right w:val="single" w:sz="4" w:space="0" w:color="auto"/>
            </w:tcBorders>
            <w:shd w:val="clear" w:color="auto" w:fill="auto"/>
            <w:noWrap/>
            <w:vAlign w:val="bottom"/>
            <w:hideMark/>
          </w:tcPr>
          <w:p w:rsidR="00D958A5" w:rsidRPr="00456014" w:rsidRDefault="00D958A5" w:rsidP="004800D0">
            <w:pPr>
              <w:spacing w:before="0" w:after="0"/>
              <w:jc w:val="left"/>
              <w:rPr>
                <w:rFonts w:eastAsia="Times New Roman"/>
              </w:rPr>
            </w:pPr>
            <w:r w:rsidRPr="00456014">
              <w:rPr>
                <w:rFonts w:eastAsia="Times New Roman"/>
                <w:bCs/>
              </w:rPr>
              <w:t>VL</w:t>
            </w:r>
          </w:p>
        </w:tc>
        <w:tc>
          <w:tcPr>
            <w:tcW w:w="450" w:type="pct"/>
            <w:tcBorders>
              <w:top w:val="single" w:sz="4" w:space="0" w:color="auto"/>
              <w:left w:val="single" w:sz="4" w:space="0" w:color="auto"/>
            </w:tcBorders>
            <w:shd w:val="clear" w:color="auto" w:fill="auto"/>
            <w:noWrap/>
            <w:vAlign w:val="bottom"/>
            <w:hideMark/>
          </w:tcPr>
          <w:p w:rsidR="00D958A5" w:rsidRPr="00456014" w:rsidRDefault="00D958A5" w:rsidP="004800D0">
            <w:pPr>
              <w:spacing w:before="0" w:after="0"/>
            </w:pPr>
            <w:r w:rsidRPr="00456014">
              <w:t> A</w:t>
            </w:r>
          </w:p>
        </w:tc>
        <w:tc>
          <w:tcPr>
            <w:tcW w:w="450" w:type="pct"/>
            <w:tcBorders>
              <w:top w:val="single" w:sz="4" w:space="0" w:color="auto"/>
            </w:tcBorders>
          </w:tcPr>
          <w:p w:rsidR="00D958A5" w:rsidRPr="00456014" w:rsidRDefault="00D958A5" w:rsidP="004800D0">
            <w:pPr>
              <w:spacing w:before="0" w:after="0"/>
            </w:pPr>
            <w:r w:rsidRPr="00456014">
              <w:rPr>
                <w:bCs/>
              </w:rPr>
              <w:t>DA</w:t>
            </w:r>
          </w:p>
        </w:tc>
        <w:tc>
          <w:tcPr>
            <w:tcW w:w="466" w:type="pct"/>
            <w:tcBorders>
              <w:top w:val="single" w:sz="4" w:space="0" w:color="auto"/>
            </w:tcBorders>
          </w:tcPr>
          <w:p w:rsidR="00D958A5" w:rsidRPr="00456014" w:rsidRDefault="00D958A5" w:rsidP="004800D0">
            <w:pPr>
              <w:spacing w:before="0" w:after="0"/>
            </w:pPr>
            <w:r w:rsidRPr="00456014">
              <w:rPr>
                <w:bCs/>
              </w:rPr>
              <w:t>Total</w:t>
            </w:r>
          </w:p>
        </w:tc>
      </w:tr>
      <w:tr w:rsidR="00456014" w:rsidRPr="00456014" w:rsidTr="004800D0">
        <w:trPr>
          <w:trHeight w:val="284"/>
          <w:jc w:val="center"/>
        </w:trPr>
        <w:tc>
          <w:tcPr>
            <w:tcW w:w="450" w:type="pct"/>
            <w:vMerge/>
            <w:tcBorders>
              <w:right w:val="single" w:sz="4" w:space="0" w:color="auto"/>
            </w:tcBorders>
            <w:shd w:val="clear" w:color="auto" w:fill="auto"/>
            <w:noWrap/>
            <w:vAlign w:val="bottom"/>
            <w:hideMark/>
          </w:tcPr>
          <w:p w:rsidR="00D958A5" w:rsidRPr="00456014" w:rsidRDefault="00D958A5" w:rsidP="004800D0">
            <w:pPr>
              <w:spacing w:before="0" w:after="0"/>
              <w:jc w:val="left"/>
              <w:rPr>
                <w:rFonts w:eastAsia="Times New Roman"/>
                <w:bCs/>
              </w:rPr>
            </w:pPr>
          </w:p>
        </w:tc>
        <w:tc>
          <w:tcPr>
            <w:tcW w:w="550" w:type="pct"/>
            <w:tcBorders>
              <w:left w:val="single" w:sz="4" w:space="0" w:color="auto"/>
            </w:tcBorders>
            <w:shd w:val="clear" w:color="auto" w:fill="auto"/>
            <w:noWrap/>
            <w:vAlign w:val="bottom"/>
            <w:hideMark/>
          </w:tcPr>
          <w:p w:rsidR="00D958A5" w:rsidRPr="00456014" w:rsidRDefault="00D958A5" w:rsidP="004800D0">
            <w:pPr>
              <w:spacing w:before="0" w:after="0"/>
              <w:jc w:val="left"/>
              <w:rPr>
                <w:rFonts w:eastAsia="Times New Roman"/>
                <w:bCs/>
              </w:rPr>
            </w:pPr>
            <w:r w:rsidRPr="00456014">
              <w:rPr>
                <w:rFonts w:eastAsia="Times New Roman"/>
                <w:bCs/>
              </w:rPr>
              <w:t>VH</w:t>
            </w:r>
          </w:p>
        </w:tc>
        <w:tc>
          <w:tcPr>
            <w:tcW w:w="550" w:type="pct"/>
            <w:shd w:val="clear" w:color="auto" w:fill="F2DBDB" w:themeFill="accent2" w:themeFillTint="33"/>
            <w:noWrap/>
            <w:vAlign w:val="bottom"/>
            <w:hideMark/>
          </w:tcPr>
          <w:p w:rsidR="00D958A5" w:rsidRPr="00456014" w:rsidRDefault="00F0012C" w:rsidP="004800D0">
            <w:pPr>
              <w:spacing w:before="0" w:after="0"/>
              <w:jc w:val="left"/>
              <w:rPr>
                <w:rFonts w:eastAsia="Times New Roman"/>
              </w:rPr>
            </w:pPr>
            <w:r>
              <w:rPr>
                <w:rFonts w:eastAsia="Times New Roman"/>
              </w:rPr>
              <w:t>2</w:t>
            </w:r>
          </w:p>
        </w:tc>
        <w:tc>
          <w:tcPr>
            <w:tcW w:w="600" w:type="pct"/>
            <w:shd w:val="clear" w:color="auto" w:fill="auto"/>
            <w:noWrap/>
            <w:vAlign w:val="bottom"/>
            <w:hideMark/>
          </w:tcPr>
          <w:p w:rsidR="00D958A5" w:rsidRPr="00456014" w:rsidRDefault="00F0012C" w:rsidP="004800D0">
            <w:pPr>
              <w:spacing w:before="0" w:after="0"/>
              <w:jc w:val="left"/>
              <w:rPr>
                <w:rFonts w:eastAsia="Times New Roman"/>
              </w:rPr>
            </w:pPr>
            <w:r>
              <w:rPr>
                <w:rFonts w:eastAsia="Times New Roman"/>
              </w:rPr>
              <w:t>1</w:t>
            </w:r>
          </w:p>
        </w:tc>
        <w:tc>
          <w:tcPr>
            <w:tcW w:w="550" w:type="pct"/>
            <w:shd w:val="clear" w:color="auto" w:fill="auto"/>
            <w:noWrap/>
            <w:vAlign w:val="bottom"/>
            <w:hideMark/>
          </w:tcPr>
          <w:p w:rsidR="00D958A5" w:rsidRPr="00456014" w:rsidRDefault="00D958A5" w:rsidP="004800D0">
            <w:pPr>
              <w:spacing w:before="0" w:after="0"/>
              <w:jc w:val="left"/>
              <w:rPr>
                <w:rFonts w:eastAsia="Times New Roman"/>
              </w:rPr>
            </w:pPr>
            <w:r w:rsidRPr="00456014">
              <w:rPr>
                <w:rFonts w:eastAsia="Times New Roman"/>
              </w:rPr>
              <w:t>0</w:t>
            </w:r>
          </w:p>
        </w:tc>
        <w:tc>
          <w:tcPr>
            <w:tcW w:w="450" w:type="pct"/>
            <w:shd w:val="clear" w:color="auto" w:fill="auto"/>
            <w:noWrap/>
            <w:vAlign w:val="bottom"/>
            <w:hideMark/>
          </w:tcPr>
          <w:p w:rsidR="00D958A5" w:rsidRPr="00456014" w:rsidRDefault="00D958A5" w:rsidP="004800D0">
            <w:pPr>
              <w:spacing w:before="0" w:after="0"/>
              <w:jc w:val="left"/>
              <w:rPr>
                <w:rFonts w:eastAsia="Times New Roman"/>
              </w:rPr>
            </w:pPr>
            <w:r w:rsidRPr="00456014">
              <w:rPr>
                <w:rFonts w:eastAsia="Times New Roman"/>
              </w:rPr>
              <w:t>0</w:t>
            </w:r>
          </w:p>
        </w:tc>
        <w:tc>
          <w:tcPr>
            <w:tcW w:w="484" w:type="pct"/>
            <w:tcBorders>
              <w:right w:val="single" w:sz="4" w:space="0" w:color="auto"/>
            </w:tcBorders>
            <w:shd w:val="clear" w:color="auto" w:fill="auto"/>
            <w:noWrap/>
            <w:vAlign w:val="bottom"/>
            <w:hideMark/>
          </w:tcPr>
          <w:p w:rsidR="00D958A5" w:rsidRPr="00456014" w:rsidRDefault="00D958A5" w:rsidP="004800D0">
            <w:pPr>
              <w:spacing w:before="0" w:after="0"/>
              <w:jc w:val="left"/>
              <w:rPr>
                <w:rFonts w:eastAsia="Times New Roman"/>
              </w:rPr>
            </w:pPr>
            <w:r w:rsidRPr="00456014">
              <w:rPr>
                <w:rFonts w:eastAsia="Times New Roman"/>
              </w:rPr>
              <w:t>0</w:t>
            </w:r>
          </w:p>
        </w:tc>
        <w:tc>
          <w:tcPr>
            <w:tcW w:w="450" w:type="pct"/>
            <w:tcBorders>
              <w:left w:val="single" w:sz="4" w:space="0" w:color="auto"/>
            </w:tcBorders>
            <w:shd w:val="clear" w:color="auto" w:fill="auto"/>
            <w:noWrap/>
            <w:vAlign w:val="bottom"/>
          </w:tcPr>
          <w:p w:rsidR="00D958A5" w:rsidRPr="00456014" w:rsidRDefault="00F0012C" w:rsidP="004800D0">
            <w:pPr>
              <w:spacing w:before="0" w:after="0"/>
            </w:pPr>
            <w:r>
              <w:t>2</w:t>
            </w:r>
          </w:p>
        </w:tc>
        <w:tc>
          <w:tcPr>
            <w:tcW w:w="450" w:type="pct"/>
          </w:tcPr>
          <w:p w:rsidR="00D958A5" w:rsidRPr="00456014" w:rsidRDefault="00F0012C" w:rsidP="004800D0">
            <w:pPr>
              <w:spacing w:before="0" w:after="0"/>
            </w:pPr>
            <w:r>
              <w:t>1</w:t>
            </w:r>
          </w:p>
        </w:tc>
        <w:tc>
          <w:tcPr>
            <w:tcW w:w="466" w:type="pct"/>
            <w:vAlign w:val="bottom"/>
          </w:tcPr>
          <w:p w:rsidR="00D958A5" w:rsidRPr="00456014" w:rsidRDefault="00D958A5" w:rsidP="004800D0">
            <w:pPr>
              <w:spacing w:before="0" w:after="0"/>
            </w:pPr>
            <w:r w:rsidRPr="00456014">
              <w:t> 3</w:t>
            </w:r>
          </w:p>
        </w:tc>
      </w:tr>
      <w:tr w:rsidR="00456014" w:rsidRPr="00456014" w:rsidTr="004800D0">
        <w:trPr>
          <w:trHeight w:val="284"/>
          <w:jc w:val="center"/>
        </w:trPr>
        <w:tc>
          <w:tcPr>
            <w:tcW w:w="450" w:type="pct"/>
            <w:vMerge/>
            <w:tcBorders>
              <w:right w:val="single" w:sz="4" w:space="0" w:color="auto"/>
            </w:tcBorders>
            <w:shd w:val="clear" w:color="auto" w:fill="auto"/>
            <w:noWrap/>
            <w:vAlign w:val="bottom"/>
            <w:hideMark/>
          </w:tcPr>
          <w:p w:rsidR="00D958A5" w:rsidRPr="00456014" w:rsidRDefault="00D958A5" w:rsidP="004800D0">
            <w:pPr>
              <w:spacing w:before="0" w:after="0"/>
              <w:jc w:val="left"/>
              <w:rPr>
                <w:rFonts w:eastAsia="Times New Roman"/>
                <w:bCs/>
              </w:rPr>
            </w:pPr>
          </w:p>
        </w:tc>
        <w:tc>
          <w:tcPr>
            <w:tcW w:w="550" w:type="pct"/>
            <w:tcBorders>
              <w:left w:val="single" w:sz="4" w:space="0" w:color="auto"/>
            </w:tcBorders>
            <w:shd w:val="clear" w:color="auto" w:fill="auto"/>
            <w:noWrap/>
            <w:vAlign w:val="bottom"/>
            <w:hideMark/>
          </w:tcPr>
          <w:p w:rsidR="00D958A5" w:rsidRPr="00456014" w:rsidRDefault="00D958A5" w:rsidP="004800D0">
            <w:pPr>
              <w:spacing w:before="0" w:after="0"/>
              <w:jc w:val="left"/>
              <w:rPr>
                <w:rFonts w:eastAsia="Times New Roman"/>
                <w:bCs/>
              </w:rPr>
            </w:pPr>
            <w:r w:rsidRPr="00456014">
              <w:rPr>
                <w:rFonts w:eastAsia="Times New Roman"/>
                <w:bCs/>
              </w:rPr>
              <w:t>H</w:t>
            </w:r>
          </w:p>
        </w:tc>
        <w:tc>
          <w:tcPr>
            <w:tcW w:w="550" w:type="pct"/>
            <w:shd w:val="clear" w:color="auto" w:fill="auto"/>
            <w:noWrap/>
            <w:vAlign w:val="bottom"/>
            <w:hideMark/>
          </w:tcPr>
          <w:p w:rsidR="00D958A5" w:rsidRPr="00456014" w:rsidRDefault="00D958A5" w:rsidP="004800D0">
            <w:pPr>
              <w:spacing w:before="0" w:after="0"/>
              <w:jc w:val="left"/>
              <w:rPr>
                <w:rFonts w:eastAsia="Times New Roman"/>
              </w:rPr>
            </w:pPr>
            <w:r w:rsidRPr="00456014">
              <w:rPr>
                <w:rFonts w:eastAsia="Times New Roman"/>
              </w:rPr>
              <w:t>0</w:t>
            </w:r>
          </w:p>
        </w:tc>
        <w:tc>
          <w:tcPr>
            <w:tcW w:w="600" w:type="pct"/>
            <w:shd w:val="clear" w:color="auto" w:fill="F2DBDB" w:themeFill="accent2" w:themeFillTint="33"/>
            <w:noWrap/>
            <w:vAlign w:val="bottom"/>
            <w:hideMark/>
          </w:tcPr>
          <w:p w:rsidR="00D958A5" w:rsidRPr="00456014" w:rsidRDefault="00F0012C" w:rsidP="004800D0">
            <w:pPr>
              <w:spacing w:before="0" w:after="0"/>
              <w:jc w:val="left"/>
              <w:rPr>
                <w:rFonts w:eastAsia="Times New Roman"/>
              </w:rPr>
            </w:pPr>
            <w:r>
              <w:rPr>
                <w:rFonts w:eastAsia="Times New Roman"/>
              </w:rPr>
              <w:t>12</w:t>
            </w:r>
          </w:p>
        </w:tc>
        <w:tc>
          <w:tcPr>
            <w:tcW w:w="550" w:type="pct"/>
            <w:shd w:val="clear" w:color="auto" w:fill="auto"/>
            <w:noWrap/>
            <w:vAlign w:val="bottom"/>
            <w:hideMark/>
          </w:tcPr>
          <w:p w:rsidR="00D958A5" w:rsidRPr="00456014" w:rsidRDefault="00D958A5" w:rsidP="004800D0">
            <w:pPr>
              <w:spacing w:before="0" w:after="0"/>
              <w:jc w:val="left"/>
              <w:rPr>
                <w:rFonts w:eastAsia="Times New Roman"/>
              </w:rPr>
            </w:pPr>
            <w:r w:rsidRPr="00456014">
              <w:rPr>
                <w:rFonts w:eastAsia="Times New Roman"/>
              </w:rPr>
              <w:t>1</w:t>
            </w:r>
          </w:p>
        </w:tc>
        <w:tc>
          <w:tcPr>
            <w:tcW w:w="450" w:type="pct"/>
            <w:shd w:val="clear" w:color="auto" w:fill="auto"/>
            <w:noWrap/>
            <w:vAlign w:val="bottom"/>
            <w:hideMark/>
          </w:tcPr>
          <w:p w:rsidR="00D958A5" w:rsidRPr="00456014" w:rsidRDefault="00D958A5" w:rsidP="004800D0">
            <w:pPr>
              <w:spacing w:before="0" w:after="0"/>
              <w:jc w:val="left"/>
              <w:rPr>
                <w:rFonts w:eastAsia="Times New Roman"/>
              </w:rPr>
            </w:pPr>
            <w:r w:rsidRPr="00456014">
              <w:rPr>
                <w:rFonts w:eastAsia="Times New Roman"/>
              </w:rPr>
              <w:t>0</w:t>
            </w:r>
          </w:p>
        </w:tc>
        <w:tc>
          <w:tcPr>
            <w:tcW w:w="484" w:type="pct"/>
            <w:tcBorders>
              <w:right w:val="single" w:sz="4" w:space="0" w:color="auto"/>
            </w:tcBorders>
            <w:shd w:val="clear" w:color="auto" w:fill="auto"/>
            <w:noWrap/>
            <w:vAlign w:val="bottom"/>
            <w:hideMark/>
          </w:tcPr>
          <w:p w:rsidR="00D958A5" w:rsidRPr="00456014" w:rsidRDefault="00D958A5" w:rsidP="004800D0">
            <w:pPr>
              <w:spacing w:before="0" w:after="0"/>
              <w:jc w:val="left"/>
              <w:rPr>
                <w:rFonts w:eastAsia="Times New Roman"/>
              </w:rPr>
            </w:pPr>
            <w:r w:rsidRPr="00456014">
              <w:rPr>
                <w:rFonts w:eastAsia="Times New Roman"/>
              </w:rPr>
              <w:t>0</w:t>
            </w:r>
          </w:p>
        </w:tc>
        <w:tc>
          <w:tcPr>
            <w:tcW w:w="450" w:type="pct"/>
            <w:tcBorders>
              <w:left w:val="single" w:sz="4" w:space="0" w:color="auto"/>
            </w:tcBorders>
            <w:shd w:val="clear" w:color="auto" w:fill="auto"/>
            <w:noWrap/>
            <w:vAlign w:val="bottom"/>
          </w:tcPr>
          <w:p w:rsidR="00D958A5" w:rsidRPr="00456014" w:rsidRDefault="00F0012C" w:rsidP="004800D0">
            <w:pPr>
              <w:spacing w:before="0" w:after="0"/>
            </w:pPr>
            <w:r>
              <w:t>12</w:t>
            </w:r>
          </w:p>
        </w:tc>
        <w:tc>
          <w:tcPr>
            <w:tcW w:w="450" w:type="pct"/>
          </w:tcPr>
          <w:p w:rsidR="00D958A5" w:rsidRPr="00456014" w:rsidRDefault="00D958A5" w:rsidP="004800D0">
            <w:pPr>
              <w:spacing w:before="0" w:after="0"/>
            </w:pPr>
            <w:r w:rsidRPr="00456014">
              <w:t>1</w:t>
            </w:r>
          </w:p>
        </w:tc>
        <w:tc>
          <w:tcPr>
            <w:tcW w:w="466" w:type="pct"/>
            <w:vAlign w:val="bottom"/>
          </w:tcPr>
          <w:p w:rsidR="00D958A5" w:rsidRPr="00456014" w:rsidRDefault="004800D0" w:rsidP="004800D0">
            <w:pPr>
              <w:spacing w:before="0" w:after="0"/>
            </w:pPr>
            <w:r>
              <w:t> 13</w:t>
            </w:r>
          </w:p>
        </w:tc>
      </w:tr>
      <w:tr w:rsidR="00456014" w:rsidRPr="00456014" w:rsidTr="004800D0">
        <w:trPr>
          <w:cantSplit/>
          <w:trHeight w:val="425"/>
          <w:jc w:val="center"/>
        </w:trPr>
        <w:tc>
          <w:tcPr>
            <w:tcW w:w="450" w:type="pct"/>
            <w:vMerge/>
            <w:tcBorders>
              <w:right w:val="single" w:sz="4" w:space="0" w:color="auto"/>
            </w:tcBorders>
            <w:shd w:val="clear" w:color="auto" w:fill="auto"/>
            <w:noWrap/>
            <w:textDirection w:val="btLr"/>
            <w:vAlign w:val="bottom"/>
            <w:hideMark/>
          </w:tcPr>
          <w:p w:rsidR="00D958A5" w:rsidRPr="00456014" w:rsidRDefault="00D958A5" w:rsidP="004800D0">
            <w:pPr>
              <w:spacing w:before="0" w:after="0"/>
              <w:jc w:val="left"/>
              <w:rPr>
                <w:rFonts w:eastAsia="Times New Roman"/>
                <w:bCs/>
              </w:rPr>
            </w:pPr>
          </w:p>
        </w:tc>
        <w:tc>
          <w:tcPr>
            <w:tcW w:w="550" w:type="pct"/>
            <w:tcBorders>
              <w:left w:val="single" w:sz="4" w:space="0" w:color="auto"/>
            </w:tcBorders>
            <w:shd w:val="clear" w:color="auto" w:fill="auto"/>
            <w:noWrap/>
            <w:vAlign w:val="bottom"/>
            <w:hideMark/>
          </w:tcPr>
          <w:p w:rsidR="00D958A5" w:rsidRPr="00456014" w:rsidRDefault="00D958A5" w:rsidP="004800D0">
            <w:pPr>
              <w:spacing w:before="0" w:after="0"/>
              <w:jc w:val="left"/>
              <w:rPr>
                <w:rFonts w:eastAsia="Times New Roman"/>
                <w:bCs/>
              </w:rPr>
            </w:pPr>
            <w:r w:rsidRPr="00456014">
              <w:rPr>
                <w:rFonts w:eastAsia="Times New Roman"/>
                <w:bCs/>
              </w:rPr>
              <w:t>M</w:t>
            </w:r>
          </w:p>
        </w:tc>
        <w:tc>
          <w:tcPr>
            <w:tcW w:w="550" w:type="pct"/>
            <w:shd w:val="clear" w:color="auto" w:fill="auto"/>
            <w:noWrap/>
            <w:vAlign w:val="bottom"/>
            <w:hideMark/>
          </w:tcPr>
          <w:p w:rsidR="00D958A5" w:rsidRPr="00456014" w:rsidRDefault="00D958A5" w:rsidP="004800D0">
            <w:pPr>
              <w:spacing w:before="0" w:after="0"/>
              <w:jc w:val="left"/>
              <w:rPr>
                <w:rFonts w:eastAsia="Times New Roman"/>
              </w:rPr>
            </w:pPr>
            <w:r w:rsidRPr="00456014">
              <w:rPr>
                <w:rFonts w:eastAsia="Times New Roman"/>
              </w:rPr>
              <w:t>0</w:t>
            </w:r>
          </w:p>
        </w:tc>
        <w:tc>
          <w:tcPr>
            <w:tcW w:w="600" w:type="pct"/>
            <w:shd w:val="clear" w:color="auto" w:fill="auto"/>
            <w:noWrap/>
            <w:vAlign w:val="bottom"/>
            <w:hideMark/>
          </w:tcPr>
          <w:p w:rsidR="00D958A5" w:rsidRPr="00456014" w:rsidRDefault="00F0012C" w:rsidP="004800D0">
            <w:pPr>
              <w:spacing w:before="0" w:after="0"/>
              <w:jc w:val="left"/>
              <w:rPr>
                <w:rFonts w:eastAsia="Times New Roman"/>
              </w:rPr>
            </w:pPr>
            <w:r>
              <w:rPr>
                <w:rFonts w:eastAsia="Times New Roman"/>
              </w:rPr>
              <w:t>3</w:t>
            </w:r>
          </w:p>
        </w:tc>
        <w:tc>
          <w:tcPr>
            <w:tcW w:w="550" w:type="pct"/>
            <w:shd w:val="clear" w:color="auto" w:fill="F2DBDB" w:themeFill="accent2" w:themeFillTint="33"/>
            <w:noWrap/>
            <w:vAlign w:val="bottom"/>
            <w:hideMark/>
          </w:tcPr>
          <w:p w:rsidR="00D958A5" w:rsidRPr="00456014" w:rsidRDefault="00F0012C" w:rsidP="004800D0">
            <w:pPr>
              <w:spacing w:before="0" w:after="0"/>
              <w:jc w:val="left"/>
              <w:rPr>
                <w:rFonts w:eastAsia="Times New Roman"/>
              </w:rPr>
            </w:pPr>
            <w:r>
              <w:rPr>
                <w:rFonts w:eastAsia="Times New Roman"/>
              </w:rPr>
              <w:t>21</w:t>
            </w:r>
          </w:p>
        </w:tc>
        <w:tc>
          <w:tcPr>
            <w:tcW w:w="450" w:type="pct"/>
            <w:shd w:val="clear" w:color="auto" w:fill="auto"/>
            <w:noWrap/>
            <w:vAlign w:val="bottom"/>
            <w:hideMark/>
          </w:tcPr>
          <w:p w:rsidR="00D958A5" w:rsidRPr="00456014" w:rsidRDefault="00D958A5" w:rsidP="004800D0">
            <w:pPr>
              <w:spacing w:before="0" w:after="0"/>
              <w:jc w:val="left"/>
              <w:rPr>
                <w:rFonts w:eastAsia="Times New Roman"/>
              </w:rPr>
            </w:pPr>
            <w:r w:rsidRPr="00456014">
              <w:rPr>
                <w:rFonts w:eastAsia="Times New Roman"/>
              </w:rPr>
              <w:t>1</w:t>
            </w:r>
          </w:p>
        </w:tc>
        <w:tc>
          <w:tcPr>
            <w:tcW w:w="484" w:type="pct"/>
            <w:tcBorders>
              <w:right w:val="single" w:sz="4" w:space="0" w:color="auto"/>
            </w:tcBorders>
            <w:shd w:val="clear" w:color="auto" w:fill="auto"/>
            <w:noWrap/>
            <w:vAlign w:val="bottom"/>
            <w:hideMark/>
          </w:tcPr>
          <w:p w:rsidR="00D958A5" w:rsidRPr="00456014" w:rsidRDefault="00D958A5" w:rsidP="004800D0">
            <w:pPr>
              <w:spacing w:before="0" w:after="0"/>
              <w:jc w:val="left"/>
              <w:rPr>
                <w:rFonts w:eastAsia="Times New Roman"/>
              </w:rPr>
            </w:pPr>
            <w:r w:rsidRPr="00456014">
              <w:rPr>
                <w:rFonts w:eastAsia="Times New Roman"/>
              </w:rPr>
              <w:t>0</w:t>
            </w:r>
          </w:p>
        </w:tc>
        <w:tc>
          <w:tcPr>
            <w:tcW w:w="450" w:type="pct"/>
            <w:tcBorders>
              <w:left w:val="single" w:sz="4" w:space="0" w:color="auto"/>
            </w:tcBorders>
            <w:shd w:val="clear" w:color="auto" w:fill="auto"/>
            <w:noWrap/>
            <w:vAlign w:val="bottom"/>
          </w:tcPr>
          <w:p w:rsidR="00D958A5" w:rsidRPr="00456014" w:rsidRDefault="00F0012C" w:rsidP="004800D0">
            <w:pPr>
              <w:spacing w:before="0" w:after="0"/>
            </w:pPr>
            <w:r>
              <w:t>21</w:t>
            </w:r>
          </w:p>
        </w:tc>
        <w:tc>
          <w:tcPr>
            <w:tcW w:w="450" w:type="pct"/>
          </w:tcPr>
          <w:p w:rsidR="00D958A5" w:rsidRPr="00456014" w:rsidRDefault="00F0012C" w:rsidP="004800D0">
            <w:pPr>
              <w:spacing w:before="0" w:after="0"/>
            </w:pPr>
            <w:r>
              <w:t>4</w:t>
            </w:r>
          </w:p>
        </w:tc>
        <w:tc>
          <w:tcPr>
            <w:tcW w:w="466" w:type="pct"/>
            <w:vAlign w:val="bottom"/>
          </w:tcPr>
          <w:p w:rsidR="00D958A5" w:rsidRPr="00456014" w:rsidRDefault="00C9335F" w:rsidP="004800D0">
            <w:pPr>
              <w:spacing w:before="0" w:after="0"/>
            </w:pPr>
            <w:r>
              <w:t> 25</w:t>
            </w:r>
          </w:p>
        </w:tc>
      </w:tr>
      <w:tr w:rsidR="00456014" w:rsidRPr="00456014" w:rsidTr="004800D0">
        <w:trPr>
          <w:trHeight w:val="210"/>
          <w:jc w:val="center"/>
        </w:trPr>
        <w:tc>
          <w:tcPr>
            <w:tcW w:w="450" w:type="pct"/>
            <w:vMerge/>
            <w:tcBorders>
              <w:right w:val="single" w:sz="4" w:space="0" w:color="auto"/>
            </w:tcBorders>
            <w:shd w:val="clear" w:color="auto" w:fill="auto"/>
            <w:noWrap/>
            <w:vAlign w:val="bottom"/>
            <w:hideMark/>
          </w:tcPr>
          <w:p w:rsidR="00D958A5" w:rsidRPr="00456014" w:rsidRDefault="00D958A5" w:rsidP="004800D0">
            <w:pPr>
              <w:spacing w:before="0" w:after="0"/>
              <w:jc w:val="left"/>
              <w:rPr>
                <w:rFonts w:eastAsia="Times New Roman"/>
                <w:bCs/>
              </w:rPr>
            </w:pPr>
          </w:p>
        </w:tc>
        <w:tc>
          <w:tcPr>
            <w:tcW w:w="550" w:type="pct"/>
            <w:tcBorders>
              <w:left w:val="single" w:sz="4" w:space="0" w:color="auto"/>
            </w:tcBorders>
            <w:shd w:val="clear" w:color="auto" w:fill="auto"/>
            <w:noWrap/>
            <w:vAlign w:val="bottom"/>
            <w:hideMark/>
          </w:tcPr>
          <w:p w:rsidR="00D958A5" w:rsidRPr="00456014" w:rsidRDefault="00D958A5" w:rsidP="004800D0">
            <w:pPr>
              <w:spacing w:before="0" w:after="0"/>
              <w:jc w:val="left"/>
              <w:rPr>
                <w:rFonts w:eastAsia="Times New Roman"/>
                <w:bCs/>
              </w:rPr>
            </w:pPr>
            <w:r w:rsidRPr="00456014">
              <w:rPr>
                <w:rFonts w:eastAsia="Times New Roman"/>
                <w:bCs/>
              </w:rPr>
              <w:t>L</w:t>
            </w:r>
          </w:p>
        </w:tc>
        <w:tc>
          <w:tcPr>
            <w:tcW w:w="550" w:type="pct"/>
            <w:shd w:val="clear" w:color="auto" w:fill="auto"/>
            <w:noWrap/>
            <w:vAlign w:val="bottom"/>
            <w:hideMark/>
          </w:tcPr>
          <w:p w:rsidR="00D958A5" w:rsidRPr="00456014" w:rsidRDefault="00D958A5" w:rsidP="004800D0">
            <w:pPr>
              <w:spacing w:before="0" w:after="0"/>
              <w:jc w:val="left"/>
              <w:rPr>
                <w:rFonts w:eastAsia="Times New Roman"/>
              </w:rPr>
            </w:pPr>
            <w:r w:rsidRPr="00456014">
              <w:rPr>
                <w:rFonts w:eastAsia="Times New Roman"/>
              </w:rPr>
              <w:t>0</w:t>
            </w:r>
          </w:p>
        </w:tc>
        <w:tc>
          <w:tcPr>
            <w:tcW w:w="600" w:type="pct"/>
            <w:shd w:val="clear" w:color="auto" w:fill="auto"/>
            <w:noWrap/>
            <w:vAlign w:val="bottom"/>
            <w:hideMark/>
          </w:tcPr>
          <w:p w:rsidR="00D958A5" w:rsidRPr="00456014" w:rsidRDefault="00D958A5" w:rsidP="004800D0">
            <w:pPr>
              <w:spacing w:before="0" w:after="0"/>
              <w:jc w:val="left"/>
              <w:rPr>
                <w:rFonts w:eastAsia="Times New Roman"/>
              </w:rPr>
            </w:pPr>
            <w:r w:rsidRPr="00456014">
              <w:rPr>
                <w:rFonts w:eastAsia="Times New Roman"/>
              </w:rPr>
              <w:t>0</w:t>
            </w:r>
          </w:p>
        </w:tc>
        <w:tc>
          <w:tcPr>
            <w:tcW w:w="550" w:type="pct"/>
            <w:shd w:val="clear" w:color="auto" w:fill="auto"/>
            <w:noWrap/>
            <w:vAlign w:val="bottom"/>
            <w:hideMark/>
          </w:tcPr>
          <w:p w:rsidR="00D958A5" w:rsidRPr="00456014" w:rsidRDefault="000969EE" w:rsidP="004800D0">
            <w:pPr>
              <w:spacing w:before="0" w:after="0"/>
              <w:jc w:val="left"/>
              <w:rPr>
                <w:rFonts w:eastAsia="Times New Roman"/>
              </w:rPr>
            </w:pPr>
            <w:r>
              <w:rPr>
                <w:rFonts w:eastAsia="Times New Roman"/>
              </w:rPr>
              <w:t>2</w:t>
            </w:r>
          </w:p>
        </w:tc>
        <w:tc>
          <w:tcPr>
            <w:tcW w:w="450" w:type="pct"/>
            <w:shd w:val="clear" w:color="auto" w:fill="F2DBDB" w:themeFill="accent2" w:themeFillTint="33"/>
            <w:noWrap/>
            <w:vAlign w:val="bottom"/>
            <w:hideMark/>
          </w:tcPr>
          <w:p w:rsidR="00D958A5" w:rsidRPr="00456014" w:rsidRDefault="00F35EFF" w:rsidP="004800D0">
            <w:pPr>
              <w:spacing w:before="0" w:after="0"/>
              <w:jc w:val="left"/>
              <w:rPr>
                <w:rFonts w:eastAsia="Times New Roman"/>
              </w:rPr>
            </w:pPr>
            <w:r>
              <w:rPr>
                <w:rFonts w:eastAsia="Times New Roman"/>
              </w:rPr>
              <w:t>8</w:t>
            </w:r>
          </w:p>
        </w:tc>
        <w:tc>
          <w:tcPr>
            <w:tcW w:w="484" w:type="pct"/>
            <w:tcBorders>
              <w:right w:val="single" w:sz="4" w:space="0" w:color="auto"/>
            </w:tcBorders>
            <w:shd w:val="clear" w:color="auto" w:fill="auto"/>
            <w:noWrap/>
            <w:vAlign w:val="bottom"/>
            <w:hideMark/>
          </w:tcPr>
          <w:p w:rsidR="00D958A5" w:rsidRPr="00456014" w:rsidRDefault="00D958A5" w:rsidP="004800D0">
            <w:pPr>
              <w:spacing w:before="0" w:after="0"/>
              <w:jc w:val="left"/>
              <w:rPr>
                <w:rFonts w:eastAsia="Times New Roman"/>
              </w:rPr>
            </w:pPr>
            <w:r w:rsidRPr="00456014">
              <w:rPr>
                <w:rFonts w:eastAsia="Times New Roman"/>
              </w:rPr>
              <w:t>0</w:t>
            </w:r>
          </w:p>
        </w:tc>
        <w:tc>
          <w:tcPr>
            <w:tcW w:w="450" w:type="pct"/>
            <w:tcBorders>
              <w:left w:val="single" w:sz="4" w:space="0" w:color="auto"/>
            </w:tcBorders>
            <w:shd w:val="clear" w:color="auto" w:fill="auto"/>
            <w:noWrap/>
            <w:vAlign w:val="bottom"/>
          </w:tcPr>
          <w:p w:rsidR="00D958A5" w:rsidRPr="00456014" w:rsidRDefault="00F35EFF" w:rsidP="004800D0">
            <w:pPr>
              <w:spacing w:before="0" w:after="0"/>
            </w:pPr>
            <w:r>
              <w:t>8</w:t>
            </w:r>
          </w:p>
        </w:tc>
        <w:tc>
          <w:tcPr>
            <w:tcW w:w="450" w:type="pct"/>
          </w:tcPr>
          <w:p w:rsidR="00D958A5" w:rsidRPr="00456014" w:rsidRDefault="000969EE" w:rsidP="004800D0">
            <w:pPr>
              <w:spacing w:before="0" w:after="0"/>
            </w:pPr>
            <w:r>
              <w:t>2</w:t>
            </w:r>
          </w:p>
        </w:tc>
        <w:tc>
          <w:tcPr>
            <w:tcW w:w="466" w:type="pct"/>
            <w:vAlign w:val="bottom"/>
          </w:tcPr>
          <w:p w:rsidR="00D958A5" w:rsidRPr="00456014" w:rsidRDefault="00F35EFF" w:rsidP="004800D0">
            <w:pPr>
              <w:spacing w:before="0" w:after="0"/>
            </w:pPr>
            <w:r>
              <w:t> 10</w:t>
            </w:r>
          </w:p>
        </w:tc>
      </w:tr>
      <w:tr w:rsidR="00456014" w:rsidRPr="00456014" w:rsidTr="004800D0">
        <w:trPr>
          <w:trHeight w:val="284"/>
          <w:jc w:val="center"/>
        </w:trPr>
        <w:tc>
          <w:tcPr>
            <w:tcW w:w="450" w:type="pct"/>
            <w:vMerge/>
            <w:tcBorders>
              <w:bottom w:val="single" w:sz="4" w:space="0" w:color="auto"/>
              <w:right w:val="single" w:sz="4" w:space="0" w:color="auto"/>
            </w:tcBorders>
            <w:shd w:val="clear" w:color="auto" w:fill="auto"/>
            <w:noWrap/>
            <w:vAlign w:val="bottom"/>
            <w:hideMark/>
          </w:tcPr>
          <w:p w:rsidR="00D958A5" w:rsidRPr="00456014" w:rsidRDefault="00D958A5" w:rsidP="004800D0">
            <w:pPr>
              <w:spacing w:before="0" w:after="0"/>
              <w:jc w:val="left"/>
              <w:rPr>
                <w:rFonts w:eastAsia="Times New Roman"/>
                <w:bCs/>
              </w:rPr>
            </w:pPr>
          </w:p>
        </w:tc>
        <w:tc>
          <w:tcPr>
            <w:tcW w:w="550" w:type="pct"/>
            <w:tcBorders>
              <w:left w:val="single" w:sz="4" w:space="0" w:color="auto"/>
              <w:bottom w:val="single" w:sz="4" w:space="0" w:color="auto"/>
            </w:tcBorders>
            <w:shd w:val="clear" w:color="auto" w:fill="auto"/>
            <w:noWrap/>
            <w:vAlign w:val="bottom"/>
            <w:hideMark/>
          </w:tcPr>
          <w:p w:rsidR="00D958A5" w:rsidRPr="00456014" w:rsidRDefault="00D958A5" w:rsidP="004800D0">
            <w:pPr>
              <w:spacing w:before="0" w:after="0"/>
              <w:jc w:val="left"/>
              <w:rPr>
                <w:rFonts w:eastAsia="Times New Roman"/>
                <w:bCs/>
              </w:rPr>
            </w:pPr>
            <w:r w:rsidRPr="00456014">
              <w:rPr>
                <w:rFonts w:eastAsia="Times New Roman"/>
                <w:bCs/>
              </w:rPr>
              <w:t>VL</w:t>
            </w:r>
          </w:p>
        </w:tc>
        <w:tc>
          <w:tcPr>
            <w:tcW w:w="550" w:type="pct"/>
            <w:tcBorders>
              <w:bottom w:val="single" w:sz="4" w:space="0" w:color="auto"/>
            </w:tcBorders>
            <w:shd w:val="clear" w:color="auto" w:fill="auto"/>
            <w:noWrap/>
            <w:vAlign w:val="bottom"/>
            <w:hideMark/>
          </w:tcPr>
          <w:p w:rsidR="00D958A5" w:rsidRPr="00456014" w:rsidRDefault="00D958A5" w:rsidP="004800D0">
            <w:pPr>
              <w:spacing w:before="0" w:after="0"/>
              <w:jc w:val="left"/>
              <w:rPr>
                <w:rFonts w:eastAsia="Times New Roman"/>
              </w:rPr>
            </w:pPr>
            <w:r w:rsidRPr="00456014">
              <w:rPr>
                <w:rFonts w:eastAsia="Times New Roman"/>
              </w:rPr>
              <w:t>0</w:t>
            </w:r>
          </w:p>
        </w:tc>
        <w:tc>
          <w:tcPr>
            <w:tcW w:w="600" w:type="pct"/>
            <w:tcBorders>
              <w:bottom w:val="single" w:sz="4" w:space="0" w:color="auto"/>
            </w:tcBorders>
            <w:shd w:val="clear" w:color="auto" w:fill="auto"/>
            <w:noWrap/>
            <w:vAlign w:val="bottom"/>
            <w:hideMark/>
          </w:tcPr>
          <w:p w:rsidR="00D958A5" w:rsidRPr="00456014" w:rsidRDefault="00D958A5" w:rsidP="004800D0">
            <w:pPr>
              <w:spacing w:before="0" w:after="0"/>
              <w:jc w:val="left"/>
              <w:rPr>
                <w:rFonts w:eastAsia="Times New Roman"/>
              </w:rPr>
            </w:pPr>
            <w:r w:rsidRPr="00456014">
              <w:rPr>
                <w:rFonts w:eastAsia="Times New Roman"/>
              </w:rPr>
              <w:t>0</w:t>
            </w:r>
          </w:p>
        </w:tc>
        <w:tc>
          <w:tcPr>
            <w:tcW w:w="550" w:type="pct"/>
            <w:tcBorders>
              <w:bottom w:val="single" w:sz="4" w:space="0" w:color="auto"/>
            </w:tcBorders>
            <w:shd w:val="clear" w:color="auto" w:fill="auto"/>
            <w:noWrap/>
            <w:vAlign w:val="bottom"/>
            <w:hideMark/>
          </w:tcPr>
          <w:p w:rsidR="00D958A5" w:rsidRPr="00456014" w:rsidRDefault="00D958A5" w:rsidP="004800D0">
            <w:pPr>
              <w:spacing w:before="0" w:after="0"/>
              <w:jc w:val="left"/>
              <w:rPr>
                <w:rFonts w:eastAsia="Times New Roman"/>
              </w:rPr>
            </w:pPr>
            <w:r w:rsidRPr="00456014">
              <w:rPr>
                <w:rFonts w:eastAsia="Times New Roman"/>
              </w:rPr>
              <w:t>0</w:t>
            </w:r>
          </w:p>
        </w:tc>
        <w:tc>
          <w:tcPr>
            <w:tcW w:w="450" w:type="pct"/>
            <w:tcBorders>
              <w:bottom w:val="single" w:sz="4" w:space="0" w:color="auto"/>
            </w:tcBorders>
            <w:shd w:val="clear" w:color="auto" w:fill="auto"/>
            <w:noWrap/>
            <w:vAlign w:val="bottom"/>
            <w:hideMark/>
          </w:tcPr>
          <w:p w:rsidR="00D958A5" w:rsidRPr="00456014" w:rsidRDefault="004C4628" w:rsidP="004800D0">
            <w:pPr>
              <w:spacing w:before="0" w:after="0"/>
              <w:jc w:val="left"/>
              <w:rPr>
                <w:rFonts w:eastAsia="Times New Roman"/>
              </w:rPr>
            </w:pPr>
            <w:r>
              <w:rPr>
                <w:rFonts w:eastAsia="Times New Roman"/>
              </w:rPr>
              <w:t>0</w:t>
            </w:r>
          </w:p>
        </w:tc>
        <w:tc>
          <w:tcPr>
            <w:tcW w:w="484" w:type="pct"/>
            <w:tcBorders>
              <w:bottom w:val="single" w:sz="4" w:space="0" w:color="auto"/>
              <w:right w:val="single" w:sz="4" w:space="0" w:color="auto"/>
            </w:tcBorders>
            <w:shd w:val="clear" w:color="auto" w:fill="F2DBDB" w:themeFill="accent2" w:themeFillTint="33"/>
            <w:noWrap/>
            <w:vAlign w:val="bottom"/>
            <w:hideMark/>
          </w:tcPr>
          <w:p w:rsidR="00D958A5" w:rsidRPr="00456014" w:rsidRDefault="00D958A5" w:rsidP="004800D0">
            <w:pPr>
              <w:spacing w:before="0" w:after="0"/>
              <w:jc w:val="left"/>
              <w:rPr>
                <w:rFonts w:eastAsia="Times New Roman"/>
              </w:rPr>
            </w:pPr>
            <w:r w:rsidRPr="00456014">
              <w:rPr>
                <w:rFonts w:eastAsia="Times New Roman"/>
              </w:rPr>
              <w:t>0</w:t>
            </w:r>
          </w:p>
        </w:tc>
        <w:tc>
          <w:tcPr>
            <w:tcW w:w="450" w:type="pct"/>
            <w:tcBorders>
              <w:left w:val="single" w:sz="4" w:space="0" w:color="auto"/>
              <w:bottom w:val="single" w:sz="4" w:space="0" w:color="auto"/>
            </w:tcBorders>
            <w:shd w:val="clear" w:color="auto" w:fill="auto"/>
            <w:noWrap/>
            <w:vAlign w:val="bottom"/>
          </w:tcPr>
          <w:p w:rsidR="00D958A5" w:rsidRPr="00456014" w:rsidRDefault="00D958A5" w:rsidP="004800D0">
            <w:pPr>
              <w:spacing w:before="0" w:after="0"/>
            </w:pPr>
            <w:r w:rsidRPr="00456014">
              <w:t>0</w:t>
            </w:r>
          </w:p>
        </w:tc>
        <w:tc>
          <w:tcPr>
            <w:tcW w:w="450" w:type="pct"/>
            <w:tcBorders>
              <w:bottom w:val="single" w:sz="4" w:space="0" w:color="auto"/>
            </w:tcBorders>
          </w:tcPr>
          <w:p w:rsidR="00D958A5" w:rsidRPr="00456014" w:rsidRDefault="004C4628" w:rsidP="004800D0">
            <w:pPr>
              <w:spacing w:before="0" w:after="0"/>
            </w:pPr>
            <w:r>
              <w:t>0</w:t>
            </w:r>
          </w:p>
        </w:tc>
        <w:tc>
          <w:tcPr>
            <w:tcW w:w="466" w:type="pct"/>
            <w:tcBorders>
              <w:bottom w:val="single" w:sz="4" w:space="0" w:color="auto"/>
            </w:tcBorders>
            <w:vAlign w:val="bottom"/>
          </w:tcPr>
          <w:p w:rsidR="00D958A5" w:rsidRPr="00456014" w:rsidRDefault="004C4628" w:rsidP="004800D0">
            <w:pPr>
              <w:spacing w:before="0" w:after="0"/>
            </w:pPr>
            <w:r>
              <w:t> 0</w:t>
            </w:r>
          </w:p>
        </w:tc>
      </w:tr>
      <w:tr w:rsidR="00456014" w:rsidRPr="00456014" w:rsidTr="004800D0">
        <w:trPr>
          <w:trHeight w:val="377"/>
          <w:jc w:val="center"/>
        </w:trPr>
        <w:tc>
          <w:tcPr>
            <w:tcW w:w="5000" w:type="pct"/>
            <w:gridSpan w:val="10"/>
            <w:tcBorders>
              <w:top w:val="single" w:sz="4" w:space="0" w:color="auto"/>
              <w:bottom w:val="single" w:sz="4" w:space="0" w:color="auto"/>
            </w:tcBorders>
            <w:shd w:val="clear" w:color="auto" w:fill="auto"/>
            <w:noWrap/>
            <w:vAlign w:val="bottom"/>
          </w:tcPr>
          <w:p w:rsidR="00737471" w:rsidRPr="00456014" w:rsidRDefault="005F462E" w:rsidP="00CD468B">
            <w:pPr>
              <w:spacing w:after="0"/>
              <w:jc w:val="left"/>
              <w:rPr>
                <w:rFonts w:eastAsia="Times New Roman"/>
              </w:rPr>
            </w:pPr>
            <w:r w:rsidRPr="00456014">
              <w:t>OP</w:t>
            </w:r>
            <w:r w:rsidR="004022C5">
              <w:t xml:space="preserve">A (%) =(Total number of agreement /Total Number </w:t>
            </w:r>
            <w:r w:rsidR="002A138D" w:rsidRPr="00456014">
              <w:t xml:space="preserve">of wells) </w:t>
            </w:r>
            <w:r w:rsidR="00737471" w:rsidRPr="00456014">
              <w:t>*100%=</w:t>
            </w:r>
            <w:r w:rsidR="000969EE">
              <w:t>84%</w:t>
            </w:r>
          </w:p>
        </w:tc>
      </w:tr>
    </w:tbl>
    <w:p w:rsidR="00CD468B" w:rsidRDefault="00C81BBA" w:rsidP="00CD468B">
      <w:pPr>
        <w:spacing w:before="240"/>
      </w:pPr>
      <w:r w:rsidRPr="00CD468B">
        <w:t>The ac</w:t>
      </w:r>
      <w:r w:rsidR="007A44FF" w:rsidRPr="00CD468B">
        <w:t xml:space="preserve">ronyms; VH, H, M, L, VL, DA, A </w:t>
      </w:r>
      <w:r w:rsidRPr="00CD468B">
        <w:t>and OPA represent very high, high, moderate, low, ver</w:t>
      </w:r>
      <w:r w:rsidR="007A44FF" w:rsidRPr="00CD468B">
        <w:t xml:space="preserve">y low, disagreement, agreement </w:t>
      </w:r>
      <w:r w:rsidRPr="00CD468B">
        <w:t>and overall prediction accuracy.</w:t>
      </w:r>
      <w:r w:rsidR="00AF0CF3" w:rsidRPr="00CD468B">
        <w:t xml:space="preserve"> </w:t>
      </w:r>
      <w:r w:rsidR="002371B1" w:rsidRPr="00CD468B">
        <w:t>Out of the three</w:t>
      </w:r>
      <w:r w:rsidR="00BB44DD" w:rsidRPr="00CD468B">
        <w:t xml:space="preserve"> </w:t>
      </w:r>
      <w:r w:rsidR="002371B1" w:rsidRPr="00CD468B">
        <w:t>springs</w:t>
      </w:r>
      <w:r w:rsidR="00C12809" w:rsidRPr="00CD468B">
        <w:t xml:space="preserve"> </w:t>
      </w:r>
      <w:r w:rsidR="00FD5D45" w:rsidRPr="00CD468B">
        <w:t>of very high actual yield</w:t>
      </w:r>
      <w:r w:rsidR="00BB0B11" w:rsidRPr="00CD468B">
        <w:t>s</w:t>
      </w:r>
      <w:r w:rsidR="00FD5D45" w:rsidRPr="00CD468B">
        <w:t xml:space="preserve"> </w:t>
      </w:r>
      <w:r w:rsidR="002371B1" w:rsidRPr="00CD468B">
        <w:t>only one spring was f</w:t>
      </w:r>
      <w:r w:rsidRPr="00CD468B">
        <w:t xml:space="preserve">ound in </w:t>
      </w:r>
      <w:r w:rsidR="00B41EC3" w:rsidRPr="00CD468B">
        <w:t>high GWPZ</w:t>
      </w:r>
      <w:r w:rsidR="00AA1B58" w:rsidRPr="00CD468B">
        <w:t>,</w:t>
      </w:r>
      <w:r w:rsidR="00B41EC3" w:rsidRPr="00CD468B">
        <w:t xml:space="preserve"> while the left two were</w:t>
      </w:r>
      <w:r w:rsidR="00B41EC3">
        <w:rPr>
          <w:rFonts w:eastAsia="Times New Roman"/>
        </w:rPr>
        <w:t xml:space="preserve"> </w:t>
      </w:r>
      <w:r w:rsidR="00AA1B58">
        <w:rPr>
          <w:rFonts w:eastAsia="Times New Roman"/>
        </w:rPr>
        <w:t xml:space="preserve">found in </w:t>
      </w:r>
      <w:r w:rsidRPr="00456014">
        <w:rPr>
          <w:rFonts w:eastAsia="Times New Roman"/>
        </w:rPr>
        <w:t xml:space="preserve">very high </w:t>
      </w:r>
      <w:r w:rsidR="00BB0B11">
        <w:rPr>
          <w:rFonts w:eastAsia="Times New Roman"/>
        </w:rPr>
        <w:t>GWPZ</w:t>
      </w:r>
      <w:r w:rsidR="004E2FAB">
        <w:rPr>
          <w:rFonts w:eastAsia="Times New Roman"/>
        </w:rPr>
        <w:t xml:space="preserve">. </w:t>
      </w:r>
      <w:r w:rsidRPr="00456014">
        <w:rPr>
          <w:rFonts w:eastAsia="Times New Roman"/>
        </w:rPr>
        <w:t xml:space="preserve">No wells have been found </w:t>
      </w:r>
      <w:r w:rsidR="004800D0">
        <w:rPr>
          <w:rFonts w:eastAsia="Times New Roman"/>
        </w:rPr>
        <w:t>within</w:t>
      </w:r>
      <w:r w:rsidRPr="00456014">
        <w:rPr>
          <w:rFonts w:eastAsia="Times New Roman"/>
        </w:rPr>
        <w:t xml:space="preserve"> the </w:t>
      </w:r>
      <w:r w:rsidR="00C035F5">
        <w:rPr>
          <w:rFonts w:eastAsia="Times New Roman"/>
        </w:rPr>
        <w:t xml:space="preserve">very </w:t>
      </w:r>
      <w:r w:rsidRPr="00456014">
        <w:rPr>
          <w:rFonts w:eastAsia="Times New Roman"/>
        </w:rPr>
        <w:t xml:space="preserve">low potential zone. This indicates a good correlation between </w:t>
      </w:r>
      <w:r w:rsidR="004800D0">
        <w:rPr>
          <w:rFonts w:eastAsia="Times New Roman"/>
        </w:rPr>
        <w:t xml:space="preserve">the </w:t>
      </w:r>
      <w:r w:rsidRPr="00456014">
        <w:rPr>
          <w:rFonts w:eastAsia="Times New Roman"/>
        </w:rPr>
        <w:t xml:space="preserve">existing boreholes and the mapped GWPZ’s. </w:t>
      </w:r>
      <w:r w:rsidR="00C13167">
        <w:rPr>
          <w:rFonts w:eastAsia="Times New Roman"/>
        </w:rPr>
        <w:t>From</w:t>
      </w:r>
      <w:r w:rsidR="00C31C8F">
        <w:rPr>
          <w:rFonts w:eastAsia="Times New Roman"/>
        </w:rPr>
        <w:t xml:space="preserve"> the total water points</w:t>
      </w:r>
      <w:r w:rsidR="00583A1C" w:rsidRPr="00456014">
        <w:rPr>
          <w:rFonts w:eastAsia="Times New Roman"/>
        </w:rPr>
        <w:t xml:space="preserve">, </w:t>
      </w:r>
      <w:r w:rsidR="00C9335F">
        <w:rPr>
          <w:rFonts w:eastAsia="Times New Roman"/>
        </w:rPr>
        <w:t>forty-</w:t>
      </w:r>
      <w:r w:rsidR="005653C1">
        <w:rPr>
          <w:rFonts w:eastAsia="Times New Roman"/>
        </w:rPr>
        <w:t>three</w:t>
      </w:r>
      <w:r w:rsidR="007F2D26">
        <w:rPr>
          <w:rFonts w:eastAsia="Times New Roman"/>
        </w:rPr>
        <w:t xml:space="preserve"> </w:t>
      </w:r>
      <w:r w:rsidR="00C035F5">
        <w:rPr>
          <w:rFonts w:eastAsia="Times New Roman"/>
        </w:rPr>
        <w:t xml:space="preserve">boreholes, springs and hand dug well </w:t>
      </w:r>
      <w:r w:rsidR="00583A1C" w:rsidRPr="00456014">
        <w:rPr>
          <w:rFonts w:eastAsia="Times New Roman"/>
        </w:rPr>
        <w:t xml:space="preserve">satisfy the </w:t>
      </w:r>
      <w:r w:rsidR="005653C1">
        <w:rPr>
          <w:rFonts w:eastAsia="Times New Roman"/>
        </w:rPr>
        <w:t>identified</w:t>
      </w:r>
      <w:r w:rsidR="00583A1C" w:rsidRPr="00456014">
        <w:rPr>
          <w:rFonts w:eastAsia="Times New Roman"/>
        </w:rPr>
        <w:t xml:space="preserve"> GWPZ. Hence, the overall prediction accuracy of </w:t>
      </w:r>
      <w:r w:rsidR="00C035F5">
        <w:rPr>
          <w:rFonts w:eastAsia="Times New Roman"/>
        </w:rPr>
        <w:t>groundwater potential</w:t>
      </w:r>
      <w:r w:rsidR="00583A1C" w:rsidRPr="00456014">
        <w:rPr>
          <w:rFonts w:eastAsia="Times New Roman"/>
        </w:rPr>
        <w:t xml:space="preserve"> is </w:t>
      </w:r>
      <w:r w:rsidR="00C9335F">
        <w:rPr>
          <w:rFonts w:eastAsia="Times New Roman"/>
        </w:rPr>
        <w:t>84</w:t>
      </w:r>
      <w:r w:rsidR="00583A1C" w:rsidRPr="00456014">
        <w:rPr>
          <w:rFonts w:eastAsia="Times New Roman"/>
        </w:rPr>
        <w:t>%.</w:t>
      </w:r>
      <w:r w:rsidR="00CD468B">
        <w:rPr>
          <w:rFonts w:eastAsia="Times New Roman"/>
        </w:rPr>
        <w:t xml:space="preserve"> </w:t>
      </w:r>
      <w:r w:rsidR="00886BA2">
        <w:rPr>
          <w:rFonts w:eastAsia="Times New Roman"/>
        </w:rPr>
        <w:t xml:space="preserve">A single </w:t>
      </w:r>
      <w:r w:rsidR="00583A1C" w:rsidRPr="00456014">
        <w:rPr>
          <w:rFonts w:eastAsia="Times New Roman"/>
        </w:rPr>
        <w:t>s</w:t>
      </w:r>
      <w:r w:rsidR="00886BA2">
        <w:rPr>
          <w:rFonts w:eastAsia="Times New Roman"/>
        </w:rPr>
        <w:t>prings of very high discharge was</w:t>
      </w:r>
      <w:r w:rsidR="00583A1C" w:rsidRPr="00456014">
        <w:rPr>
          <w:rFonts w:eastAsia="Times New Roman"/>
        </w:rPr>
        <w:t xml:space="preserve"> found in high GWPZ. </w:t>
      </w:r>
      <w:r w:rsidR="00886BA2">
        <w:rPr>
          <w:rFonts w:eastAsia="Times New Roman"/>
        </w:rPr>
        <w:t xml:space="preserve">Since the </w:t>
      </w:r>
      <w:r w:rsidR="00957DA5">
        <w:rPr>
          <w:rFonts w:eastAsia="Times New Roman"/>
        </w:rPr>
        <w:t xml:space="preserve">location of </w:t>
      </w:r>
      <w:r w:rsidR="00583A1C" w:rsidRPr="00456014">
        <w:rPr>
          <w:rFonts w:eastAsia="Times New Roman"/>
        </w:rPr>
        <w:t>spring</w:t>
      </w:r>
      <w:r w:rsidR="00886BA2">
        <w:rPr>
          <w:rFonts w:eastAsia="Times New Roman"/>
        </w:rPr>
        <w:t xml:space="preserve"> is </w:t>
      </w:r>
      <w:r w:rsidR="00583A1C" w:rsidRPr="00456014">
        <w:rPr>
          <w:rFonts w:eastAsia="Times New Roman"/>
        </w:rPr>
        <w:t xml:space="preserve">around the volcanic </w:t>
      </w:r>
      <w:r w:rsidR="00D63115" w:rsidRPr="00456014">
        <w:rPr>
          <w:rFonts w:eastAsia="Times New Roman"/>
        </w:rPr>
        <w:t>mountain</w:t>
      </w:r>
      <w:r w:rsidR="00D63115">
        <w:rPr>
          <w:rFonts w:eastAsia="Times New Roman"/>
        </w:rPr>
        <w:t>s</w:t>
      </w:r>
      <w:r w:rsidR="00583A1C" w:rsidRPr="00456014">
        <w:rPr>
          <w:rFonts w:eastAsia="Times New Roman"/>
        </w:rPr>
        <w:t xml:space="preserve"> foothill of high lineament area</w:t>
      </w:r>
      <w:r w:rsidR="00886BA2">
        <w:rPr>
          <w:rFonts w:eastAsia="Times New Roman"/>
        </w:rPr>
        <w:t xml:space="preserve">, </w:t>
      </w:r>
      <w:r w:rsidR="00583A1C" w:rsidRPr="00456014">
        <w:rPr>
          <w:rFonts w:eastAsia="Times New Roman"/>
        </w:rPr>
        <w:t xml:space="preserve">the variation may be due to the possible presence of well intersecting </w:t>
      </w:r>
      <w:r w:rsidR="006721CC">
        <w:rPr>
          <w:rFonts w:eastAsia="Times New Roman"/>
        </w:rPr>
        <w:t>interconnected f</w:t>
      </w:r>
      <w:r w:rsidR="00583A1C" w:rsidRPr="00456014">
        <w:rPr>
          <w:rFonts w:eastAsia="Times New Roman"/>
        </w:rPr>
        <w:t>ractures.</w:t>
      </w:r>
      <w:r w:rsidR="00CD468B">
        <w:t xml:space="preserve"> </w:t>
      </w:r>
    </w:p>
    <w:p w:rsidR="00C81BBA" w:rsidRPr="00456014" w:rsidRDefault="00185CEF" w:rsidP="00CD468B">
      <w:pPr>
        <w:spacing w:before="240"/>
        <w:rPr>
          <w:rFonts w:eastAsia="Times New Roman"/>
        </w:rPr>
      </w:pPr>
      <w:r w:rsidRPr="00185CEF">
        <w:rPr>
          <w:rFonts w:eastAsia="Times New Roman"/>
        </w:rPr>
        <w:lastRenderedPageBreak/>
        <w:t>The better agreement of the comparison between the water point’s inventory data and GWPZ’s approve the efficiency of GIS a</w:t>
      </w:r>
      <w:r w:rsidR="00560FD5">
        <w:rPr>
          <w:rFonts w:eastAsia="Times New Roman"/>
        </w:rPr>
        <w:t>nd Remote Sensing</w:t>
      </w:r>
      <w:r w:rsidRPr="00185CEF">
        <w:rPr>
          <w:rFonts w:eastAsia="Times New Roman"/>
        </w:rPr>
        <w:t xml:space="preserve"> technique for mapping </w:t>
      </w:r>
      <w:r w:rsidR="00560FD5">
        <w:rPr>
          <w:rFonts w:eastAsia="Times New Roman"/>
        </w:rPr>
        <w:t>the groundwater potential zone o</w:t>
      </w:r>
      <w:r w:rsidR="007F7E00">
        <w:rPr>
          <w:rFonts w:eastAsia="Times New Roman"/>
        </w:rPr>
        <w:t>f study area.</w:t>
      </w:r>
    </w:p>
    <w:p w:rsidR="00FC0E62" w:rsidRPr="00456014" w:rsidRDefault="00FC0E62" w:rsidP="00D1139E">
      <w:pPr>
        <w:jc w:val="center"/>
      </w:pPr>
      <w:r w:rsidRPr="00456014">
        <w:rPr>
          <w:noProof/>
        </w:rPr>
        <w:drawing>
          <wp:inline distT="0" distB="0" distL="0" distR="0" wp14:anchorId="50D9CDBA" wp14:editId="4EB64225">
            <wp:extent cx="5451231" cy="2321169"/>
            <wp:effectExtent l="0" t="0" r="16510" b="3175"/>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6C7682" w:rsidRPr="00FC5DC7" w:rsidRDefault="00993AEC" w:rsidP="00D1139E">
      <w:pPr>
        <w:pStyle w:val="Caption"/>
        <w:spacing w:before="120" w:after="120" w:line="360" w:lineRule="auto"/>
        <w:rPr>
          <w:rFonts w:eastAsiaTheme="minorHAnsi"/>
          <w:i w:val="0"/>
          <w:color w:val="auto"/>
          <w:sz w:val="24"/>
          <w:szCs w:val="24"/>
        </w:rPr>
      </w:pPr>
      <w:bookmarkStart w:id="233" w:name="_Toc68761644"/>
      <w:r w:rsidRPr="00456014">
        <w:rPr>
          <w:i w:val="0"/>
          <w:color w:val="auto"/>
          <w:sz w:val="24"/>
          <w:szCs w:val="24"/>
        </w:rPr>
        <w:t xml:space="preserve">Figure </w:t>
      </w:r>
      <w:r w:rsidR="001342E5">
        <w:rPr>
          <w:i w:val="0"/>
          <w:color w:val="auto"/>
          <w:sz w:val="24"/>
          <w:szCs w:val="24"/>
        </w:rPr>
        <w:fldChar w:fldCharType="begin"/>
      </w:r>
      <w:r w:rsidR="001342E5">
        <w:rPr>
          <w:i w:val="0"/>
          <w:color w:val="auto"/>
          <w:sz w:val="24"/>
          <w:szCs w:val="24"/>
        </w:rPr>
        <w:instrText xml:space="preserve"> STYLEREF 1 \s </w:instrText>
      </w:r>
      <w:r w:rsidR="001342E5">
        <w:rPr>
          <w:i w:val="0"/>
          <w:color w:val="auto"/>
          <w:sz w:val="24"/>
          <w:szCs w:val="24"/>
        </w:rPr>
        <w:fldChar w:fldCharType="separate"/>
      </w:r>
      <w:r w:rsidR="00BD510E">
        <w:rPr>
          <w:i w:val="0"/>
          <w:noProof/>
          <w:color w:val="auto"/>
          <w:sz w:val="24"/>
          <w:szCs w:val="24"/>
        </w:rPr>
        <w:t>4</w:t>
      </w:r>
      <w:r w:rsidR="001342E5">
        <w:rPr>
          <w:i w:val="0"/>
          <w:color w:val="auto"/>
          <w:sz w:val="24"/>
          <w:szCs w:val="24"/>
        </w:rPr>
        <w:fldChar w:fldCharType="end"/>
      </w:r>
      <w:r w:rsidR="001342E5">
        <w:rPr>
          <w:i w:val="0"/>
          <w:color w:val="auto"/>
          <w:sz w:val="24"/>
          <w:szCs w:val="24"/>
        </w:rPr>
        <w:t>.</w:t>
      </w:r>
      <w:r w:rsidR="001342E5">
        <w:rPr>
          <w:i w:val="0"/>
          <w:color w:val="auto"/>
          <w:sz w:val="24"/>
          <w:szCs w:val="24"/>
        </w:rPr>
        <w:fldChar w:fldCharType="begin"/>
      </w:r>
      <w:r w:rsidR="001342E5">
        <w:rPr>
          <w:i w:val="0"/>
          <w:color w:val="auto"/>
          <w:sz w:val="24"/>
          <w:szCs w:val="24"/>
        </w:rPr>
        <w:instrText xml:space="preserve"> SEQ Figure \* ARABIC \s 1 </w:instrText>
      </w:r>
      <w:r w:rsidR="001342E5">
        <w:rPr>
          <w:i w:val="0"/>
          <w:color w:val="auto"/>
          <w:sz w:val="24"/>
          <w:szCs w:val="24"/>
        </w:rPr>
        <w:fldChar w:fldCharType="separate"/>
      </w:r>
      <w:r w:rsidR="00BD510E">
        <w:rPr>
          <w:i w:val="0"/>
          <w:noProof/>
          <w:color w:val="auto"/>
          <w:sz w:val="24"/>
          <w:szCs w:val="24"/>
        </w:rPr>
        <w:t>26</w:t>
      </w:r>
      <w:r w:rsidR="001342E5">
        <w:rPr>
          <w:i w:val="0"/>
          <w:color w:val="auto"/>
          <w:sz w:val="24"/>
          <w:szCs w:val="24"/>
        </w:rPr>
        <w:fldChar w:fldCharType="end"/>
      </w:r>
      <w:r w:rsidR="008D66CF" w:rsidRPr="00456014">
        <w:rPr>
          <w:i w:val="0"/>
          <w:color w:val="auto"/>
          <w:sz w:val="24"/>
          <w:szCs w:val="24"/>
        </w:rPr>
        <w:t>:</w:t>
      </w:r>
      <w:r w:rsidRPr="00456014">
        <w:rPr>
          <w:i w:val="0"/>
          <w:color w:val="auto"/>
          <w:sz w:val="24"/>
          <w:szCs w:val="24"/>
        </w:rPr>
        <w:t xml:space="preserve"> </w:t>
      </w:r>
      <w:r w:rsidRPr="00456014">
        <w:rPr>
          <w:rFonts w:eastAsiaTheme="minorHAnsi"/>
          <w:i w:val="0"/>
          <w:color w:val="auto"/>
          <w:sz w:val="24"/>
          <w:szCs w:val="24"/>
        </w:rPr>
        <w:t>Bar chart showing validation of the identified GWPZ</w:t>
      </w:r>
      <w:bookmarkEnd w:id="233"/>
      <w:r w:rsidRPr="00456014">
        <w:rPr>
          <w:rFonts w:eastAsiaTheme="minorHAnsi"/>
          <w:i w:val="0"/>
          <w:color w:val="auto"/>
          <w:sz w:val="24"/>
          <w:szCs w:val="24"/>
        </w:rPr>
        <w:t xml:space="preserve"> </w:t>
      </w:r>
    </w:p>
    <w:p w:rsidR="006E61F2" w:rsidRPr="00456014" w:rsidRDefault="006E61F2" w:rsidP="00D1139E">
      <w:pPr>
        <w:jc w:val="center"/>
      </w:pPr>
      <w:r w:rsidRPr="006E61F2">
        <w:rPr>
          <w:noProof/>
        </w:rPr>
        <w:drawing>
          <wp:inline distT="0" distB="0" distL="0" distR="0" wp14:anchorId="41145CA8" wp14:editId="4533835B">
            <wp:extent cx="5577840" cy="3944801"/>
            <wp:effectExtent l="19050" t="19050" r="22860" b="17780"/>
            <wp:docPr id="32" name="Picture 32" descr="C:\Users\Abdul Gafar\Desktop\Report_MXD_JPEG\GWP\GWP_OBO\VALD_MXD\GWP_VAL_FNL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bdul Gafar\Desktop\Report_MXD_JPEG\GWP\GWP_OBO\VALD_MXD\GWP_VAL_FNL2.bmp"/>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577840" cy="3944801"/>
                    </a:xfrm>
                    <a:prstGeom prst="rect">
                      <a:avLst/>
                    </a:prstGeom>
                    <a:noFill/>
                    <a:ln w="12700">
                      <a:solidFill>
                        <a:schemeClr val="tx1"/>
                      </a:solidFill>
                    </a:ln>
                  </pic:spPr>
                </pic:pic>
              </a:graphicData>
            </a:graphic>
          </wp:inline>
        </w:drawing>
      </w:r>
    </w:p>
    <w:p w:rsidR="00D841AD" w:rsidRPr="00456014" w:rsidRDefault="00C267B4" w:rsidP="00D1139E">
      <w:pPr>
        <w:rPr>
          <w:rFonts w:eastAsiaTheme="minorHAnsi"/>
          <w:iCs/>
        </w:rPr>
      </w:pPr>
      <w:bookmarkStart w:id="234" w:name="_Toc68761645"/>
      <w:r w:rsidRPr="00456014">
        <w:rPr>
          <w:rFonts w:eastAsiaTheme="minorHAnsi"/>
          <w:iCs/>
        </w:rPr>
        <w:t>Figure</w:t>
      </w:r>
      <w:r w:rsidR="00C87F42" w:rsidRPr="00456014">
        <w:rPr>
          <w:rFonts w:eastAsiaTheme="minorHAnsi"/>
          <w:iCs/>
        </w:rPr>
        <w:t xml:space="preserve"> </w:t>
      </w:r>
      <w:r w:rsidR="001342E5">
        <w:rPr>
          <w:rFonts w:eastAsiaTheme="minorHAnsi"/>
          <w:iCs/>
        </w:rPr>
        <w:fldChar w:fldCharType="begin"/>
      </w:r>
      <w:r w:rsidR="001342E5">
        <w:rPr>
          <w:rFonts w:eastAsiaTheme="minorHAnsi"/>
          <w:iCs/>
        </w:rPr>
        <w:instrText xml:space="preserve"> STYLEREF 1 \s </w:instrText>
      </w:r>
      <w:r w:rsidR="001342E5">
        <w:rPr>
          <w:rFonts w:eastAsiaTheme="minorHAnsi"/>
          <w:iCs/>
        </w:rPr>
        <w:fldChar w:fldCharType="separate"/>
      </w:r>
      <w:r w:rsidR="00BD510E">
        <w:rPr>
          <w:rFonts w:eastAsiaTheme="minorHAnsi"/>
          <w:iCs/>
          <w:noProof/>
        </w:rPr>
        <w:t>4</w:t>
      </w:r>
      <w:r w:rsidR="001342E5">
        <w:rPr>
          <w:rFonts w:eastAsiaTheme="minorHAnsi"/>
          <w:iCs/>
        </w:rPr>
        <w:fldChar w:fldCharType="end"/>
      </w:r>
      <w:r w:rsidR="001342E5">
        <w:rPr>
          <w:rFonts w:eastAsiaTheme="minorHAnsi"/>
          <w:iCs/>
        </w:rPr>
        <w:t>.</w:t>
      </w:r>
      <w:r w:rsidR="001342E5">
        <w:rPr>
          <w:rFonts w:eastAsiaTheme="minorHAnsi"/>
          <w:iCs/>
        </w:rPr>
        <w:fldChar w:fldCharType="begin"/>
      </w:r>
      <w:r w:rsidR="001342E5">
        <w:rPr>
          <w:rFonts w:eastAsiaTheme="minorHAnsi"/>
          <w:iCs/>
        </w:rPr>
        <w:instrText xml:space="preserve"> SEQ Figure \* ARABIC \s 1 </w:instrText>
      </w:r>
      <w:r w:rsidR="001342E5">
        <w:rPr>
          <w:rFonts w:eastAsiaTheme="minorHAnsi"/>
          <w:iCs/>
        </w:rPr>
        <w:fldChar w:fldCharType="separate"/>
      </w:r>
      <w:r w:rsidR="00BD510E">
        <w:rPr>
          <w:rFonts w:eastAsiaTheme="minorHAnsi"/>
          <w:iCs/>
          <w:noProof/>
        </w:rPr>
        <w:t>27</w:t>
      </w:r>
      <w:r w:rsidR="001342E5">
        <w:rPr>
          <w:rFonts w:eastAsiaTheme="minorHAnsi"/>
          <w:iCs/>
        </w:rPr>
        <w:fldChar w:fldCharType="end"/>
      </w:r>
      <w:r w:rsidR="008D66CF" w:rsidRPr="00456014">
        <w:rPr>
          <w:rFonts w:eastAsiaTheme="minorHAnsi"/>
          <w:iCs/>
        </w:rPr>
        <w:t>:</w:t>
      </w:r>
      <w:r w:rsidR="00C87F42" w:rsidRPr="00456014">
        <w:rPr>
          <w:rFonts w:eastAsiaTheme="minorHAnsi"/>
          <w:iCs/>
        </w:rPr>
        <w:t xml:space="preserve"> Evaluation of groundwater potential zones with </w:t>
      </w:r>
      <w:r w:rsidR="0075652F">
        <w:rPr>
          <w:rFonts w:eastAsiaTheme="minorHAnsi"/>
          <w:iCs/>
        </w:rPr>
        <w:t>water point’s</w:t>
      </w:r>
      <w:r w:rsidR="00C87F42" w:rsidRPr="00456014">
        <w:rPr>
          <w:rFonts w:eastAsiaTheme="minorHAnsi"/>
          <w:iCs/>
        </w:rPr>
        <w:t xml:space="preserve"> yield dat</w:t>
      </w:r>
      <w:r w:rsidR="004647AF" w:rsidRPr="00456014">
        <w:rPr>
          <w:rFonts w:eastAsiaTheme="minorHAnsi"/>
          <w:iCs/>
        </w:rPr>
        <w:t>a</w:t>
      </w:r>
      <w:bookmarkEnd w:id="234"/>
    </w:p>
    <w:p w:rsidR="002810E6" w:rsidRPr="00D476C9" w:rsidRDefault="002810E6" w:rsidP="008D3D8E">
      <w:pPr>
        <w:pStyle w:val="Heading2"/>
        <w:numPr>
          <w:ilvl w:val="1"/>
          <w:numId w:val="3"/>
        </w:numPr>
        <w:ind w:hanging="540"/>
        <w:rPr>
          <w:rFonts w:eastAsiaTheme="minorHAnsi"/>
        </w:rPr>
      </w:pPr>
      <w:bookmarkStart w:id="235" w:name="_Toc68025105"/>
      <w:bookmarkStart w:id="236" w:name="_Toc68761587"/>
      <w:r w:rsidRPr="00D476C9">
        <w:rPr>
          <w:rFonts w:eastAsiaTheme="minorHAnsi"/>
        </w:rPr>
        <w:lastRenderedPageBreak/>
        <w:t xml:space="preserve">Groundwater </w:t>
      </w:r>
      <w:r w:rsidR="00C42FA8" w:rsidRPr="00D476C9">
        <w:rPr>
          <w:rFonts w:eastAsiaTheme="minorHAnsi"/>
        </w:rPr>
        <w:t>Flow Direction</w:t>
      </w:r>
      <w:bookmarkEnd w:id="235"/>
      <w:bookmarkEnd w:id="236"/>
    </w:p>
    <w:p w:rsidR="00990AF7" w:rsidRDefault="004F1733" w:rsidP="00990AF7">
      <w:r w:rsidRPr="00D476C9">
        <w:t xml:space="preserve">The recharge and discharge </w:t>
      </w:r>
      <w:r w:rsidR="000E3C0D" w:rsidRPr="00D476C9">
        <w:t>zones of the study area were</w:t>
      </w:r>
      <w:r w:rsidRPr="00D476C9">
        <w:t xml:space="preserve"> determined from the direction vectors</w:t>
      </w:r>
      <w:r w:rsidR="007B6581">
        <w:t xml:space="preserve"> (Figure 4.28 and Figure 4.31</w:t>
      </w:r>
      <w:r w:rsidR="00E369F2" w:rsidRPr="00D476C9">
        <w:t>)</w:t>
      </w:r>
      <w:r w:rsidRPr="00D476C9">
        <w:t>. Divergent zone is a specific area where the water starts to flow to any other area, whereas</w:t>
      </w:r>
      <w:r w:rsidRPr="00456014">
        <w:t xml:space="preserve"> c</w:t>
      </w:r>
      <w:r>
        <w:t>onvergent zone</w:t>
      </w:r>
      <w:r w:rsidRPr="00456014">
        <w:t xml:space="preserve"> is the area where the water flows toward specific zones that comes from its surrounding </w:t>
      </w:r>
      <w:r w:rsidRPr="00456014">
        <w:fldChar w:fldCharType="begin" w:fldLock="1"/>
      </w:r>
      <w:r w:rsidR="00A309A8">
        <w:instrText>ADDIN CSL_CITATION {"citationItems":[{"id":"ITEM-1","itemData":{"author":[{"dropping-particle":"","family":"Doyo","given":"Diriba Worku","non-dropping-particle":"","parse-names":false,"suffix":""}],"id":"ITEM-1","issued":{"date-parts":[["2020"]]},"number-of-pages":"1-84","publisher":"Hawassa University","title":"Groundwater potential mapping using remote sensing and GIS techniques: the case of Meki watershed, Central Rift valley, Ethiopia","type":"thesis"},"uris":["http://www.mendeley.com/documents/?uuid=2751595d-7581-4867-a4a6-8a89444e1e59","http://www.mendeley.com/documents/?uuid=de24f4fb-afa8-4ca2-b379-e72af14d232b"]}],"mendeley":{"formattedCitation":"(Doyo, 2020)","plainTextFormattedCitation":"(Doyo, 2020)","previouslyFormattedCitation":"(Doyo, 2020)"},"properties":{"noteIndex":0},"schema":"https://github.com/citation-style-language/schema/raw/master/csl-citation.json"}</w:instrText>
      </w:r>
      <w:r w:rsidRPr="00456014">
        <w:fldChar w:fldCharType="separate"/>
      </w:r>
      <w:r w:rsidRPr="00456014">
        <w:rPr>
          <w:noProof/>
        </w:rPr>
        <w:t>(Doyo, 2020)</w:t>
      </w:r>
      <w:r w:rsidRPr="00456014">
        <w:fldChar w:fldCharType="end"/>
      </w:r>
      <w:r>
        <w:t>.</w:t>
      </w:r>
      <w:r w:rsidR="008048DE">
        <w:t xml:space="preserve"> </w:t>
      </w:r>
      <w:r w:rsidR="00C81BBA" w:rsidRPr="00456014">
        <w:t xml:space="preserve">The </w:t>
      </w:r>
      <w:r w:rsidR="00763669">
        <w:t>location</w:t>
      </w:r>
      <w:r w:rsidR="00C81BBA" w:rsidRPr="00456014">
        <w:t>, elevation, depth, static wa</w:t>
      </w:r>
      <w:r w:rsidR="00763669">
        <w:t xml:space="preserve">ter level </w:t>
      </w:r>
      <w:r w:rsidR="00187F4E" w:rsidRPr="00456014">
        <w:t xml:space="preserve">and </w:t>
      </w:r>
      <w:r w:rsidR="00187F4E">
        <w:t xml:space="preserve">hydraulic head </w:t>
      </w:r>
      <w:r w:rsidR="003472E6">
        <w:t xml:space="preserve">of water points </w:t>
      </w:r>
      <w:r w:rsidR="00906A0D">
        <w:t>used for</w:t>
      </w:r>
      <w:r w:rsidR="00906A0D" w:rsidRPr="00456014">
        <w:t xml:space="preserve"> determination of groundwater flow direction</w:t>
      </w:r>
      <w:r w:rsidR="005C7054">
        <w:t xml:space="preserve"> </w:t>
      </w:r>
      <w:r w:rsidR="00DD6A58">
        <w:t>was</w:t>
      </w:r>
      <w:r w:rsidR="005C7054">
        <w:t xml:space="preserve"> attached </w:t>
      </w:r>
      <w:r w:rsidR="00E25AA6">
        <w:t>under</w:t>
      </w:r>
      <w:r w:rsidR="005C7054">
        <w:t xml:space="preserve"> </w:t>
      </w:r>
      <w:r w:rsidR="00B203FB">
        <w:t xml:space="preserve">Appendix table </w:t>
      </w:r>
      <w:r w:rsidR="009F616D">
        <w:t>8</w:t>
      </w:r>
      <w:r w:rsidR="008048DE">
        <w:t>. T</w:t>
      </w:r>
      <w:r w:rsidR="00524FE9">
        <w:t xml:space="preserve">he </w:t>
      </w:r>
      <w:r w:rsidR="000E3C0D">
        <w:t>c</w:t>
      </w:r>
      <w:r w:rsidR="000E3C0D" w:rsidRPr="00456014">
        <w:t xml:space="preserve">ircles in </w:t>
      </w:r>
      <w:r w:rsidR="00504EB7">
        <w:t>blue</w:t>
      </w:r>
      <w:r w:rsidR="000E3C0D">
        <w:t xml:space="preserve"> color</w:t>
      </w:r>
      <w:r w:rsidR="000E3C0D" w:rsidRPr="00456014">
        <w:t xml:space="preserve"> show</w:t>
      </w:r>
      <w:r w:rsidR="000E3C0D">
        <w:t>n in Figure 4.28 and Figure 4.3</w:t>
      </w:r>
      <w:r w:rsidR="007B6581">
        <w:t>1</w:t>
      </w:r>
      <w:r w:rsidR="000E3C0D">
        <w:t xml:space="preserve"> indicate</w:t>
      </w:r>
      <w:r w:rsidR="00E369F2">
        <w:t xml:space="preserve"> the </w:t>
      </w:r>
      <w:r w:rsidR="00BE07A5">
        <w:t>area</w:t>
      </w:r>
      <w:r w:rsidR="00173AC1" w:rsidRPr="00456014">
        <w:t xml:space="preserve"> of groundwater recharge vectors, whereas </w:t>
      </w:r>
      <w:r w:rsidR="00BE07A5">
        <w:t xml:space="preserve">the </w:t>
      </w:r>
      <w:r w:rsidR="00173AC1" w:rsidRPr="00456014">
        <w:t xml:space="preserve">circles in </w:t>
      </w:r>
      <w:r w:rsidR="0025170D">
        <w:t>red</w:t>
      </w:r>
      <w:r w:rsidR="00173AC1" w:rsidRPr="00456014">
        <w:t xml:space="preserve"> color show</w:t>
      </w:r>
      <w:r w:rsidR="00CD78CB">
        <w:t>s</w:t>
      </w:r>
      <w:r w:rsidR="00173AC1" w:rsidRPr="00456014">
        <w:t xml:space="preserve"> area of di</w:t>
      </w:r>
      <w:r w:rsidR="00666EF2">
        <w:t>scharge with collecting vectors</w:t>
      </w:r>
      <w:r w:rsidR="00173AC1" w:rsidRPr="00456014">
        <w:t xml:space="preserve">. </w:t>
      </w:r>
      <w:r w:rsidRPr="00456014">
        <w:t>Th</w:t>
      </w:r>
      <w:r>
        <w:t xml:space="preserve">e groundwater flow direction of </w:t>
      </w:r>
      <w:r w:rsidRPr="00456014">
        <w:t>study area is particularly towar</w:t>
      </w:r>
      <w:r w:rsidR="00990AF7">
        <w:t>ds the Northeast and Southeast.</w:t>
      </w:r>
    </w:p>
    <w:p w:rsidR="00990AF7" w:rsidRPr="002455A8" w:rsidRDefault="00990AF7" w:rsidP="00990AF7">
      <w:r w:rsidRPr="00990AF7">
        <w:rPr>
          <w:noProof/>
        </w:rPr>
        <w:drawing>
          <wp:inline distT="0" distB="0" distL="0" distR="0" wp14:anchorId="6FDD0C18" wp14:editId="0E25D8AD">
            <wp:extent cx="5577840" cy="4120017"/>
            <wp:effectExtent l="19050" t="19050" r="22860" b="13970"/>
            <wp:docPr id="38" name="Picture 38" descr="C:\Users\hp\Desktop\BH_DIIR_AFTR_DEF\GWL_FNL2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p\Desktop\BH_DIIR_AFTR_DEF\GWL_FNL22.bmp"/>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577840" cy="4120017"/>
                    </a:xfrm>
                    <a:prstGeom prst="rect">
                      <a:avLst/>
                    </a:prstGeom>
                    <a:noFill/>
                    <a:ln w="19050">
                      <a:solidFill>
                        <a:schemeClr val="tx1"/>
                      </a:solidFill>
                    </a:ln>
                  </pic:spPr>
                </pic:pic>
              </a:graphicData>
            </a:graphic>
          </wp:inline>
        </w:drawing>
      </w:r>
    </w:p>
    <w:p w:rsidR="008F6340" w:rsidRPr="00990AF7" w:rsidRDefault="0010417B" w:rsidP="00990AF7">
      <w:pPr>
        <w:pStyle w:val="Caption"/>
        <w:spacing w:before="120" w:after="120" w:line="360" w:lineRule="auto"/>
        <w:rPr>
          <w:i w:val="0"/>
          <w:color w:val="auto"/>
          <w:sz w:val="24"/>
          <w:szCs w:val="24"/>
        </w:rPr>
      </w:pPr>
      <w:bookmarkStart w:id="237" w:name="_Toc68761646"/>
      <w:r w:rsidRPr="00456014">
        <w:rPr>
          <w:i w:val="0"/>
          <w:color w:val="auto"/>
          <w:sz w:val="24"/>
          <w:szCs w:val="24"/>
        </w:rPr>
        <w:t xml:space="preserve">Figure </w:t>
      </w:r>
      <w:r w:rsidR="001342E5">
        <w:rPr>
          <w:i w:val="0"/>
          <w:color w:val="auto"/>
          <w:sz w:val="24"/>
          <w:szCs w:val="24"/>
        </w:rPr>
        <w:fldChar w:fldCharType="begin"/>
      </w:r>
      <w:r w:rsidR="001342E5">
        <w:rPr>
          <w:i w:val="0"/>
          <w:color w:val="auto"/>
          <w:sz w:val="24"/>
          <w:szCs w:val="24"/>
        </w:rPr>
        <w:instrText xml:space="preserve"> STYLEREF 1 \s </w:instrText>
      </w:r>
      <w:r w:rsidR="001342E5">
        <w:rPr>
          <w:i w:val="0"/>
          <w:color w:val="auto"/>
          <w:sz w:val="24"/>
          <w:szCs w:val="24"/>
        </w:rPr>
        <w:fldChar w:fldCharType="separate"/>
      </w:r>
      <w:r w:rsidR="00BD510E">
        <w:rPr>
          <w:i w:val="0"/>
          <w:noProof/>
          <w:color w:val="auto"/>
          <w:sz w:val="24"/>
          <w:szCs w:val="24"/>
        </w:rPr>
        <w:t>4</w:t>
      </w:r>
      <w:r w:rsidR="001342E5">
        <w:rPr>
          <w:i w:val="0"/>
          <w:color w:val="auto"/>
          <w:sz w:val="24"/>
          <w:szCs w:val="24"/>
        </w:rPr>
        <w:fldChar w:fldCharType="end"/>
      </w:r>
      <w:r w:rsidR="001342E5">
        <w:rPr>
          <w:i w:val="0"/>
          <w:color w:val="auto"/>
          <w:sz w:val="24"/>
          <w:szCs w:val="24"/>
        </w:rPr>
        <w:t>.</w:t>
      </w:r>
      <w:r w:rsidR="001342E5">
        <w:rPr>
          <w:i w:val="0"/>
          <w:color w:val="auto"/>
          <w:sz w:val="24"/>
          <w:szCs w:val="24"/>
        </w:rPr>
        <w:fldChar w:fldCharType="begin"/>
      </w:r>
      <w:r w:rsidR="001342E5">
        <w:rPr>
          <w:i w:val="0"/>
          <w:color w:val="auto"/>
          <w:sz w:val="24"/>
          <w:szCs w:val="24"/>
        </w:rPr>
        <w:instrText xml:space="preserve"> SEQ Figure \* ARABIC \s 1 </w:instrText>
      </w:r>
      <w:r w:rsidR="001342E5">
        <w:rPr>
          <w:i w:val="0"/>
          <w:color w:val="auto"/>
          <w:sz w:val="24"/>
          <w:szCs w:val="24"/>
        </w:rPr>
        <w:fldChar w:fldCharType="separate"/>
      </w:r>
      <w:r w:rsidR="00BD510E">
        <w:rPr>
          <w:i w:val="0"/>
          <w:noProof/>
          <w:color w:val="auto"/>
          <w:sz w:val="24"/>
          <w:szCs w:val="24"/>
        </w:rPr>
        <w:t>28</w:t>
      </w:r>
      <w:r w:rsidR="001342E5">
        <w:rPr>
          <w:i w:val="0"/>
          <w:color w:val="auto"/>
          <w:sz w:val="24"/>
          <w:szCs w:val="24"/>
        </w:rPr>
        <w:fldChar w:fldCharType="end"/>
      </w:r>
      <w:r w:rsidR="008245B7" w:rsidRPr="00456014">
        <w:rPr>
          <w:i w:val="0"/>
          <w:color w:val="auto"/>
          <w:sz w:val="24"/>
          <w:szCs w:val="24"/>
        </w:rPr>
        <w:t>:</w:t>
      </w:r>
      <w:r w:rsidR="00176313" w:rsidRPr="00456014">
        <w:rPr>
          <w:i w:val="0"/>
          <w:color w:val="auto"/>
          <w:sz w:val="24"/>
          <w:szCs w:val="24"/>
        </w:rPr>
        <w:t xml:space="preserve"> The groundwa</w:t>
      </w:r>
      <w:r w:rsidR="00197012">
        <w:rPr>
          <w:i w:val="0"/>
          <w:color w:val="auto"/>
          <w:sz w:val="24"/>
          <w:szCs w:val="24"/>
        </w:rPr>
        <w:t xml:space="preserve">ter flow direction, Recharge/Discharge zone </w:t>
      </w:r>
      <w:r w:rsidR="00852C68">
        <w:rPr>
          <w:i w:val="0"/>
          <w:color w:val="auto"/>
          <w:sz w:val="24"/>
          <w:szCs w:val="24"/>
        </w:rPr>
        <w:t xml:space="preserve">(I) </w:t>
      </w:r>
      <w:r w:rsidR="00462B23" w:rsidRPr="00456014">
        <w:rPr>
          <w:i w:val="0"/>
          <w:color w:val="auto"/>
          <w:sz w:val="24"/>
          <w:szCs w:val="24"/>
        </w:rPr>
        <w:t>and groundwater level profile (II)</w:t>
      </w:r>
      <w:r w:rsidR="00176313" w:rsidRPr="00456014">
        <w:rPr>
          <w:i w:val="0"/>
          <w:color w:val="auto"/>
          <w:sz w:val="24"/>
          <w:szCs w:val="24"/>
        </w:rPr>
        <w:t xml:space="preserve"> </w:t>
      </w:r>
      <w:r w:rsidR="00787909">
        <w:rPr>
          <w:i w:val="0"/>
          <w:color w:val="auto"/>
          <w:sz w:val="24"/>
          <w:szCs w:val="24"/>
        </w:rPr>
        <w:t>along the down</w:t>
      </w:r>
      <w:r w:rsidR="004E2029" w:rsidRPr="00456014">
        <w:rPr>
          <w:i w:val="0"/>
          <w:color w:val="auto"/>
          <w:sz w:val="24"/>
          <w:szCs w:val="24"/>
        </w:rPr>
        <w:t>stream</w:t>
      </w:r>
      <w:bookmarkEnd w:id="237"/>
    </w:p>
    <w:p w:rsidR="00560FD5" w:rsidRDefault="0044585E" w:rsidP="00F120FC">
      <w:r>
        <w:t>The dispersing vectors of S</w:t>
      </w:r>
      <w:r w:rsidRPr="00456014">
        <w:t>outhwestern areas are the indicators of the major recharging zon</w:t>
      </w:r>
      <w:r>
        <w:t>e. At the same time, perennial r</w:t>
      </w:r>
      <w:r w:rsidRPr="00456014">
        <w:t>ivers emanate from those areas</w:t>
      </w:r>
      <w:r>
        <w:t xml:space="preserve">. </w:t>
      </w:r>
    </w:p>
    <w:p w:rsidR="00B265DE" w:rsidRDefault="002535BB" w:rsidP="00F120FC">
      <w:r w:rsidRPr="00456014">
        <w:lastRenderedPageBreak/>
        <w:t>Therefore, the identified recharging sites can also be act</w:t>
      </w:r>
      <w:r w:rsidR="00560FD5">
        <w:t xml:space="preserve">ing as discharging areas at the </w:t>
      </w:r>
      <w:r w:rsidRPr="00456014">
        <w:t xml:space="preserve">same time and vice versa. </w:t>
      </w:r>
      <w:r w:rsidR="00570E1C" w:rsidRPr="00456014">
        <w:t>Moreover, it is seen that discharging sites do coincide with River networks showing points at which groundwater c</w:t>
      </w:r>
      <w:r w:rsidR="00570E1C">
        <w:t>ontributes to Rivers (Figure 4.</w:t>
      </w:r>
      <w:r w:rsidR="00570E1C" w:rsidRPr="00456014">
        <w:t>2</w:t>
      </w:r>
      <w:r w:rsidR="00570E1C">
        <w:t>9</w:t>
      </w:r>
      <w:r w:rsidR="00985A79">
        <w:t xml:space="preserve">). </w:t>
      </w:r>
      <w:r w:rsidR="00570E1C" w:rsidRPr="00456014">
        <w:t>But at points where the recharging site is away from River</w:t>
      </w:r>
      <w:r w:rsidR="0084011F">
        <w:t xml:space="preserve">s, it is possibly an indication </w:t>
      </w:r>
      <w:r w:rsidR="00570E1C" w:rsidRPr="00456014">
        <w:t xml:space="preserve">that the aquifer is discharging to underlying strata </w:t>
      </w:r>
      <w:r w:rsidR="00570E1C" w:rsidRPr="00456014">
        <w:fldChar w:fldCharType="begin" w:fldLock="1"/>
      </w:r>
      <w:r w:rsidR="00A309A8">
        <w:instrText>ADDIN CSL_CITATION {"citationItems":[{"id":"ITEM-1","itemData":{"DOI":"10.4236/ojmh.2018.84010","ISSN":"2163-0461","abstract":"Genale-Dawa River Basin is one of the largest and most drought prone regions in Ethiopia. As a result a search for alternative source of water has always been a major issue in the region. This study therefore, aims at characterizing and evaluating the ground water potential resource of the river basin. The delineation and numerical discretization of the river basin were primarily done for the proper development of the problem domain. And the groundwater governing equation was solved at individual nodal points of the discretized region using a 3-D numerical ground water model called TAGSAC. This resulted in monthly average groundwater table fluctuation and replenishable ground water potential estimation. Hydrogeological classification was also done based on hydraulic conductivity values obtained from model calibration.","author":[{"dropping-particle":"","family":"Kassahun","given":"Nebiyou","non-dropping-particle":"","parse-names":false,"suffix":""},{"dropping-particle":"","family":"Mohamed","given":"Mebruk","non-dropping-particle":"","parse-names":false,"suffix":""}],"container-title":"Open Journal of Modern Hydrology","id":"ITEM-1","issue":"04","issued":{"date-parts":[["2018"]]},"page":"126-144","title":"Groundwater Potential Assessment and Characterization of Genale-Dawa River Basin","type":"article-journal","volume":"08"},"uris":["http://www.mendeley.com/documents/?uuid=2ccb189f-c8a9-4612-a5f4-cb7171d0e45d"]}],"mendeley":{"formattedCitation":"(Kassahun &amp; Mohamed, 2018)","manualFormatting":"(Kassahun and Mohamed, 2018)","plainTextFormattedCitation":"(Kassahun &amp; Mohamed, 2018)","previouslyFormattedCitation":"(Kassahun &amp; Mohamed, 2018)"},"properties":{"noteIndex":0},"schema":"https://github.com/citation-style-language/schema/raw/master/csl-citation.json"}</w:instrText>
      </w:r>
      <w:r w:rsidR="00570E1C" w:rsidRPr="00456014">
        <w:fldChar w:fldCharType="separate"/>
      </w:r>
      <w:r w:rsidR="00570E1C">
        <w:rPr>
          <w:noProof/>
        </w:rPr>
        <w:t>(Kassahun and</w:t>
      </w:r>
      <w:r w:rsidR="00570E1C" w:rsidRPr="00456014">
        <w:rPr>
          <w:noProof/>
        </w:rPr>
        <w:t xml:space="preserve"> Mohamed, 2018)</w:t>
      </w:r>
      <w:r w:rsidR="00570E1C" w:rsidRPr="00456014">
        <w:fldChar w:fldCharType="end"/>
      </w:r>
      <w:r w:rsidR="00570E1C" w:rsidRPr="00456014">
        <w:t>.</w:t>
      </w:r>
    </w:p>
    <w:p w:rsidR="00F120FC" w:rsidRPr="00456014" w:rsidRDefault="00F120FC" w:rsidP="00BA654F">
      <w:pPr>
        <w:jc w:val="center"/>
      </w:pPr>
      <w:r w:rsidRPr="00F120FC">
        <w:rPr>
          <w:noProof/>
        </w:rPr>
        <w:drawing>
          <wp:inline distT="0" distB="0" distL="0" distR="0">
            <wp:extent cx="5577840" cy="3189052"/>
            <wp:effectExtent l="19050" t="19050" r="22860" b="11430"/>
            <wp:docPr id="21" name="Picture 21" descr="C:\Users\hp\Desktop\BH_DIIR_AFTR_DEF\GWFD_BH_CONCIDE.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BH_DIIR_AFTR_DEF\GWFD_BH_CONCIDE.bmp"/>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577840" cy="3189052"/>
                    </a:xfrm>
                    <a:prstGeom prst="rect">
                      <a:avLst/>
                    </a:prstGeom>
                    <a:noFill/>
                    <a:ln w="19050">
                      <a:solidFill>
                        <a:schemeClr val="tx1"/>
                      </a:solidFill>
                    </a:ln>
                  </pic:spPr>
                </pic:pic>
              </a:graphicData>
            </a:graphic>
          </wp:inline>
        </w:drawing>
      </w:r>
    </w:p>
    <w:p w:rsidR="002535BB" w:rsidRDefault="002535BB" w:rsidP="003819BA">
      <w:pPr>
        <w:pStyle w:val="Caption"/>
        <w:spacing w:before="120" w:after="120" w:line="360" w:lineRule="auto"/>
        <w:rPr>
          <w:i w:val="0"/>
          <w:color w:val="auto"/>
          <w:sz w:val="24"/>
          <w:szCs w:val="24"/>
        </w:rPr>
      </w:pPr>
      <w:bookmarkStart w:id="238" w:name="_Toc68761647"/>
      <w:r w:rsidRPr="00456014">
        <w:rPr>
          <w:i w:val="0"/>
          <w:color w:val="auto"/>
          <w:sz w:val="24"/>
          <w:szCs w:val="24"/>
        </w:rPr>
        <w:t xml:space="preserve">Figure </w:t>
      </w:r>
      <w:r w:rsidR="001342E5">
        <w:rPr>
          <w:i w:val="0"/>
          <w:color w:val="auto"/>
          <w:sz w:val="24"/>
          <w:szCs w:val="24"/>
        </w:rPr>
        <w:fldChar w:fldCharType="begin"/>
      </w:r>
      <w:r w:rsidR="001342E5">
        <w:rPr>
          <w:i w:val="0"/>
          <w:color w:val="auto"/>
          <w:sz w:val="24"/>
          <w:szCs w:val="24"/>
        </w:rPr>
        <w:instrText xml:space="preserve"> STYLEREF 1 \s </w:instrText>
      </w:r>
      <w:r w:rsidR="001342E5">
        <w:rPr>
          <w:i w:val="0"/>
          <w:color w:val="auto"/>
          <w:sz w:val="24"/>
          <w:szCs w:val="24"/>
        </w:rPr>
        <w:fldChar w:fldCharType="separate"/>
      </w:r>
      <w:r w:rsidR="00BD510E">
        <w:rPr>
          <w:i w:val="0"/>
          <w:noProof/>
          <w:color w:val="auto"/>
          <w:sz w:val="24"/>
          <w:szCs w:val="24"/>
        </w:rPr>
        <w:t>4</w:t>
      </w:r>
      <w:r w:rsidR="001342E5">
        <w:rPr>
          <w:i w:val="0"/>
          <w:color w:val="auto"/>
          <w:sz w:val="24"/>
          <w:szCs w:val="24"/>
        </w:rPr>
        <w:fldChar w:fldCharType="end"/>
      </w:r>
      <w:r w:rsidR="001342E5">
        <w:rPr>
          <w:i w:val="0"/>
          <w:color w:val="auto"/>
          <w:sz w:val="24"/>
          <w:szCs w:val="24"/>
        </w:rPr>
        <w:t>.</w:t>
      </w:r>
      <w:r w:rsidR="001342E5">
        <w:rPr>
          <w:i w:val="0"/>
          <w:color w:val="auto"/>
          <w:sz w:val="24"/>
          <w:szCs w:val="24"/>
        </w:rPr>
        <w:fldChar w:fldCharType="begin"/>
      </w:r>
      <w:r w:rsidR="001342E5">
        <w:rPr>
          <w:i w:val="0"/>
          <w:color w:val="auto"/>
          <w:sz w:val="24"/>
          <w:szCs w:val="24"/>
        </w:rPr>
        <w:instrText xml:space="preserve"> SEQ Figure \* ARABIC \s 1 </w:instrText>
      </w:r>
      <w:r w:rsidR="001342E5">
        <w:rPr>
          <w:i w:val="0"/>
          <w:color w:val="auto"/>
          <w:sz w:val="24"/>
          <w:szCs w:val="24"/>
        </w:rPr>
        <w:fldChar w:fldCharType="separate"/>
      </w:r>
      <w:r w:rsidR="00BD510E">
        <w:rPr>
          <w:i w:val="0"/>
          <w:noProof/>
          <w:color w:val="auto"/>
          <w:sz w:val="24"/>
          <w:szCs w:val="24"/>
        </w:rPr>
        <w:t>29</w:t>
      </w:r>
      <w:r w:rsidR="001342E5">
        <w:rPr>
          <w:i w:val="0"/>
          <w:color w:val="auto"/>
          <w:sz w:val="24"/>
          <w:szCs w:val="24"/>
        </w:rPr>
        <w:fldChar w:fldCharType="end"/>
      </w:r>
      <w:r w:rsidRPr="00456014">
        <w:rPr>
          <w:i w:val="0"/>
          <w:color w:val="auto"/>
          <w:sz w:val="24"/>
          <w:szCs w:val="24"/>
        </w:rPr>
        <w:t xml:space="preserve">: </w:t>
      </w:r>
      <w:r w:rsidRPr="00F61559">
        <w:rPr>
          <w:i w:val="0"/>
          <w:color w:val="auto"/>
          <w:sz w:val="24"/>
          <w:szCs w:val="24"/>
        </w:rPr>
        <w:t>Gr</w:t>
      </w:r>
      <w:r w:rsidR="00BA654F" w:rsidRPr="00F61559">
        <w:rPr>
          <w:i w:val="0"/>
          <w:color w:val="auto"/>
          <w:sz w:val="24"/>
          <w:szCs w:val="24"/>
        </w:rPr>
        <w:t>oundwater level</w:t>
      </w:r>
      <w:r w:rsidRPr="00F61559">
        <w:rPr>
          <w:i w:val="0"/>
          <w:color w:val="auto"/>
          <w:sz w:val="24"/>
          <w:szCs w:val="24"/>
        </w:rPr>
        <w:t>, reach and flow direction vectors map</w:t>
      </w:r>
      <w:bookmarkEnd w:id="238"/>
    </w:p>
    <w:p w:rsidR="00560FD5" w:rsidRDefault="00491BBF" w:rsidP="00560FD5">
      <w:r>
        <w:t xml:space="preserve">In addition to the groundwater level flow direction vector the </w:t>
      </w:r>
      <w:r w:rsidR="002535BB" w:rsidRPr="00456014">
        <w:t>t</w:t>
      </w:r>
      <w:r w:rsidR="002535BB">
        <w:t xml:space="preserve">opographic </w:t>
      </w:r>
      <w:r>
        <w:t>contour map was analyzed</w:t>
      </w:r>
      <w:r w:rsidR="000E66B6">
        <w:t xml:space="preserve"> </w:t>
      </w:r>
      <w:r w:rsidR="000E66B6">
        <w:fldChar w:fldCharType="begin" w:fldLock="1"/>
      </w:r>
      <w:r w:rsidR="00A309A8">
        <w:instrText>ADDIN CSL_CITATION {"citationItems":[{"id":"ITEM-1","itemData":{"author":[{"dropping-particle":"","family":"Amah","given":"E A","non-dropping-particle":"","parse-names":false,"suffix":""},{"dropping-particle":"","family":"Agbebia","given":"M A","non-dropping-particle":"","parse-names":false,"suffix":""}],"id":"ITEM-1","issue":"December","issued":{"date-parts":[["2015"]]},"page":"1-5","title":"Determination Of Groundwater Flow Direction In Ekintae Limestone Quarry Near Mfamosing ,","type":"article-journal"},"uris":["http://www.mendeley.com/documents/?uuid=c538973e-4cf1-4f37-9bf9-20682450279b"]},{"id":"ITEM-2","itemData":{"abstract":"A systematic evaluation of groundwater is essential for the proper utilization and management of this precious natural resource. Integrated GIS and remote sensing are efficient techniques in groundwater studies; in facilitate better data analysis and their interpretations of groundwater potential controlling parameters. In the present study, an attempt had been made to delineate and classify possible groundwater potential zones in the Bilate River catchment using integrated remote sensing and GIS techniques. The thematic layers considered in this study are lithology, geomorphology, drainage density, lineament density, rainfall, soil, slope and land use/ land cover were prepared using the Landsat ETM+ imagery and ArcGIS software. All the thematic layers were then assigned weights according to their relative importance in groundwater occurrence and the corresponding normalized weights were obtained based on the Saaty's analytical hierarchy process. These weights were applied in linear summation equation to obtain a unified weight map containing due weights of all input variables. The thematic layers were finally integrated using ArcGIS and IDRIS software to produce a groundwater potential zone map. Thus, four different groundwater potential zones were identified, namely 'high, 'moderate',' low' and 'poor'. The high potential zones correspond to alluvial plains, lacustrine sediments, the fracture valleys, and valley fills, which coincide with the low slope and high lineaments density areas .The eastern portion and valley escarpment of the study area fall under moderate groundwater potential zone. The low zones mainly comprise structural hills and an escarpment which contributes high run-off .On the other hand; Poor groundwater potential zones are present in the mountain peaks, plateaus and escarpments with steep cliff.","author":[{"dropping-particle":"","family":"Gintamo","given":"Tesfaye Tessema","non-dropping-particle":"","parse-names":false,"suffix":""}],"container-title":"American Scientific Research Journal for Engineering, Technology, and Sciences (ASRJETS) ISSN (Print)","id":"ITEM-2","issued":{"date-parts":[["2015"]]},"page":"2313-4410","title":"Ground Water Potential Evaluation Based on Integrated GIS and Remote Sensing Techniques, in Bilate River Catchment: South Rift Valley of Ethiopia","type":"article-journal"},"uris":["http://www.mendeley.com/documents/?uuid=f6a33ffd-3cd3-40ba-ac19-7301494d8da8"]},{"id":"ITEM-3","itemData":{"author":[{"dropping-particle":"","family":"Messene","given":"Genet Mathewos","non-dropping-particle":"","parse-names":false,"suffix":""}],"container-title":"Journal of Environment and Earth Science","id":"ITEM-3","issue":"2","issued":{"date-parts":[["2017"]]},"page":"32-39","title":"Groundwater Flow Direction , Recharge and Discharge Zones Identification in Lower Gidabo Catchment , Rift Valley Basin ,","type":"article-journal","volume":"7"},"uris":["http://www.mendeley.com/documents/?uuid=d6808e5e-f74a-4fad-8bbe-19ca51a36a67"]}],"mendeley":{"formattedCitation":"(Amah &amp; Agbebia, 2015; Gintamo, 2015; Messene, 2017)","manualFormatting":"(Amah and Agbebia, 2015; Gintamo, 2015; Messene, 2017)","plainTextFormattedCitation":"(Amah &amp; Agbebia, 2015; Gintamo, 2015; Messene, 2017)","previouslyFormattedCitation":"(Amah &amp; Agbebia, 2015; Gintamo, 2015; Messene, 2017)"},"properties":{"noteIndex":0},"schema":"https://github.com/citation-style-language/schema/raw/master/csl-citation.json"}</w:instrText>
      </w:r>
      <w:r w:rsidR="000E66B6">
        <w:fldChar w:fldCharType="separate"/>
      </w:r>
      <w:r w:rsidR="000E66B6">
        <w:rPr>
          <w:noProof/>
        </w:rPr>
        <w:t xml:space="preserve">(Amah and </w:t>
      </w:r>
      <w:r w:rsidR="000E66B6" w:rsidRPr="000E66B6">
        <w:rPr>
          <w:noProof/>
        </w:rPr>
        <w:t>Agbebia, 2015; Gintamo, 2015; Messene, 2017)</w:t>
      </w:r>
      <w:r w:rsidR="000E66B6">
        <w:fldChar w:fldCharType="end"/>
      </w:r>
      <w:r w:rsidR="007B6581">
        <w:t xml:space="preserve">. </w:t>
      </w:r>
      <w:r w:rsidRPr="00456014">
        <w:t>The resulting t</w:t>
      </w:r>
      <w:r w:rsidR="00725A99">
        <w:t xml:space="preserve">opographic  tilting </w:t>
      </w:r>
      <w:r>
        <w:t>and hydraulic head contour maps</w:t>
      </w:r>
      <w:r w:rsidRPr="00456014">
        <w:t xml:space="preserve"> reveal that the </w:t>
      </w:r>
      <w:r>
        <w:t xml:space="preserve">groundwater </w:t>
      </w:r>
      <w:r w:rsidRPr="00456014">
        <w:t xml:space="preserve">flow direction </w:t>
      </w:r>
      <w:r>
        <w:t xml:space="preserve">was </w:t>
      </w:r>
      <w:r w:rsidRPr="00456014">
        <w:t xml:space="preserve">controlled by the geomorphology, topographic slope </w:t>
      </w:r>
      <w:r w:rsidR="00741270">
        <w:t>aspect, gradient of groundwater</w:t>
      </w:r>
      <w:r w:rsidRPr="00456014">
        <w:t xml:space="preserve"> and structure of the sub-basin </w:t>
      </w:r>
      <w:r w:rsidRPr="00456014">
        <w:fldChar w:fldCharType="begin" w:fldLock="1"/>
      </w:r>
      <w:r w:rsidR="00A309A8">
        <w:instrText>ADDIN CSL_CITATION {"citationItems":[{"id":"ITEM-1","itemData":{"abstract":"Dodola map sheet (NB37-7) is covering parts of south eastern Ethiopian plateau and associated low lands. It is located at 430 km from Addis Ababa within Oromia and SNNP Regional states and bounded in between 6o 00’ to 7 o 00’ N Latitude and 39o00’ to 40o30’ E Longitude. The main and principal objective of the project is to produce hydrogeological and hydrochemical map of Dodola map sheet in 1:250,000 scale with accompanying report. Different materials like geological map, topographic map, GPS, PH meter, EC meter etc and appropriate software were used to achieve the objective. Geologically Dodolla map sheet is covered by Precambrian crystalline basement rocks, Mesozoic Sedimentary units at the middle, Cenozoic volcanic rocks at the top with a very few recent sediment deposit. Based on hydrodynamic properties of rocks and their hydraulic characteristics all Mesozoic sedimentary units are classified under high productive aquifer except upper sand stone which is local and low productive aquifer. Within the Cenozoic volcanic rocks, Ankaramite and syanite are massive, slightly weathered and can be characterized as low productive, where as the rest of volcanic rocks in the area possess moderate to high productive characteristics. The highly sheared, foliated and weathered high grade basement rocks of the area classified as low to moderate productive. Low grade basement rocks, mainly intrusives and metasedimentary units are massive and fresh without water points and classified as medium of very low water holding and transmitting capacity/Aquifuge. From topographic set up and ground water table map , the general ground water flow direction in the area is towards south and mainly south east (sedimentary covering low land) and the minimum mean recharge of the area from precipitation is estimated as 1127.2 mm/year. From the collected 97 water samples about 78 water samples are within the permissible level of water quality standard of WHO and good for drinking purpose. The Sodium Adsorption Ratio (SAR) value of the water in the area is &lt;5, which is within excellent range for irrigation, but TDS irrigation suitability criteria shows 87 water samples are excellent, 7 are suitable and the rest are unsuitable. Most of analyzed water samples show the ground water quality of the area is also suitable for Dairy, Sugar, Food processing and Tanning industries. Shallow well of Dello Mena town (dshw_4) and dDw_11 of Dodola area shows harmful (high) concentration of NO3 and sho…","author":[{"dropping-particle":"","family":"Kifle","given":"Astatike","non-dropping-particle":"","parse-names":false,"suffix":""},{"dropping-particle":"","family":"Hailemriam","given":"Mulugeta","non-dropping-particle":"","parse-names":false,"suffix":""}],"id":"ITEM-1","issued":{"date-parts":[["2010"]]},"number-of-pages":"1-104","publisher-place":"Addis Abeba, Ethiopia","title":"Integrated hydrogeological mapping of Dodola map sheet (NB 37-7) South Eastern Ethiopia high lands with associated low lands","type":"report"},"uris":["http://www.mendeley.com/documents/?uuid=a08bf45a-48bd-4814-bf25-2789c5c1d393","http://www.mendeley.com/documents/?uuid=0265e2e7-316d-4ea6-8541-27380974830d"]}],"mendeley":{"formattedCitation":"(Kifle &amp; Hailemriam, 2010)","manualFormatting":"(Kifle and Hailemriam, 2010)","plainTextFormattedCitation":"(Kifle &amp; Hailemriam, 2010)","previouslyFormattedCitation":"(Kifle &amp; Hailemriam, 2010)"},"properties":{"noteIndex":0},"schema":"https://github.com/citation-style-language/schema/raw/master/csl-citation.json"}</w:instrText>
      </w:r>
      <w:r w:rsidRPr="00456014">
        <w:fldChar w:fldCharType="separate"/>
      </w:r>
      <w:r w:rsidRPr="00456014">
        <w:rPr>
          <w:noProof/>
        </w:rPr>
        <w:t xml:space="preserve">(Kifle </w:t>
      </w:r>
      <w:r w:rsidR="00B457F8">
        <w:rPr>
          <w:noProof/>
        </w:rPr>
        <w:t>and</w:t>
      </w:r>
      <w:r w:rsidRPr="00456014">
        <w:rPr>
          <w:noProof/>
        </w:rPr>
        <w:t xml:space="preserve"> Hailemriam, 2010)</w:t>
      </w:r>
      <w:r w:rsidRPr="00456014">
        <w:fldChar w:fldCharType="end"/>
      </w:r>
      <w:r w:rsidRPr="00456014">
        <w:t>.</w:t>
      </w:r>
      <w:r w:rsidR="00B4528B">
        <w:t xml:space="preserve"> </w:t>
      </w:r>
    </w:p>
    <w:p w:rsidR="00560FD5" w:rsidRDefault="00970AE0" w:rsidP="00560FD5">
      <w:r>
        <w:t>The p</w:t>
      </w:r>
      <w:r w:rsidRPr="00E07430">
        <w:t xml:space="preserve">erennial springs </w:t>
      </w:r>
      <w:r>
        <w:t xml:space="preserve">were </w:t>
      </w:r>
      <w:r w:rsidRPr="00E07430">
        <w:t>merge at depressions, stream channel and hillside topographic setting</w:t>
      </w:r>
      <w:r>
        <w:t xml:space="preserve"> </w:t>
      </w:r>
      <w:r>
        <w:fldChar w:fldCharType="begin" w:fldLock="1"/>
      </w:r>
      <w:r w:rsidR="00A309A8">
        <w:instrText>ADDIN CSL_CITATION {"citationItems":[{"id":"ITEM-1","itemData":{"author":[{"dropping-particle":"","family":"Kiflu","given":"Astatke","non-dropping-particle":"","parse-names":false,"suffix":""},{"dropping-particle":"","family":"Tafa","given":"Yosef","non-dropping-particle":"","parse-names":false,"suffix":""},{"dropping-particle":"","family":"Mulugeta","given":"Yonas","non-dropping-particle":"","parse-names":false,"suffix":""}],"id":"ITEM-1","issued":{"date-parts":[["2009"]]},"number-of-pages":"1-74","publisher-place":"Addis Abeba, Ethiopia","title":"Hydrogeological mapping of part of Asela map sheet (NB 37-3) South eastern high land of Ethiopia","type":"report"},"uris":["http://www.mendeley.com/documents/?uuid=00ac486c-3b45-4648-a467-648ee30a24fa","http://www.mendeley.com/documents/?uuid=b3043dd7-ee9c-4f47-9f3e-21b95483fb89"]}],"mendeley":{"formattedCitation":"(Kiflu et al., 2009)","plainTextFormattedCitation":"(Kiflu et al., 2009)","previouslyFormattedCitation":"(Kiflu et al., 2009)"},"properties":{"noteIndex":0},"schema":"https://github.com/citation-style-language/schema/raw/master/csl-citation.json"}</w:instrText>
      </w:r>
      <w:r>
        <w:fldChar w:fldCharType="separate"/>
      </w:r>
      <w:r w:rsidRPr="005214D9">
        <w:rPr>
          <w:noProof/>
        </w:rPr>
        <w:t>(Kiflu et al., 2009)</w:t>
      </w:r>
      <w:r>
        <w:fldChar w:fldCharType="end"/>
      </w:r>
      <w:r w:rsidR="00560FD5">
        <w:t xml:space="preserve">. </w:t>
      </w:r>
      <w:r w:rsidR="00B4528B" w:rsidRPr="00456014">
        <w:t>The groundwater flow direction vector</w:t>
      </w:r>
      <w:r w:rsidR="00C13149">
        <w:t>s</w:t>
      </w:r>
      <w:r w:rsidR="00B4528B" w:rsidRPr="00456014">
        <w:t xml:space="preserve"> </w:t>
      </w:r>
      <w:r w:rsidR="00741270">
        <w:t xml:space="preserve">that </w:t>
      </w:r>
      <w:r w:rsidR="00B4528B" w:rsidRPr="00456014">
        <w:t xml:space="preserve">prepared from sparsely distributed </w:t>
      </w:r>
      <w:r w:rsidR="00DB0FC6">
        <w:t xml:space="preserve">water points shows a </w:t>
      </w:r>
      <w:r w:rsidR="00B4528B" w:rsidRPr="00456014">
        <w:t>local variations from the groundwater flow direction v</w:t>
      </w:r>
      <w:r w:rsidR="009631BA">
        <w:t xml:space="preserve">ector of the densely considered </w:t>
      </w:r>
      <w:r w:rsidR="00B4528B" w:rsidRPr="00456014">
        <w:t xml:space="preserve">topographic map. Even though the groundwater flow direction vectors of both maps cannot match exactly, </w:t>
      </w:r>
      <w:r w:rsidR="00B4528B" w:rsidRPr="00C90ECA">
        <w:t xml:space="preserve">the general groundwater flow </w:t>
      </w:r>
      <w:r w:rsidR="00791E06">
        <w:t xml:space="preserve">direction, discharge and recharge zone </w:t>
      </w:r>
      <w:r w:rsidR="00B4528B" w:rsidRPr="00C90ECA">
        <w:t xml:space="preserve">of </w:t>
      </w:r>
      <w:r w:rsidR="009F695A">
        <w:t xml:space="preserve">the </w:t>
      </w:r>
      <w:r w:rsidR="00B4528B" w:rsidRPr="00C90ECA">
        <w:t xml:space="preserve">study area shows the same pattern. </w:t>
      </w:r>
    </w:p>
    <w:p w:rsidR="00560FD5" w:rsidRDefault="00560FD5" w:rsidP="00560FD5"/>
    <w:p w:rsidR="001342E5" w:rsidRDefault="00DB27A4" w:rsidP="00560FD5">
      <w:r>
        <w:lastRenderedPageBreak/>
        <w:t xml:space="preserve">In addition to the delineated GWPZ, the </w:t>
      </w:r>
      <w:r w:rsidRPr="00DB27A4">
        <w:t>groundwater flo</w:t>
      </w:r>
      <w:r>
        <w:t xml:space="preserve">w direction vector identified from densely populated topographic tilting enable to show the local (detail) groundwater recharge/discharge </w:t>
      </w:r>
      <w:r w:rsidR="00F530CF">
        <w:t>zone of study area. The G</w:t>
      </w:r>
      <w:r w:rsidR="008C7AEB">
        <w:t>roundwater flow direction</w:t>
      </w:r>
      <w:r w:rsidR="008C7AEB" w:rsidRPr="008C7AEB">
        <w:t xml:space="preserve"> </w:t>
      </w:r>
      <w:r w:rsidR="00F530CF">
        <w:t xml:space="preserve">(GWFD) </w:t>
      </w:r>
      <w:r w:rsidR="008C7AEB" w:rsidRPr="008C7AEB">
        <w:t>vector superimposed over the delineated GWPZ</w:t>
      </w:r>
      <w:r w:rsidR="00C33A25">
        <w:t>,</w:t>
      </w:r>
      <w:r w:rsidR="008C7AEB" w:rsidRPr="008C7AEB">
        <w:t xml:space="preserve"> </w:t>
      </w:r>
      <w:r w:rsidR="008C7AEB">
        <w:t xml:space="preserve">shown in </w:t>
      </w:r>
      <w:r w:rsidR="00E41CEF">
        <w:t>Figure: 4.</w:t>
      </w:r>
      <w:r w:rsidR="009F695A">
        <w:t>30</w:t>
      </w:r>
      <w:r w:rsidR="00C33A25">
        <w:t>,</w:t>
      </w:r>
      <w:r w:rsidR="008C7AEB">
        <w:t xml:space="preserve"> </w:t>
      </w:r>
      <w:r w:rsidR="00F530CF">
        <w:t xml:space="preserve">depicts as </w:t>
      </w:r>
      <w:r w:rsidR="00833583">
        <w:t xml:space="preserve">a </w:t>
      </w:r>
      <w:r w:rsidR="00F530CF">
        <w:t>low GWPZ is recharge zone while</w:t>
      </w:r>
      <w:r w:rsidR="00833583">
        <w:t>, the</w:t>
      </w:r>
      <w:r w:rsidR="00F530CF">
        <w:t xml:space="preserve"> high GWPZ is discharging zone.</w:t>
      </w:r>
    </w:p>
    <w:p w:rsidR="00715590" w:rsidRDefault="00715590" w:rsidP="005705AD">
      <w:pPr>
        <w:jc w:val="center"/>
      </w:pPr>
      <w:r w:rsidRPr="00715590">
        <w:rPr>
          <w:noProof/>
        </w:rPr>
        <w:drawing>
          <wp:inline distT="0" distB="0" distL="0" distR="0">
            <wp:extent cx="5577840" cy="3945051"/>
            <wp:effectExtent l="19050" t="19050" r="22860" b="17780"/>
            <wp:docPr id="46" name="Picture 46" descr="C:\Users\hp\Desktop\BH_DIIR_AFTR_DEF\TOPO\Topo_gwpz_suprmpsd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hp\Desktop\BH_DIIR_AFTR_DEF\TOPO\Topo_gwpz_suprmpsd1.bmp"/>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577840" cy="3945051"/>
                    </a:xfrm>
                    <a:prstGeom prst="rect">
                      <a:avLst/>
                    </a:prstGeom>
                    <a:noFill/>
                    <a:ln w="19050">
                      <a:solidFill>
                        <a:schemeClr val="tx1"/>
                      </a:solidFill>
                    </a:ln>
                  </pic:spPr>
                </pic:pic>
              </a:graphicData>
            </a:graphic>
          </wp:inline>
        </w:drawing>
      </w:r>
    </w:p>
    <w:p w:rsidR="005705AD" w:rsidRPr="001342E5" w:rsidRDefault="001342E5" w:rsidP="001342E5">
      <w:pPr>
        <w:pStyle w:val="Caption"/>
        <w:rPr>
          <w:i w:val="0"/>
          <w:color w:val="auto"/>
          <w:sz w:val="24"/>
        </w:rPr>
      </w:pPr>
      <w:bookmarkStart w:id="239" w:name="_Toc68761648"/>
      <w:r w:rsidRPr="001342E5">
        <w:rPr>
          <w:i w:val="0"/>
          <w:color w:val="auto"/>
          <w:sz w:val="24"/>
        </w:rPr>
        <w:t xml:space="preserve">Figure </w:t>
      </w:r>
      <w:r w:rsidRPr="001342E5">
        <w:rPr>
          <w:i w:val="0"/>
          <w:color w:val="auto"/>
          <w:sz w:val="24"/>
        </w:rPr>
        <w:fldChar w:fldCharType="begin"/>
      </w:r>
      <w:r w:rsidRPr="001342E5">
        <w:rPr>
          <w:i w:val="0"/>
          <w:color w:val="auto"/>
          <w:sz w:val="24"/>
        </w:rPr>
        <w:instrText xml:space="preserve"> STYLEREF 1 \s </w:instrText>
      </w:r>
      <w:r w:rsidRPr="001342E5">
        <w:rPr>
          <w:i w:val="0"/>
          <w:color w:val="auto"/>
          <w:sz w:val="24"/>
        </w:rPr>
        <w:fldChar w:fldCharType="separate"/>
      </w:r>
      <w:r w:rsidR="00BD510E">
        <w:rPr>
          <w:i w:val="0"/>
          <w:noProof/>
          <w:color w:val="auto"/>
          <w:sz w:val="24"/>
        </w:rPr>
        <w:t>4</w:t>
      </w:r>
      <w:r w:rsidRPr="001342E5">
        <w:rPr>
          <w:i w:val="0"/>
          <w:color w:val="auto"/>
          <w:sz w:val="24"/>
        </w:rPr>
        <w:fldChar w:fldCharType="end"/>
      </w:r>
      <w:r w:rsidRPr="001342E5">
        <w:rPr>
          <w:i w:val="0"/>
          <w:color w:val="auto"/>
          <w:sz w:val="24"/>
        </w:rPr>
        <w:t>.</w:t>
      </w:r>
      <w:r w:rsidRPr="001342E5">
        <w:rPr>
          <w:i w:val="0"/>
          <w:color w:val="auto"/>
          <w:sz w:val="24"/>
        </w:rPr>
        <w:fldChar w:fldCharType="begin"/>
      </w:r>
      <w:r w:rsidRPr="001342E5">
        <w:rPr>
          <w:i w:val="0"/>
          <w:color w:val="auto"/>
          <w:sz w:val="24"/>
        </w:rPr>
        <w:instrText xml:space="preserve"> SEQ Figure \* ARABIC \s 1 </w:instrText>
      </w:r>
      <w:r w:rsidRPr="001342E5">
        <w:rPr>
          <w:i w:val="0"/>
          <w:color w:val="auto"/>
          <w:sz w:val="24"/>
        </w:rPr>
        <w:fldChar w:fldCharType="separate"/>
      </w:r>
      <w:r w:rsidR="00BD510E">
        <w:rPr>
          <w:i w:val="0"/>
          <w:noProof/>
          <w:color w:val="auto"/>
          <w:sz w:val="24"/>
        </w:rPr>
        <w:t>30</w:t>
      </w:r>
      <w:r w:rsidRPr="001342E5">
        <w:rPr>
          <w:i w:val="0"/>
          <w:color w:val="auto"/>
          <w:sz w:val="24"/>
        </w:rPr>
        <w:fldChar w:fldCharType="end"/>
      </w:r>
      <w:r w:rsidRPr="001342E5">
        <w:rPr>
          <w:i w:val="0"/>
          <w:color w:val="auto"/>
          <w:sz w:val="24"/>
        </w:rPr>
        <w:t xml:space="preserve"> </w:t>
      </w:r>
      <w:r w:rsidR="00E41CEF" w:rsidRPr="001342E5">
        <w:rPr>
          <w:i w:val="0"/>
          <w:color w:val="auto"/>
          <w:sz w:val="24"/>
        </w:rPr>
        <w:t xml:space="preserve">The </w:t>
      </w:r>
      <w:r w:rsidR="005705AD" w:rsidRPr="001342E5">
        <w:rPr>
          <w:i w:val="0"/>
          <w:color w:val="auto"/>
          <w:sz w:val="24"/>
        </w:rPr>
        <w:t xml:space="preserve">GWFD vector </w:t>
      </w:r>
      <w:r w:rsidR="003078D1" w:rsidRPr="001342E5">
        <w:rPr>
          <w:i w:val="0"/>
          <w:color w:val="auto"/>
          <w:sz w:val="24"/>
        </w:rPr>
        <w:t>superimposed</w:t>
      </w:r>
      <w:r w:rsidR="00E41CEF" w:rsidRPr="001342E5">
        <w:rPr>
          <w:i w:val="0"/>
          <w:color w:val="auto"/>
          <w:sz w:val="24"/>
        </w:rPr>
        <w:t xml:space="preserve"> over the delineated GWPZ</w:t>
      </w:r>
      <w:bookmarkEnd w:id="239"/>
      <w:r w:rsidR="00E41CEF" w:rsidRPr="001342E5">
        <w:rPr>
          <w:i w:val="0"/>
          <w:color w:val="auto"/>
          <w:sz w:val="24"/>
        </w:rPr>
        <w:t xml:space="preserve"> </w:t>
      </w:r>
    </w:p>
    <w:p w:rsidR="005705AD" w:rsidRDefault="005705AD" w:rsidP="005705AD">
      <w:r>
        <w:t>Note: T</w:t>
      </w:r>
      <w:r w:rsidR="00F530CF">
        <w:t xml:space="preserve">he </w:t>
      </w:r>
      <w:r>
        <w:t>GWFD</w:t>
      </w:r>
      <w:r w:rsidR="00F530CF">
        <w:t xml:space="preserve"> </w:t>
      </w:r>
      <w:r>
        <w:t>arrow in Figure 4.30 was g</w:t>
      </w:r>
      <w:r w:rsidRPr="00E41CEF">
        <w:t>enerated from topographic tilting</w:t>
      </w:r>
      <w:r w:rsidR="00F530CF">
        <w:t>.</w:t>
      </w:r>
    </w:p>
    <w:p w:rsidR="00560FD5" w:rsidRDefault="00833583" w:rsidP="0083634F">
      <w:r w:rsidRPr="00C90ECA">
        <w:t>T</w:t>
      </w:r>
      <w:r w:rsidR="00546227" w:rsidRPr="00C90ECA">
        <w:t>he groundwater locally flows in</w:t>
      </w:r>
      <w:r w:rsidR="00546227">
        <w:t xml:space="preserve"> different directions while the entire </w:t>
      </w:r>
      <w:r w:rsidR="00546227" w:rsidRPr="00C90ECA">
        <w:t>groundwater flow directio</w:t>
      </w:r>
      <w:r w:rsidR="00546227">
        <w:t>n of both contours reveals the Southeast and N</w:t>
      </w:r>
      <w:r w:rsidR="001342E5">
        <w:t xml:space="preserve">ortheastern flow </w:t>
      </w:r>
      <w:r w:rsidR="00546227" w:rsidRPr="00C90ECA">
        <w:t>d</w:t>
      </w:r>
      <w:r w:rsidR="00546227">
        <w:t>irection. The complex geologic</w:t>
      </w:r>
      <w:r w:rsidR="00546227" w:rsidRPr="00C90ECA">
        <w:t xml:space="preserve"> structures of the study area govern the occurrence and movement of ground and surface water flow </w:t>
      </w:r>
      <w:r w:rsidR="00546227" w:rsidRPr="00C90ECA">
        <w:fldChar w:fldCharType="begin" w:fldLock="1"/>
      </w:r>
      <w:r w:rsidR="00A309A8">
        <w:instrText>ADDIN CSL_CITATION {"citationItems":[{"id":"ITEM-1","itemData":{"abstract":"Dodola map sheet (NB37-7) is covering parts of south eastern Ethiopian plateau and associated low lands. It is located at 430 km from Addis Ababa within Oromia and SNNP Regional states and bounded in between 6o 00’ to 7 o 00’ N Latitude and 39o00’ to 40o30’ E Longitude. The main and principal objective of the project is to produce hydrogeological and hydrochemical map of Dodola map sheet in 1:250,000 scale with accompanying report. Different materials like geological map, topographic map, GPS, PH meter, EC meter etc and appropriate software were used to achieve the objective. Geologically Dodolla map sheet is covered by Precambrian crystalline basement rocks, Mesozoic Sedimentary units at the middle, Cenozoic volcanic rocks at the top with a very few recent sediment deposit. Based on hydrodynamic properties of rocks and their hydraulic characteristics all Mesozoic sedimentary units are classified under high productive aquifer except upper sand stone which is local and low productive aquifer. Within the Cenozoic volcanic rocks, Ankaramite and syanite are massive, slightly weathered and can be characterized as low productive, where as the rest of volcanic rocks in the area possess moderate to high productive characteristics. The highly sheared, foliated and weathered high grade basement rocks of the area classified as low to moderate productive. Low grade basement rocks, mainly intrusives and metasedimentary units are massive and fresh without water points and classified as medium of very low water holding and transmitting capacity/Aquifuge. From topographic set up and ground water table map , the general ground water flow direction in the area is towards south and mainly south east (sedimentary covering low land) and the minimum mean recharge of the area from precipitation is estimated as 1127.2 mm/year. From the collected 97 water samples about 78 water samples are within the permissible level of water quality standard of WHO and good for drinking purpose. The Sodium Adsorption Ratio (SAR) value of the water in the area is &lt;5, which is within excellent range for irrigation, but TDS irrigation suitability criteria shows 87 water samples are excellent, 7 are suitable and the rest are unsuitable. Most of analyzed water samples show the ground water quality of the area is also suitable for Dairy, Sugar, Food processing and Tanning industries. Shallow well of Dello Mena town (dshw_4) and dDw_11 of Dodola area shows harmful (high) concentration of NO3 and sho…","author":[{"dropping-particle":"","family":"Kifle","given":"Astatike","non-dropping-particle":"","parse-names":false,"suffix":""},{"dropping-particle":"","family":"Hailemriam","given":"Mulugeta","non-dropping-particle":"","parse-names":false,"suffix":""}],"id":"ITEM-1","issued":{"date-parts":[["2010"]]},"number-of-pages":"1-104","publisher-place":"Addis Abeba, Ethiopia","title":"Integrated hydrogeological mapping of Dodola map sheet (NB 37-7) South Eastern Ethiopia high lands with associated low lands","type":"report"},"uris":["http://www.mendeley.com/documents/?uuid=a08bf45a-48bd-4814-bf25-2789c5c1d393","http://www.mendeley.com/documents/?uuid=0265e2e7-316d-4ea6-8541-27380974830d"]}],"mendeley":{"formattedCitation":"(Kifle &amp; Hailemriam, 2010)","manualFormatting":"(Kifle and Hailemriam, 2010)","plainTextFormattedCitation":"(Kifle &amp; Hailemriam, 2010)","previouslyFormattedCitation":"(Kifle &amp; Hailemriam, 2010)"},"properties":{"noteIndex":0},"schema":"https://github.com/citation-style-language/schema/raw/master/csl-citation.json"}</w:instrText>
      </w:r>
      <w:r w:rsidR="00546227" w:rsidRPr="00C90ECA">
        <w:fldChar w:fldCharType="separate"/>
      </w:r>
      <w:r w:rsidR="00546227">
        <w:rPr>
          <w:noProof/>
        </w:rPr>
        <w:t>(Kifle and</w:t>
      </w:r>
      <w:r w:rsidR="00546227" w:rsidRPr="00C90ECA">
        <w:rPr>
          <w:noProof/>
        </w:rPr>
        <w:t xml:space="preserve"> Hailemriam, 2010)</w:t>
      </w:r>
      <w:r w:rsidR="00546227" w:rsidRPr="00C90ECA">
        <w:fldChar w:fldCharType="end"/>
      </w:r>
      <w:r w:rsidR="006E6E54">
        <w:t xml:space="preserve">. </w:t>
      </w:r>
      <w:r w:rsidR="00546227" w:rsidRPr="00C90ECA">
        <w:t>Mainly</w:t>
      </w:r>
      <w:r w:rsidR="00546227">
        <w:t xml:space="preserve"> the </w:t>
      </w:r>
      <w:r w:rsidR="00D1139E">
        <w:t>NE</w:t>
      </w:r>
      <w:r w:rsidR="00546227">
        <w:t>-</w:t>
      </w:r>
      <w:r w:rsidR="00D1139E">
        <w:t>SE</w:t>
      </w:r>
      <w:r w:rsidR="00546227">
        <w:t xml:space="preserve"> striking structures influence</w:t>
      </w:r>
      <w:r w:rsidR="00546227" w:rsidRPr="00C90ECA">
        <w:t xml:space="preserve"> </w:t>
      </w:r>
      <w:r w:rsidR="00546227">
        <w:t xml:space="preserve">the </w:t>
      </w:r>
      <w:r w:rsidR="00546227" w:rsidRPr="00C90ECA">
        <w:t xml:space="preserve">flow </w:t>
      </w:r>
      <w:r w:rsidR="00546227">
        <w:t xml:space="preserve">direction of </w:t>
      </w:r>
      <w:r w:rsidR="00546227" w:rsidRPr="00C90ECA">
        <w:t xml:space="preserve">most streams and the groundwater </w:t>
      </w:r>
      <w:r w:rsidR="00546227">
        <w:t xml:space="preserve">toward </w:t>
      </w:r>
      <w:r w:rsidR="00546227" w:rsidRPr="00C90ECA">
        <w:t>the SE direction.</w:t>
      </w:r>
      <w:r w:rsidR="00A242E7">
        <w:t xml:space="preserve"> </w:t>
      </w:r>
      <w:r w:rsidR="00546227" w:rsidRPr="00456014">
        <w:t>The Bale mountains highland which is characterized by high rainfall, dense forest, and bushlands are the major r</w:t>
      </w:r>
      <w:r w:rsidR="00546227">
        <w:t xml:space="preserve">echarge zone of study area. </w:t>
      </w:r>
      <w:r w:rsidR="00546227" w:rsidRPr="00C02489">
        <w:t>The headwater</w:t>
      </w:r>
      <w:r w:rsidR="00546227">
        <w:t xml:space="preserve"> </w:t>
      </w:r>
      <w:r w:rsidR="00546227" w:rsidRPr="00C02489">
        <w:t xml:space="preserve">of </w:t>
      </w:r>
      <w:r w:rsidR="00546227" w:rsidRPr="00456014">
        <w:t>Weyib River and its tributaries</w:t>
      </w:r>
      <w:r w:rsidR="00546227" w:rsidRPr="00C02489">
        <w:t xml:space="preserve"> </w:t>
      </w:r>
      <w:r w:rsidR="00546227">
        <w:t xml:space="preserve">are </w:t>
      </w:r>
      <w:r w:rsidR="00546227" w:rsidRPr="00C02489">
        <w:t xml:space="preserve">originate partly or wholly from </w:t>
      </w:r>
      <w:r w:rsidR="00546227">
        <w:t xml:space="preserve">this area. </w:t>
      </w:r>
    </w:p>
    <w:p w:rsidR="00491BBF" w:rsidRDefault="00546227" w:rsidP="0083634F">
      <w:r w:rsidRPr="00456014">
        <w:lastRenderedPageBreak/>
        <w:t xml:space="preserve">The recharge from </w:t>
      </w:r>
      <w:r>
        <w:t>this area</w:t>
      </w:r>
      <w:r w:rsidRPr="00456014">
        <w:t xml:space="preserve"> discharges at the valley floor, mountain</w:t>
      </w:r>
      <w:r>
        <w:t xml:space="preserve">s foothill and the </w:t>
      </w:r>
      <w:r w:rsidRPr="00456014">
        <w:t xml:space="preserve">sedimentary </w:t>
      </w:r>
      <w:r w:rsidR="00AA2E9A">
        <w:t>low-land areas,</w:t>
      </w:r>
      <w:r>
        <w:t xml:space="preserve"> </w:t>
      </w:r>
      <w:r w:rsidR="00AA2E9A">
        <w:t>i</w:t>
      </w:r>
      <w:r w:rsidRPr="00D02AB2">
        <w:t xml:space="preserve">.e. from Bale highlands down to Robe-Goro </w:t>
      </w:r>
      <w:r>
        <w:t>Sheneka plain</w:t>
      </w:r>
      <w:r w:rsidRPr="00D02AB2">
        <w:t xml:space="preserve">. </w:t>
      </w:r>
      <w:r w:rsidRPr="00456014">
        <w:t>Especially the foothills of lower plateau volcanic terrains formed by volcanic shields characterized by high lineament density are favorable for the emergence of spri</w:t>
      </w:r>
      <w:r>
        <w:t>ngs.</w:t>
      </w:r>
    </w:p>
    <w:p w:rsidR="00491BBF" w:rsidRPr="00456014" w:rsidRDefault="00990AF7" w:rsidP="00990AF7">
      <w:pPr>
        <w:jc w:val="center"/>
      </w:pPr>
      <w:r w:rsidRPr="00990AF7">
        <w:rPr>
          <w:noProof/>
        </w:rPr>
        <w:drawing>
          <wp:inline distT="0" distB="0" distL="0" distR="0" wp14:anchorId="31BD105C" wp14:editId="3D295E5B">
            <wp:extent cx="5577840" cy="4333238"/>
            <wp:effectExtent l="19050" t="19050" r="22860" b="10795"/>
            <wp:docPr id="450" name="Picture 450" descr="C:\Users\hp\Desktop\BH_DIIR_AFTR_DEF\TOPO\Topo_.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p\Desktop\BH_DIIR_AFTR_DEF\TOPO\Topo_.bmp"/>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5577840" cy="4333238"/>
                    </a:xfrm>
                    <a:prstGeom prst="rect">
                      <a:avLst/>
                    </a:prstGeom>
                    <a:noFill/>
                    <a:ln w="19050">
                      <a:solidFill>
                        <a:schemeClr val="tx1"/>
                      </a:solidFill>
                    </a:ln>
                  </pic:spPr>
                </pic:pic>
              </a:graphicData>
            </a:graphic>
          </wp:inline>
        </w:drawing>
      </w:r>
    </w:p>
    <w:p w:rsidR="00491BBF" w:rsidRPr="00491BBF" w:rsidRDefault="00491BBF" w:rsidP="0083634F">
      <w:pPr>
        <w:pStyle w:val="Caption"/>
        <w:spacing w:before="120" w:after="120" w:line="360" w:lineRule="auto"/>
        <w:rPr>
          <w:i w:val="0"/>
          <w:color w:val="auto"/>
          <w:sz w:val="24"/>
          <w:szCs w:val="24"/>
        </w:rPr>
      </w:pPr>
      <w:bookmarkStart w:id="240" w:name="_Toc68761649"/>
      <w:r w:rsidRPr="00456014">
        <w:rPr>
          <w:i w:val="0"/>
          <w:color w:val="auto"/>
          <w:sz w:val="24"/>
        </w:rPr>
        <w:t xml:space="preserve">Figure </w:t>
      </w:r>
      <w:r w:rsidR="001342E5">
        <w:rPr>
          <w:i w:val="0"/>
          <w:color w:val="auto"/>
          <w:sz w:val="24"/>
        </w:rPr>
        <w:fldChar w:fldCharType="begin"/>
      </w:r>
      <w:r w:rsidR="001342E5">
        <w:rPr>
          <w:i w:val="0"/>
          <w:color w:val="auto"/>
          <w:sz w:val="24"/>
        </w:rPr>
        <w:instrText xml:space="preserve"> STYLEREF 1 \s </w:instrText>
      </w:r>
      <w:r w:rsidR="001342E5">
        <w:rPr>
          <w:i w:val="0"/>
          <w:color w:val="auto"/>
          <w:sz w:val="24"/>
        </w:rPr>
        <w:fldChar w:fldCharType="separate"/>
      </w:r>
      <w:r w:rsidR="00BD510E">
        <w:rPr>
          <w:i w:val="0"/>
          <w:noProof/>
          <w:color w:val="auto"/>
          <w:sz w:val="24"/>
        </w:rPr>
        <w:t>4</w:t>
      </w:r>
      <w:r w:rsidR="001342E5">
        <w:rPr>
          <w:i w:val="0"/>
          <w:color w:val="auto"/>
          <w:sz w:val="24"/>
        </w:rPr>
        <w:fldChar w:fldCharType="end"/>
      </w:r>
      <w:r w:rsidR="001342E5">
        <w:rPr>
          <w:i w:val="0"/>
          <w:color w:val="auto"/>
          <w:sz w:val="24"/>
        </w:rPr>
        <w:t>.</w:t>
      </w:r>
      <w:r w:rsidR="001342E5">
        <w:rPr>
          <w:i w:val="0"/>
          <w:color w:val="auto"/>
          <w:sz w:val="24"/>
        </w:rPr>
        <w:fldChar w:fldCharType="begin"/>
      </w:r>
      <w:r w:rsidR="001342E5">
        <w:rPr>
          <w:i w:val="0"/>
          <w:color w:val="auto"/>
          <w:sz w:val="24"/>
        </w:rPr>
        <w:instrText xml:space="preserve"> SEQ Figure \* ARABIC \s 1 </w:instrText>
      </w:r>
      <w:r w:rsidR="001342E5">
        <w:rPr>
          <w:i w:val="0"/>
          <w:color w:val="auto"/>
          <w:sz w:val="24"/>
        </w:rPr>
        <w:fldChar w:fldCharType="separate"/>
      </w:r>
      <w:r w:rsidR="00BD510E">
        <w:rPr>
          <w:i w:val="0"/>
          <w:noProof/>
          <w:color w:val="auto"/>
          <w:sz w:val="24"/>
        </w:rPr>
        <w:t>31</w:t>
      </w:r>
      <w:r w:rsidR="001342E5">
        <w:rPr>
          <w:i w:val="0"/>
          <w:color w:val="auto"/>
          <w:sz w:val="24"/>
        </w:rPr>
        <w:fldChar w:fldCharType="end"/>
      </w:r>
      <w:r w:rsidRPr="00456014">
        <w:rPr>
          <w:i w:val="0"/>
          <w:color w:val="auto"/>
          <w:sz w:val="24"/>
        </w:rPr>
        <w:t xml:space="preserve">: </w:t>
      </w:r>
      <w:r w:rsidRPr="00456014">
        <w:rPr>
          <w:i w:val="0"/>
          <w:color w:val="auto"/>
          <w:sz w:val="24"/>
          <w:szCs w:val="24"/>
        </w:rPr>
        <w:t xml:space="preserve">The </w:t>
      </w:r>
      <w:r w:rsidR="00C854D6" w:rsidRPr="00456014">
        <w:rPr>
          <w:i w:val="0"/>
          <w:color w:val="auto"/>
          <w:sz w:val="24"/>
          <w:szCs w:val="24"/>
        </w:rPr>
        <w:t>groundwater flow direction</w:t>
      </w:r>
      <w:r w:rsidR="00C854D6">
        <w:rPr>
          <w:i w:val="0"/>
          <w:color w:val="auto"/>
          <w:sz w:val="24"/>
          <w:szCs w:val="24"/>
        </w:rPr>
        <w:t>,</w:t>
      </w:r>
      <w:r w:rsidR="00C854D6" w:rsidRPr="00456014">
        <w:rPr>
          <w:i w:val="0"/>
          <w:color w:val="auto"/>
          <w:sz w:val="24"/>
          <w:szCs w:val="24"/>
        </w:rPr>
        <w:t xml:space="preserve"> </w:t>
      </w:r>
      <w:r w:rsidR="00C854D6">
        <w:rPr>
          <w:i w:val="0"/>
          <w:color w:val="auto"/>
          <w:sz w:val="24"/>
          <w:szCs w:val="24"/>
        </w:rPr>
        <w:t>contour map</w:t>
      </w:r>
      <w:r w:rsidR="00C854D6" w:rsidRPr="00456014">
        <w:rPr>
          <w:i w:val="0"/>
          <w:color w:val="auto"/>
          <w:sz w:val="24"/>
          <w:szCs w:val="24"/>
        </w:rPr>
        <w:t xml:space="preserve"> and surface profil</w:t>
      </w:r>
      <w:r w:rsidR="00C854D6">
        <w:rPr>
          <w:i w:val="0"/>
          <w:color w:val="auto"/>
          <w:sz w:val="24"/>
          <w:szCs w:val="24"/>
        </w:rPr>
        <w:t xml:space="preserve">e generated from </w:t>
      </w:r>
      <w:r w:rsidRPr="00456014">
        <w:rPr>
          <w:i w:val="0"/>
          <w:color w:val="auto"/>
          <w:sz w:val="24"/>
          <w:szCs w:val="24"/>
        </w:rPr>
        <w:t>topographic</w:t>
      </w:r>
      <w:r w:rsidR="00C854D6">
        <w:rPr>
          <w:i w:val="0"/>
          <w:color w:val="auto"/>
          <w:sz w:val="24"/>
          <w:szCs w:val="24"/>
        </w:rPr>
        <w:t xml:space="preserve"> tilting</w:t>
      </w:r>
      <w:bookmarkEnd w:id="240"/>
    </w:p>
    <w:p w:rsidR="009631BA" w:rsidRDefault="00522BD9" w:rsidP="003819BA">
      <w:r>
        <w:t>The extensively fractured E</w:t>
      </w:r>
      <w:r w:rsidR="00424E4B" w:rsidRPr="00456014">
        <w:t>astern valley of Weyib River channels that compose a thick succession of alluvial deposits was shown as the discharge areas. The result is consistent with the previo</w:t>
      </w:r>
      <w:r w:rsidR="00F63890">
        <w:t>us study conducted by Kassahun and</w:t>
      </w:r>
      <w:r w:rsidR="00424E4B" w:rsidRPr="00456014">
        <w:t xml:space="preserve"> Mohamed (2018); Kebede </w:t>
      </w:r>
      <w:r w:rsidR="00B457F8">
        <w:t>and Mulugeta (2011); Kifle and</w:t>
      </w:r>
      <w:r w:rsidR="00424E4B" w:rsidRPr="00456014">
        <w:t xml:space="preserve"> Hailemriam (2010); Kiflu et al. </w:t>
      </w:r>
      <w:r w:rsidR="00424E4B">
        <w:t xml:space="preserve">(2009); Mulugeta </w:t>
      </w:r>
      <w:r w:rsidR="00B457F8">
        <w:t>and</w:t>
      </w:r>
      <w:r w:rsidR="00564E58">
        <w:t xml:space="preserve"> Tafa (2010).</w:t>
      </w:r>
    </w:p>
    <w:p w:rsidR="007B6581" w:rsidRDefault="007B6581" w:rsidP="003819BA"/>
    <w:p w:rsidR="007B6581" w:rsidRDefault="007B6581" w:rsidP="003819BA"/>
    <w:p w:rsidR="007B6581" w:rsidRPr="00456014" w:rsidRDefault="007B6581" w:rsidP="003819BA"/>
    <w:p w:rsidR="00DE0263" w:rsidRPr="00456014" w:rsidRDefault="00183F67" w:rsidP="00D12190">
      <w:pPr>
        <w:pStyle w:val="Heading1"/>
        <w:numPr>
          <w:ilvl w:val="0"/>
          <w:numId w:val="3"/>
        </w:numPr>
      </w:pPr>
      <w:bookmarkStart w:id="241" w:name="_Toc60507776"/>
      <w:bookmarkStart w:id="242" w:name="_Toc68025106"/>
      <w:bookmarkStart w:id="243" w:name="_Toc68761588"/>
      <w:r w:rsidRPr="00456014">
        <w:lastRenderedPageBreak/>
        <w:t xml:space="preserve">SUMMARY AND </w:t>
      </w:r>
      <w:r w:rsidR="00C87F42" w:rsidRPr="00456014">
        <w:t>CONCLUSION</w:t>
      </w:r>
      <w:bookmarkEnd w:id="241"/>
      <w:bookmarkEnd w:id="242"/>
      <w:bookmarkEnd w:id="243"/>
    </w:p>
    <w:p w:rsidR="008B6045" w:rsidRPr="00456014" w:rsidRDefault="000C5782" w:rsidP="008D3D8E">
      <w:pPr>
        <w:pStyle w:val="Heading2"/>
        <w:numPr>
          <w:ilvl w:val="1"/>
          <w:numId w:val="3"/>
        </w:numPr>
        <w:ind w:hanging="540"/>
        <w:rPr>
          <w:rFonts w:eastAsiaTheme="majorEastAsia"/>
          <w:szCs w:val="24"/>
        </w:rPr>
      </w:pPr>
      <w:bookmarkStart w:id="244" w:name="_Toc68025107"/>
      <w:bookmarkStart w:id="245" w:name="_Toc68761589"/>
      <w:r w:rsidRPr="00456014">
        <w:rPr>
          <w:rFonts w:eastAsiaTheme="majorEastAsia"/>
          <w:szCs w:val="24"/>
        </w:rPr>
        <w:t>Summary</w:t>
      </w:r>
      <w:bookmarkEnd w:id="244"/>
      <w:bookmarkEnd w:id="245"/>
    </w:p>
    <w:p w:rsidR="001A36FD" w:rsidRDefault="00EE5C5D" w:rsidP="00961DEE">
      <w:r w:rsidRPr="00456014">
        <w:t xml:space="preserve">The groundwater potential zone of Weyib Sub-basin was delineated by using GIS and Remote sensing techniques through analytical hierarchy process (AHP). </w:t>
      </w:r>
      <w:r w:rsidR="00A20A98">
        <w:t xml:space="preserve">The physiographic, geologic and climatic factors </w:t>
      </w:r>
      <w:r w:rsidR="00A20A98" w:rsidRPr="00456014">
        <w:t>influencing groundwater potential</w:t>
      </w:r>
      <w:r w:rsidR="00A20A98">
        <w:t>s were identified and evaluated.</w:t>
      </w:r>
      <w:r w:rsidR="00A20A98" w:rsidRPr="00A20A98">
        <w:t xml:space="preserve"> </w:t>
      </w:r>
      <w:r w:rsidR="005407D7">
        <w:t xml:space="preserve">To determine the </w:t>
      </w:r>
      <w:r w:rsidR="005407D7" w:rsidRPr="00456014">
        <w:t xml:space="preserve">scale </w:t>
      </w:r>
      <w:r w:rsidR="005407D7">
        <w:t>value of clustered classes and the influence of thematic layers, the relative</w:t>
      </w:r>
      <w:r w:rsidR="005407D7" w:rsidRPr="00456014">
        <w:t xml:space="preserve"> weight</w:t>
      </w:r>
      <w:r w:rsidR="005407D7">
        <w:t xml:space="preserve"> of classes and percentage of influence</w:t>
      </w:r>
      <w:r w:rsidR="00193785">
        <w:t>s</w:t>
      </w:r>
      <w:r w:rsidR="005407D7">
        <w:t xml:space="preserve"> was computed </w:t>
      </w:r>
      <w:r w:rsidR="005407D7" w:rsidRPr="00456014">
        <w:t>by AHP method</w:t>
      </w:r>
      <w:r w:rsidR="005407D7">
        <w:t>.</w:t>
      </w:r>
      <w:r w:rsidR="001A21C0">
        <w:t xml:space="preserve"> </w:t>
      </w:r>
      <w:r w:rsidR="00193785">
        <w:t xml:space="preserve">The </w:t>
      </w:r>
      <w:r w:rsidR="005D3F7D">
        <w:t xml:space="preserve">identified </w:t>
      </w:r>
      <w:r w:rsidR="00193785" w:rsidRPr="00456014">
        <w:t xml:space="preserve">factors influencing groundwater potential </w:t>
      </w:r>
      <w:r w:rsidR="00193785">
        <w:t xml:space="preserve">of </w:t>
      </w:r>
      <w:r w:rsidR="000C2C0C">
        <w:t xml:space="preserve">the </w:t>
      </w:r>
      <w:r w:rsidR="00193785">
        <w:t xml:space="preserve">study area </w:t>
      </w:r>
      <w:r w:rsidR="000C2C0C">
        <w:t>include</w:t>
      </w:r>
      <w:r w:rsidR="00193785">
        <w:t xml:space="preserve">; </w:t>
      </w:r>
      <w:r w:rsidRPr="00456014">
        <w:t>geomorphological landforms, lineament density, geology, rainfall distribution, drainage density, elevation, s</w:t>
      </w:r>
      <w:r w:rsidR="008570F8" w:rsidRPr="00456014">
        <w:t>lope, LU/LC and soil texture</w:t>
      </w:r>
      <w:r w:rsidR="005D3F7D">
        <w:t xml:space="preserve">. </w:t>
      </w:r>
    </w:p>
    <w:p w:rsidR="000F3538" w:rsidRDefault="00EE5C5D" w:rsidP="00961DEE">
      <w:r w:rsidRPr="00456014">
        <w:t>To prepare the thematic maps of each factor and verify the d</w:t>
      </w:r>
      <w:r w:rsidR="00857476">
        <w:t>elineated GWPZ, several data were</w:t>
      </w:r>
      <w:r w:rsidRPr="00456014">
        <w:t xml:space="preserve"> collected from </w:t>
      </w:r>
      <w:r w:rsidR="00857476">
        <w:t xml:space="preserve">various </w:t>
      </w:r>
      <w:r w:rsidR="001A21C0">
        <w:t xml:space="preserve">sources. </w:t>
      </w:r>
      <w:r w:rsidRPr="00456014">
        <w:t xml:space="preserve">The historic time series of meteorological data, spatial data of soil, geology, DEM, </w:t>
      </w:r>
      <w:r w:rsidR="008570F8" w:rsidRPr="00456014">
        <w:t xml:space="preserve">satellite </w:t>
      </w:r>
      <w:r w:rsidRPr="00456014">
        <w:t xml:space="preserve">images and the existing </w:t>
      </w:r>
      <w:r w:rsidR="00E11314">
        <w:t xml:space="preserve">water </w:t>
      </w:r>
      <w:r w:rsidR="00DB42DC">
        <w:t>point’s</w:t>
      </w:r>
      <w:r w:rsidRPr="00456014">
        <w:t xml:space="preserve"> </w:t>
      </w:r>
      <w:r w:rsidR="00E11314">
        <w:t xml:space="preserve">inventory data </w:t>
      </w:r>
      <w:r w:rsidRPr="00456014">
        <w:t xml:space="preserve">were used. Various </w:t>
      </w:r>
      <w:r w:rsidR="00045E5C">
        <w:t>software and computer programs</w:t>
      </w:r>
      <w:r w:rsidRPr="00456014">
        <w:t xml:space="preserve"> </w:t>
      </w:r>
      <w:r w:rsidR="008570F8" w:rsidRPr="00456014">
        <w:t>employed</w:t>
      </w:r>
      <w:r w:rsidRPr="00456014">
        <w:t xml:space="preserve"> for processing, identification and preparation of groundwater potential map include; ArcGIS</w:t>
      </w:r>
      <w:r w:rsidR="008570F8" w:rsidRPr="00456014">
        <w:t xml:space="preserve"> 10.5</w:t>
      </w:r>
      <w:r w:rsidRPr="00456014">
        <w:t>, ERDAS-imagine, PCI Geomatics, IDRISI Selva, R</w:t>
      </w:r>
      <w:r w:rsidR="00F22A96">
        <w:t>ockworks 16, SAGA GIS, Arc SWAT and Surfer 17.1</w:t>
      </w:r>
      <w:r w:rsidRPr="00456014">
        <w:t>.</w:t>
      </w:r>
      <w:r w:rsidR="0046796E">
        <w:t xml:space="preserve"> </w:t>
      </w:r>
      <w:r w:rsidR="00921493" w:rsidRPr="00456014">
        <w:t>A weighting overlay approach of A</w:t>
      </w:r>
      <w:r w:rsidRPr="00456014">
        <w:t>rcGIS</w:t>
      </w:r>
      <w:r w:rsidR="00921493" w:rsidRPr="00456014">
        <w:t xml:space="preserve"> 10.5</w:t>
      </w:r>
      <w:r w:rsidRPr="00456014">
        <w:t xml:space="preserve"> </w:t>
      </w:r>
      <w:r w:rsidR="00305A6D">
        <w:t>was</w:t>
      </w:r>
      <w:r w:rsidRPr="00456014">
        <w:t xml:space="preserve"> selected as the basic tool for the development of GWPZ. The groundwater prospect zones were evaluated based on the groundwater potential index computed from the integration of all groundwat</w:t>
      </w:r>
      <w:r w:rsidR="00E902DB">
        <w:t xml:space="preserve">er influencing thematic layers. </w:t>
      </w:r>
    </w:p>
    <w:p w:rsidR="001A36FD" w:rsidRDefault="00921493" w:rsidP="00961DEE">
      <w:r w:rsidRPr="00456014">
        <w:t>T</w:t>
      </w:r>
      <w:r w:rsidR="00EE5C5D" w:rsidRPr="00456014">
        <w:t>he resulting groundwater potential index of the study area indicates five zones representing v</w:t>
      </w:r>
      <w:r w:rsidR="00F27B33">
        <w:t xml:space="preserve">ery high, high, moderate, poor </w:t>
      </w:r>
      <w:r w:rsidR="00B36B33">
        <w:t>and very poor GWPZ’s</w:t>
      </w:r>
      <w:r w:rsidR="00EE5C5D" w:rsidRPr="00456014">
        <w:t>. The total areal extent of the very high groundwater potential is 41 km</w:t>
      </w:r>
      <w:r w:rsidR="00EE5C5D" w:rsidRPr="0009042F">
        <w:rPr>
          <w:vertAlign w:val="superscript"/>
        </w:rPr>
        <w:t>2</w:t>
      </w:r>
      <w:r w:rsidR="00EE5C5D" w:rsidRPr="00456014">
        <w:t xml:space="preserve"> (0.92%). The areal extent of high, moderate, poor and very poor GWPZ’s are 2032 km</w:t>
      </w:r>
      <w:r w:rsidR="00EE5C5D" w:rsidRPr="0009042F">
        <w:rPr>
          <w:vertAlign w:val="superscript"/>
        </w:rPr>
        <w:t>2</w:t>
      </w:r>
      <w:r w:rsidR="00EE5C5D" w:rsidRPr="00456014">
        <w:t xml:space="preserve"> (46.06%), 2088 km</w:t>
      </w:r>
      <w:r w:rsidR="00EE5C5D" w:rsidRPr="0009042F">
        <w:rPr>
          <w:vertAlign w:val="superscript"/>
        </w:rPr>
        <w:t>2</w:t>
      </w:r>
      <w:r w:rsidR="00EE5C5D" w:rsidRPr="00456014">
        <w:t xml:space="preserve"> (47.3%), 252 km</w:t>
      </w:r>
      <w:r w:rsidR="00EE5C5D" w:rsidRPr="0009042F">
        <w:rPr>
          <w:vertAlign w:val="superscript"/>
        </w:rPr>
        <w:t>2</w:t>
      </w:r>
      <w:r w:rsidR="00EE5C5D" w:rsidRPr="00456014">
        <w:t xml:space="preserve"> (5.7%) and 0.142 km</w:t>
      </w:r>
      <w:r w:rsidR="00EE5C5D" w:rsidRPr="0009042F">
        <w:rPr>
          <w:vertAlign w:val="superscript"/>
        </w:rPr>
        <w:t>2</w:t>
      </w:r>
      <w:r w:rsidR="00EE5C5D" w:rsidRPr="00456014">
        <w:t xml:space="preserve"> (0.0032%). The groundwater potential map was validated using the existing well yield and spring discharge. It indicated a good prediction accuracy of </w:t>
      </w:r>
      <w:r w:rsidR="00FC5DC7">
        <w:t>84</w:t>
      </w:r>
      <w:r w:rsidR="001A36FD">
        <w:t xml:space="preserve">%. </w:t>
      </w:r>
      <w:r w:rsidR="001A580F">
        <w:t>T</w:t>
      </w:r>
      <w:r w:rsidR="00356157">
        <w:t>he s</w:t>
      </w:r>
      <w:r w:rsidR="00BE0655">
        <w:t xml:space="preserve">uitable </w:t>
      </w:r>
      <w:r w:rsidR="00356157">
        <w:t xml:space="preserve">groundwater potential zone </w:t>
      </w:r>
      <w:r w:rsidR="001A580F">
        <w:t>of</w:t>
      </w:r>
      <w:r w:rsidR="00BE0655">
        <w:t xml:space="preserve"> Woredas </w:t>
      </w:r>
      <w:r w:rsidR="000C2C0C">
        <w:t>encompassed</w:t>
      </w:r>
      <w:r w:rsidR="00BE0655">
        <w:t xml:space="preserve"> in the Sub-basin </w:t>
      </w:r>
      <w:r w:rsidR="009D337B">
        <w:t>was</w:t>
      </w:r>
      <w:r w:rsidR="00BE0655">
        <w:t xml:space="preserve"> identified.</w:t>
      </w:r>
      <w:r w:rsidR="00403D99">
        <w:t xml:space="preserve"> </w:t>
      </w:r>
      <w:r w:rsidR="00707B96">
        <w:t>A</w:t>
      </w:r>
      <w:r w:rsidR="00F246B6">
        <w:t xml:space="preserve"> very high </w:t>
      </w:r>
      <w:r w:rsidR="00823E81">
        <w:t>groundwater potential zone</w:t>
      </w:r>
      <w:r w:rsidR="00F246B6">
        <w:t xml:space="preserve"> in </w:t>
      </w:r>
      <w:r w:rsidR="00356157">
        <w:t>D</w:t>
      </w:r>
      <w:r w:rsidR="00F246B6">
        <w:t xml:space="preserve">insho, </w:t>
      </w:r>
      <w:r w:rsidR="00356157">
        <w:t>Sinana</w:t>
      </w:r>
      <w:r w:rsidR="00F246B6">
        <w:t xml:space="preserve">, Ginnir and Goba </w:t>
      </w:r>
      <w:r w:rsidR="00356157" w:rsidRPr="00485508">
        <w:t xml:space="preserve">Woreda </w:t>
      </w:r>
      <w:r w:rsidR="00F246B6" w:rsidRPr="00485508">
        <w:t>cover</w:t>
      </w:r>
      <w:r w:rsidR="000C2C0C" w:rsidRPr="00485508">
        <w:t>s</w:t>
      </w:r>
      <w:r w:rsidR="00F246B6" w:rsidRPr="00485508">
        <w:t xml:space="preserve"> an area of 28, 3.8, 3.5 and 3 km</w:t>
      </w:r>
      <w:r w:rsidR="00F246B6" w:rsidRPr="00485508">
        <w:rPr>
          <w:vertAlign w:val="superscript"/>
        </w:rPr>
        <w:t>2</w:t>
      </w:r>
      <w:r w:rsidR="00F246B6" w:rsidRPr="00485508">
        <w:t>, respectively.</w:t>
      </w:r>
      <w:r w:rsidR="00450867" w:rsidRPr="00485508">
        <w:t xml:space="preserve"> </w:t>
      </w:r>
      <w:r w:rsidR="00F246B6" w:rsidRPr="00485508">
        <w:t xml:space="preserve">Similarly, the high GWPZ coverage area of Sinana, </w:t>
      </w:r>
      <w:r w:rsidR="00485508" w:rsidRPr="00485508">
        <w:t xml:space="preserve">Gasera, Dinsho </w:t>
      </w:r>
      <w:r w:rsidR="00F246B6" w:rsidRPr="00485508">
        <w:t xml:space="preserve">and </w:t>
      </w:r>
      <w:r w:rsidR="00485508" w:rsidRPr="00485508">
        <w:t xml:space="preserve">Ginnir </w:t>
      </w:r>
      <w:r w:rsidR="00F246B6" w:rsidRPr="00485508">
        <w:t xml:space="preserve">Woreda is 452, </w:t>
      </w:r>
      <w:r w:rsidR="00485508">
        <w:t xml:space="preserve">309, 296.5 </w:t>
      </w:r>
      <w:r w:rsidR="00485508" w:rsidRPr="00485508">
        <w:t xml:space="preserve">and </w:t>
      </w:r>
      <w:r w:rsidR="00485508">
        <w:t xml:space="preserve">286 </w:t>
      </w:r>
      <w:r w:rsidR="00F246B6" w:rsidRPr="00485508">
        <w:t>km</w:t>
      </w:r>
      <w:r w:rsidR="00F246B6" w:rsidRPr="00485508">
        <w:rPr>
          <w:vertAlign w:val="superscript"/>
        </w:rPr>
        <w:t>2</w:t>
      </w:r>
      <w:r w:rsidR="00F246B6" w:rsidRPr="00485508">
        <w:t>, respectively.</w:t>
      </w:r>
      <w:r w:rsidR="00485508">
        <w:t xml:space="preserve"> </w:t>
      </w:r>
    </w:p>
    <w:p w:rsidR="00DC159E" w:rsidRDefault="00EE5C5D" w:rsidP="00961DEE">
      <w:r w:rsidRPr="00485508">
        <w:lastRenderedPageBreak/>
        <w:t>The recharge and</w:t>
      </w:r>
      <w:r w:rsidRPr="00456014">
        <w:t xml:space="preserve"> discharge </w:t>
      </w:r>
      <w:r w:rsidR="005F3F69">
        <w:t xml:space="preserve">zone </w:t>
      </w:r>
      <w:r w:rsidR="001A21C0">
        <w:t>of groundwater zones we</w:t>
      </w:r>
      <w:r w:rsidRPr="00456014">
        <w:t>re determined from the groundwater direction vectors. The groundwater flow direction of the study area is particularly towar</w:t>
      </w:r>
      <w:r w:rsidR="00BA35CF">
        <w:t xml:space="preserve">ds the Northeast and Southeast. </w:t>
      </w:r>
      <w:r w:rsidRPr="00456014">
        <w:t xml:space="preserve">The Bale mountains highland which is characterized by high rainfall, dense forest and bushlands are the major recharge zone of the study area. Recharge from </w:t>
      </w:r>
      <w:r w:rsidR="00A97D15">
        <w:t>areas</w:t>
      </w:r>
      <w:r w:rsidRPr="00456014">
        <w:t xml:space="preserve"> discharges at the v</w:t>
      </w:r>
      <w:r w:rsidR="00A97D15">
        <w:t>alley floor, mountains foothill</w:t>
      </w:r>
      <w:r w:rsidRPr="00456014">
        <w:t xml:space="preserve"> and low land</w:t>
      </w:r>
      <w:r w:rsidR="000228CF">
        <w:t>s</w:t>
      </w:r>
      <w:r w:rsidRPr="00456014">
        <w:t xml:space="preserve">. Especially the foothills of lower plateau volcanic terrains formed by volcanic shields characterized by high lineament density are favorable for the emergence of groundwater as springs. I.e. Bale highlands down to Robe-Goro </w:t>
      </w:r>
      <w:r w:rsidR="000228CF" w:rsidRPr="00456014">
        <w:t xml:space="preserve">Sheneka </w:t>
      </w:r>
      <w:r w:rsidR="000228CF">
        <w:t xml:space="preserve">plain. </w:t>
      </w:r>
      <w:r w:rsidR="00522BD9">
        <w:t>The extensively fractured E</w:t>
      </w:r>
      <w:r w:rsidRPr="00456014">
        <w:t xml:space="preserve">astern valley of Weyib River channels that compose a thick succession of alluvial deposits was shown as the discharge areas. </w:t>
      </w:r>
    </w:p>
    <w:p w:rsidR="008B6045" w:rsidRPr="00456014" w:rsidRDefault="000C5782" w:rsidP="008D3D8E">
      <w:pPr>
        <w:pStyle w:val="Heading2"/>
        <w:numPr>
          <w:ilvl w:val="1"/>
          <w:numId w:val="3"/>
        </w:numPr>
        <w:ind w:hanging="540"/>
        <w:rPr>
          <w:rFonts w:eastAsiaTheme="majorEastAsia"/>
          <w:szCs w:val="24"/>
        </w:rPr>
      </w:pPr>
      <w:bookmarkStart w:id="246" w:name="_Toc68025108"/>
      <w:bookmarkStart w:id="247" w:name="_Toc68761590"/>
      <w:r w:rsidRPr="00456014">
        <w:rPr>
          <w:rFonts w:eastAsiaTheme="majorEastAsia"/>
          <w:szCs w:val="24"/>
        </w:rPr>
        <w:t>Conclusions</w:t>
      </w:r>
      <w:bookmarkEnd w:id="246"/>
      <w:bookmarkEnd w:id="247"/>
    </w:p>
    <w:p w:rsidR="00BC62D0" w:rsidRDefault="009D337B" w:rsidP="00861B64">
      <w:r>
        <w:t>The result</w:t>
      </w:r>
      <w:r w:rsidR="002E0476" w:rsidRPr="00456014">
        <w:t xml:space="preserve"> of this study indicates the efficiency of </w:t>
      </w:r>
      <w:r w:rsidR="00B65E4D" w:rsidRPr="00456014">
        <w:t>GIS and Remote Sensing</w:t>
      </w:r>
      <w:r w:rsidR="00C17F1E" w:rsidRPr="00456014">
        <w:t xml:space="preserve"> technique</w:t>
      </w:r>
      <w:r w:rsidR="00712BAD">
        <w:t>s</w:t>
      </w:r>
      <w:r w:rsidR="00C17F1E" w:rsidRPr="00456014">
        <w:t xml:space="preserve"> </w:t>
      </w:r>
      <w:r w:rsidR="002E0476" w:rsidRPr="00456014">
        <w:t xml:space="preserve">for </w:t>
      </w:r>
      <w:r w:rsidR="00071161" w:rsidRPr="00456014">
        <w:t xml:space="preserve">mapping </w:t>
      </w:r>
      <w:r w:rsidR="00071161">
        <w:t xml:space="preserve">the </w:t>
      </w:r>
      <w:r w:rsidR="002E0476" w:rsidRPr="00456014">
        <w:t>groundwater potential</w:t>
      </w:r>
      <w:r w:rsidR="00071161">
        <w:t xml:space="preserve"> zone of Weyib Sub-basin</w:t>
      </w:r>
      <w:r w:rsidR="002E0476" w:rsidRPr="00456014">
        <w:t xml:space="preserve">. </w:t>
      </w:r>
      <w:r w:rsidR="00C94605" w:rsidRPr="00456014">
        <w:t>RS provides information in space and time while GIS helps to store, interpret and retrieve spatial data.</w:t>
      </w:r>
      <w:r w:rsidR="007C1216" w:rsidRPr="00456014">
        <w:t xml:space="preserve"> </w:t>
      </w:r>
      <w:r w:rsidR="00886D8D" w:rsidRPr="00456014">
        <w:t>The use of ArcGIS weighted overlay analysis shows a good capability to achieve</w:t>
      </w:r>
      <w:r>
        <w:t xml:space="preserve"> the</w:t>
      </w:r>
      <w:r w:rsidR="00886D8D" w:rsidRPr="00456014">
        <w:t xml:space="preserve"> </w:t>
      </w:r>
      <w:r>
        <w:t xml:space="preserve">spatial </w:t>
      </w:r>
      <w:r w:rsidRPr="00456014">
        <w:t xml:space="preserve">classification </w:t>
      </w:r>
      <w:r>
        <w:t xml:space="preserve">of </w:t>
      </w:r>
      <w:r w:rsidR="00886D8D" w:rsidRPr="00456014">
        <w:t>GWPZ.</w:t>
      </w:r>
      <w:r w:rsidR="00886D8D">
        <w:t xml:space="preserve"> </w:t>
      </w:r>
      <w:r w:rsidR="002E0476" w:rsidRPr="00456014">
        <w:t>The</w:t>
      </w:r>
      <w:r w:rsidR="00C94605" w:rsidRPr="00456014">
        <w:t xml:space="preserve"> powerful and flexible decision-making technique, AHP</w:t>
      </w:r>
      <w:r w:rsidR="00927823">
        <w:t>,</w:t>
      </w:r>
      <w:r w:rsidR="00C94605" w:rsidRPr="00456014">
        <w:t xml:space="preserve"> help</w:t>
      </w:r>
      <w:r w:rsidR="00927823">
        <w:t>s</w:t>
      </w:r>
      <w:r w:rsidR="00C94605" w:rsidRPr="00456014">
        <w:t xml:space="preserve"> to set priorities and make the best decision</w:t>
      </w:r>
      <w:r w:rsidR="00CC074B">
        <w:t xml:space="preserve">. </w:t>
      </w:r>
      <w:r w:rsidR="00A71370">
        <w:t xml:space="preserve">Identification and evaluation of </w:t>
      </w:r>
      <w:r w:rsidR="00A71370" w:rsidRPr="00456014">
        <w:t>climatic</w:t>
      </w:r>
      <w:r w:rsidR="008928CE" w:rsidRPr="00456014">
        <w:t xml:space="preserve">, physiographic, and geologic factors </w:t>
      </w:r>
      <w:r w:rsidR="00DC159E" w:rsidRPr="00456014">
        <w:t xml:space="preserve">are essential for mapping the </w:t>
      </w:r>
      <w:r w:rsidR="008928CE" w:rsidRPr="00456014">
        <w:t xml:space="preserve">GWPZ’s </w:t>
      </w:r>
      <w:r w:rsidR="001401F4">
        <w:t xml:space="preserve">of </w:t>
      </w:r>
      <w:r w:rsidR="00712BAD">
        <w:t>study area</w:t>
      </w:r>
      <w:r w:rsidR="00DC159E" w:rsidRPr="00456014">
        <w:t>.</w:t>
      </w:r>
      <w:r w:rsidR="00CC074B">
        <w:t xml:space="preserve"> </w:t>
      </w:r>
      <w:r w:rsidR="002A3F6C" w:rsidRPr="00456014">
        <w:t>The study reveals that the integration of geomorphological landforms, lineament density, geology, rainfall distribution, drainage density,</w:t>
      </w:r>
      <w:r w:rsidR="00712BAD">
        <w:t xml:space="preserve"> elevation, slope, soil texture</w:t>
      </w:r>
      <w:r w:rsidR="002A3F6C" w:rsidRPr="00456014">
        <w:t xml:space="preserve"> and LU</w:t>
      </w:r>
      <w:r w:rsidR="001052BA">
        <w:t>/</w:t>
      </w:r>
      <w:r w:rsidR="002A3F6C" w:rsidRPr="00456014">
        <w:t xml:space="preserve">LC thematic </w:t>
      </w:r>
      <w:r w:rsidR="00115B12">
        <w:t>layers</w:t>
      </w:r>
      <w:r w:rsidR="002A3F6C" w:rsidRPr="00456014">
        <w:t xml:space="preserve"> </w:t>
      </w:r>
      <w:r w:rsidR="004F3456" w:rsidRPr="00456014">
        <w:t xml:space="preserve">identify the </w:t>
      </w:r>
      <w:r w:rsidR="002A3F6C" w:rsidRPr="00456014">
        <w:t xml:space="preserve">suitable GWPZ </w:t>
      </w:r>
      <w:r w:rsidR="004F3456" w:rsidRPr="00456014">
        <w:t xml:space="preserve">of </w:t>
      </w:r>
      <w:r w:rsidR="001401F4">
        <w:t>Weyib Sub-basin</w:t>
      </w:r>
      <w:r w:rsidR="003E05FE" w:rsidRPr="00456014">
        <w:t xml:space="preserve">. </w:t>
      </w:r>
      <w:r w:rsidR="00DC159E" w:rsidRPr="00456014">
        <w:t>The influence of physiographic, geologic an</w:t>
      </w:r>
      <w:r w:rsidR="000564D1">
        <w:t>d climatic factors are 46%, 42%</w:t>
      </w:r>
      <w:r w:rsidR="00DC159E" w:rsidRPr="00456014">
        <w:t xml:space="preserve"> and 12%, respectively. </w:t>
      </w:r>
    </w:p>
    <w:p w:rsidR="001E53AD" w:rsidRDefault="008928CE" w:rsidP="00861B64">
      <w:r w:rsidRPr="00456014">
        <w:t>The geomorphologic landform, lineament density, geology</w:t>
      </w:r>
      <w:r w:rsidR="009A38D3">
        <w:t xml:space="preserve"> </w:t>
      </w:r>
      <w:r w:rsidRPr="00456014">
        <w:t>and rainfall distribution shares the highest we</w:t>
      </w:r>
      <w:r w:rsidR="00AF5C25">
        <w:t xml:space="preserve">ightage. </w:t>
      </w:r>
      <w:r w:rsidR="00927823">
        <w:t>The g</w:t>
      </w:r>
      <w:r w:rsidR="00CC074B">
        <w:t>eomorphologic</w:t>
      </w:r>
      <w:r w:rsidRPr="00456014">
        <w:t xml:space="preserve"> landform is a dominant factor influencing </w:t>
      </w:r>
      <w:r w:rsidR="00940836">
        <w:t xml:space="preserve">the </w:t>
      </w:r>
      <w:r w:rsidR="00771817">
        <w:t>GWPZ</w:t>
      </w:r>
      <w:r w:rsidR="00DD4CEA">
        <w:t xml:space="preserve"> </w:t>
      </w:r>
      <w:r w:rsidR="00940836">
        <w:t xml:space="preserve">of </w:t>
      </w:r>
      <w:r w:rsidR="000564F8">
        <w:t xml:space="preserve">the </w:t>
      </w:r>
      <w:r w:rsidR="000A1563" w:rsidRPr="00456014">
        <w:t>study area</w:t>
      </w:r>
      <w:r w:rsidR="001015BF">
        <w:t xml:space="preserve">. </w:t>
      </w:r>
      <w:r w:rsidR="00F85B51" w:rsidRPr="00456014">
        <w:t>The</w:t>
      </w:r>
      <w:r w:rsidR="00F85B51" w:rsidRPr="00CB2019">
        <w:t xml:space="preserve"> </w:t>
      </w:r>
      <w:r w:rsidR="0060006D">
        <w:t>S</w:t>
      </w:r>
      <w:r w:rsidR="00F85B51" w:rsidRPr="00CB2019">
        <w:t xml:space="preserve">outhwestern </w:t>
      </w:r>
      <w:r w:rsidR="00C139B5">
        <w:t>Bale Mountain’s</w:t>
      </w:r>
      <w:r w:rsidR="00F85B51" w:rsidRPr="00456014">
        <w:t xml:space="preserve"> highland which is characterized </w:t>
      </w:r>
      <w:r w:rsidR="00DD4CEA">
        <w:t xml:space="preserve">by high rainfall, dense forest </w:t>
      </w:r>
      <w:r w:rsidR="00F85B51" w:rsidRPr="00456014">
        <w:t>and bushlands are the major recharge zone of the study area.</w:t>
      </w:r>
      <w:r w:rsidR="001059EF">
        <w:t xml:space="preserve"> </w:t>
      </w:r>
      <w:r w:rsidRPr="00456014">
        <w:t xml:space="preserve">The spatial distribution of rainfall </w:t>
      </w:r>
      <w:r w:rsidR="00EA47B1">
        <w:t xml:space="preserve">is significantly influenced by </w:t>
      </w:r>
      <w:r w:rsidR="00200106">
        <w:t xml:space="preserve">the </w:t>
      </w:r>
      <w:r w:rsidR="00EA47B1">
        <w:t>topographic</w:t>
      </w:r>
      <w:r w:rsidRPr="00456014">
        <w:t xml:space="preserve"> variability of the sub-basin. Recharge from runoff and precipitation provides a source of groundwater infilt</w:t>
      </w:r>
      <w:r w:rsidR="00BC62D0">
        <w:t xml:space="preserve">ration to the area of interest. </w:t>
      </w:r>
      <w:r w:rsidRPr="00456014">
        <w:t xml:space="preserve">The resulting </w:t>
      </w:r>
      <w:r w:rsidR="00156BF4">
        <w:t>GWPZ</w:t>
      </w:r>
      <w:r w:rsidRPr="00456014">
        <w:t xml:space="preserve"> of study area was classified into five zones representing very high, high, moderate, low and very low GWPZ’s covering </w:t>
      </w:r>
      <w:r w:rsidR="00AF69F6">
        <w:t xml:space="preserve">an area of </w:t>
      </w:r>
      <w:r w:rsidRPr="00456014">
        <w:t>41 km</w:t>
      </w:r>
      <w:r w:rsidRPr="00456014">
        <w:rPr>
          <w:vertAlign w:val="superscript"/>
        </w:rPr>
        <w:t>2</w:t>
      </w:r>
      <w:r w:rsidRPr="00456014">
        <w:t>, 2032 km</w:t>
      </w:r>
      <w:r w:rsidRPr="00456014">
        <w:rPr>
          <w:vertAlign w:val="superscript"/>
        </w:rPr>
        <w:t>2</w:t>
      </w:r>
      <w:r w:rsidRPr="00456014">
        <w:t>, 2088 km</w:t>
      </w:r>
      <w:r w:rsidRPr="00456014">
        <w:rPr>
          <w:vertAlign w:val="superscript"/>
        </w:rPr>
        <w:t>2</w:t>
      </w:r>
      <w:r w:rsidRPr="00456014">
        <w:t>, 252 km</w:t>
      </w:r>
      <w:r w:rsidRPr="00456014">
        <w:rPr>
          <w:vertAlign w:val="superscript"/>
        </w:rPr>
        <w:t>2</w:t>
      </w:r>
      <w:r w:rsidR="009D1A60">
        <w:t xml:space="preserve"> </w:t>
      </w:r>
      <w:r w:rsidRPr="00456014">
        <w:t>and 0.142 km</w:t>
      </w:r>
      <w:r w:rsidRPr="00456014">
        <w:rPr>
          <w:vertAlign w:val="superscript"/>
        </w:rPr>
        <w:t>2</w:t>
      </w:r>
      <w:r w:rsidR="00F5089F">
        <w:t xml:space="preserve">, </w:t>
      </w:r>
      <w:r w:rsidR="002C64D8">
        <w:t>respectively</w:t>
      </w:r>
      <w:r w:rsidRPr="00456014">
        <w:t xml:space="preserve">. </w:t>
      </w:r>
      <w:r w:rsidR="00756CBB">
        <w:t>T</w:t>
      </w:r>
      <w:r w:rsidR="00756CBB" w:rsidRPr="00456014">
        <w:t xml:space="preserve">he </w:t>
      </w:r>
      <w:r w:rsidR="00756CBB">
        <w:t>GWPZ</w:t>
      </w:r>
      <w:r w:rsidR="00756CBB" w:rsidRPr="00456014">
        <w:t xml:space="preserve"> was validated by usi</w:t>
      </w:r>
      <w:r w:rsidR="00756CBB">
        <w:t>ng the existing</w:t>
      </w:r>
      <w:r w:rsidR="00B326D3">
        <w:t xml:space="preserve"> water point’s</w:t>
      </w:r>
      <w:r w:rsidR="00756CBB">
        <w:t xml:space="preserve"> inventory data</w:t>
      </w:r>
      <w:r w:rsidR="00756CBB" w:rsidRPr="00456014">
        <w:t>.</w:t>
      </w:r>
    </w:p>
    <w:p w:rsidR="001C69F5" w:rsidRDefault="00756CBB" w:rsidP="00861B64">
      <w:r w:rsidRPr="00456014">
        <w:lastRenderedPageBreak/>
        <w:t xml:space="preserve">The overall prediction accuracy of </w:t>
      </w:r>
      <w:r>
        <w:t xml:space="preserve">identified groundwater potential zone </w:t>
      </w:r>
      <w:r w:rsidRPr="00456014">
        <w:t xml:space="preserve">with actual </w:t>
      </w:r>
      <w:r w:rsidR="00156BF4">
        <w:t>water point</w:t>
      </w:r>
      <w:r w:rsidRPr="005364A7">
        <w:t xml:space="preserve"> inventory data </w:t>
      </w:r>
      <w:r>
        <w:t xml:space="preserve">shows </w:t>
      </w:r>
      <w:r w:rsidR="006A494C">
        <w:t>84</w:t>
      </w:r>
      <w:r w:rsidRPr="00456014">
        <w:t>%</w:t>
      </w:r>
      <w:r w:rsidR="00BC62D0">
        <w:t xml:space="preserve"> agreement. </w:t>
      </w:r>
      <w:r w:rsidR="00403D99">
        <w:t>Thi</w:t>
      </w:r>
      <w:r w:rsidR="00403D99" w:rsidRPr="00403D99">
        <w:t xml:space="preserve">s, </w:t>
      </w:r>
      <w:r w:rsidR="00403D99">
        <w:t>indicates the accuracy and of</w:t>
      </w:r>
      <w:r w:rsidR="00403D99" w:rsidRPr="00403D99">
        <w:t xml:space="preserve"> GWPZ’s identification by using GIS and RS through AHP is reliable.</w:t>
      </w:r>
      <w:r w:rsidR="00156BF4">
        <w:t xml:space="preserve"> </w:t>
      </w:r>
      <w:r w:rsidR="008928CE" w:rsidRPr="00456014">
        <w:t>A considerable extent of very high groundw</w:t>
      </w:r>
      <w:r w:rsidR="0060006D">
        <w:t>ater potential is found in the S</w:t>
      </w:r>
      <w:r w:rsidR="008928CE" w:rsidRPr="00456014">
        <w:t>outhwestern part of the study a</w:t>
      </w:r>
      <w:r w:rsidR="00BC62D0">
        <w:t xml:space="preserve">rea. </w:t>
      </w:r>
      <w:r w:rsidR="008928CE" w:rsidRPr="00456014">
        <w:t>The hig</w:t>
      </w:r>
      <w:r w:rsidR="00DF344F">
        <w:t>h productive fractured, jointed</w:t>
      </w:r>
      <w:r w:rsidR="008928CE" w:rsidRPr="00456014">
        <w:t xml:space="preserve"> and porous volcanic aquifer of Nazret group stratoid, silica, and teltele basalt (aphyritic basalt) forming flat slope plain and valley </w:t>
      </w:r>
      <w:r w:rsidR="00150B25">
        <w:t>landforms</w:t>
      </w:r>
      <w:r w:rsidR="008928CE" w:rsidRPr="00456014">
        <w:t xml:space="preserve"> between the mountains suit very high </w:t>
      </w:r>
      <w:r w:rsidR="004F4910">
        <w:t>groundwater potential</w:t>
      </w:r>
      <w:r w:rsidR="008928CE" w:rsidRPr="00456014">
        <w:t xml:space="preserve">. The extensively fractured valley of Weyib River channels that compose a thick succession of alluvial deposits was classified under high </w:t>
      </w:r>
      <w:r w:rsidR="00891501" w:rsidRPr="00891501">
        <w:t>groundwater potential zone</w:t>
      </w:r>
      <w:r w:rsidR="001B4797">
        <w:t xml:space="preserve">. </w:t>
      </w:r>
      <w:r w:rsidR="008928CE" w:rsidRPr="00456014">
        <w:t xml:space="preserve">The subsequent edge next to </w:t>
      </w:r>
      <w:r w:rsidR="004F4910">
        <w:t xml:space="preserve">the </w:t>
      </w:r>
      <w:r w:rsidR="008928CE" w:rsidRPr="00456014">
        <w:t xml:space="preserve">high </w:t>
      </w:r>
      <w:r w:rsidR="00891501" w:rsidRPr="00891501">
        <w:t xml:space="preserve">groundwater potential zone </w:t>
      </w:r>
      <w:r w:rsidR="008928CE" w:rsidRPr="00456014">
        <w:t>is ch</w:t>
      </w:r>
      <w:r w:rsidR="00980F96">
        <w:t>aracterized by moderate GWPZ’s. S</w:t>
      </w:r>
      <w:r w:rsidR="008928CE" w:rsidRPr="00456014">
        <w:t>mall area of very h</w:t>
      </w:r>
      <w:r w:rsidR="00560FD5">
        <w:t>igh groundwater potential zone</w:t>
      </w:r>
      <w:r w:rsidR="008928CE" w:rsidRPr="00456014">
        <w:t xml:space="preserve"> followed by high groundwater potential was d</w:t>
      </w:r>
      <w:r w:rsidR="00DF344F">
        <w:t>iscretely distributed over the N</w:t>
      </w:r>
      <w:r w:rsidR="008928CE" w:rsidRPr="00456014">
        <w:t>ortheastern side be</w:t>
      </w:r>
      <w:r w:rsidR="00891501">
        <w:t>tween Gasera and Ginnir Woreda.</w:t>
      </w:r>
    </w:p>
    <w:p w:rsidR="001C69F5" w:rsidRDefault="008928CE" w:rsidP="00F728BF">
      <w:r w:rsidRPr="00456014">
        <w:t xml:space="preserve">The barren top of </w:t>
      </w:r>
      <w:r w:rsidR="004A7EB0" w:rsidRPr="00456014">
        <w:t xml:space="preserve">steep slope weather-resistant rocky </w:t>
      </w:r>
      <w:r w:rsidR="00061357">
        <w:t>mountain</w:t>
      </w:r>
      <w:r w:rsidRPr="00456014">
        <w:t xml:space="preserve"> and drainages are classified under poor and very poor GWPZ. In this area, most parts of the volcanic terrain are covered by impenetrable forest, whereas the cliffs themselves and peaks remain barren. The low productivity sedimentary aquifer and </w:t>
      </w:r>
      <w:r w:rsidRPr="00321C2F">
        <w:t>scarc</w:t>
      </w:r>
      <w:r w:rsidR="0060006D" w:rsidRPr="00321C2F">
        <w:t>e rainfall distribution of the S</w:t>
      </w:r>
      <w:r w:rsidRPr="00321C2F">
        <w:t>outh</w:t>
      </w:r>
      <w:r w:rsidR="004A7EB0" w:rsidRPr="00321C2F">
        <w:t>eastern edge</w:t>
      </w:r>
      <w:r w:rsidRPr="00321C2F">
        <w:t xml:space="preserve"> enforce the GWPZ’s of an area for categorizing under low and moderate GWPZ</w:t>
      </w:r>
      <w:r w:rsidR="00321C2F">
        <w:t>.</w:t>
      </w:r>
      <w:r w:rsidR="001C69F5">
        <w:t xml:space="preserve"> </w:t>
      </w:r>
      <w:r w:rsidR="00E7560E" w:rsidRPr="00321C2F">
        <w:t>The boundary of Weyib Sub-basin encompasses eight Woredas including; Dinsho, Agarfa, Adaba, Gasera, Ginnir, Goba, Goro and Sinana. The suitability of Woredas GWPZ were identified in terms of potentials. I.e. consi</w:t>
      </w:r>
      <w:r w:rsidR="00321C2F">
        <w:t xml:space="preserve">dering very high and high GWPZ. </w:t>
      </w:r>
      <w:r w:rsidR="00F85B51" w:rsidRPr="00321C2F">
        <w:t xml:space="preserve">The groundwater table </w:t>
      </w:r>
      <w:r w:rsidR="008C4E94" w:rsidRPr="00321C2F">
        <w:t>profile</w:t>
      </w:r>
      <w:r w:rsidR="00F85B51" w:rsidRPr="00321C2F">
        <w:t xml:space="preserve"> together with the topographic tilting shows the </w:t>
      </w:r>
      <w:r w:rsidR="002C6ECD" w:rsidRPr="00321C2F">
        <w:t>SE</w:t>
      </w:r>
      <w:r w:rsidR="007A6785" w:rsidRPr="00321C2F">
        <w:t xml:space="preserve"> and </w:t>
      </w:r>
      <w:r w:rsidR="002C6ECD" w:rsidRPr="00321C2F">
        <w:t>NE</w:t>
      </w:r>
      <w:r w:rsidR="004F4910" w:rsidRPr="00321C2F">
        <w:t xml:space="preserve"> groundwater flow direction</w:t>
      </w:r>
      <w:r w:rsidR="00AA0452" w:rsidRPr="00321C2F">
        <w:t>,</w:t>
      </w:r>
      <w:r w:rsidR="009912EC" w:rsidRPr="00321C2F">
        <w:t xml:space="preserve"> coinciding</w:t>
      </w:r>
      <w:r w:rsidR="009912EC" w:rsidRPr="002C6ECD">
        <w:t xml:space="preserve"> with the direction of surface water flow</w:t>
      </w:r>
      <w:r w:rsidR="00F85B51" w:rsidRPr="002C6ECD">
        <w:t xml:space="preserve">. </w:t>
      </w:r>
      <w:r w:rsidR="00150B25" w:rsidRPr="002C6ECD">
        <w:t xml:space="preserve">It </w:t>
      </w:r>
      <w:r w:rsidR="003A0453" w:rsidRPr="002C6ECD">
        <w:t>was</w:t>
      </w:r>
      <w:r w:rsidR="004F4910" w:rsidRPr="002C6ECD">
        <w:t xml:space="preserve"> </w:t>
      </w:r>
      <w:r w:rsidR="00917A62" w:rsidRPr="002C6ECD">
        <w:t xml:space="preserve">controlled by </w:t>
      </w:r>
      <w:r w:rsidR="00F22426">
        <w:t>NW</w:t>
      </w:r>
      <w:r w:rsidR="007A6785" w:rsidRPr="002C6ECD">
        <w:t>-</w:t>
      </w:r>
      <w:r w:rsidR="00F22426">
        <w:t>SE</w:t>
      </w:r>
      <w:r w:rsidR="00E4599C" w:rsidRPr="002C6ECD">
        <w:t xml:space="preserve"> striking geologic structures</w:t>
      </w:r>
      <w:r w:rsidR="003658CF" w:rsidRPr="002C6ECD">
        <w:t>.</w:t>
      </w:r>
      <w:r w:rsidR="00E4599C" w:rsidRPr="002C6ECD">
        <w:t xml:space="preserve"> </w:t>
      </w:r>
    </w:p>
    <w:p w:rsidR="00891501" w:rsidRDefault="00CC074B" w:rsidP="00F728BF">
      <w:r w:rsidRPr="002C6ECD">
        <w:t>Recharge from area</w:t>
      </w:r>
      <w:r w:rsidR="00886D8D" w:rsidRPr="002C6ECD">
        <w:t xml:space="preserve"> discharges at the valley floor, mountains foothill, and low land areas. Especially the foothills of lower plateau volcanic terrains formed by volcanic shields characterized by high</w:t>
      </w:r>
      <w:r w:rsidR="00886D8D" w:rsidRPr="007A5C7E">
        <w:t xml:space="preserve"> lineament density are favorable for the emerge</w:t>
      </w:r>
      <w:r w:rsidR="000834AD">
        <w:t>nce of groundwater as springs, i</w:t>
      </w:r>
      <w:r w:rsidR="00886D8D" w:rsidRPr="007A5C7E">
        <w:t>.e. Bale highlan</w:t>
      </w:r>
      <w:r w:rsidR="00886D8D">
        <w:t>ds down to Robe-Goro Sheneka plain</w:t>
      </w:r>
      <w:r w:rsidR="00886D8D" w:rsidRPr="007A5C7E">
        <w:t>.</w:t>
      </w:r>
      <w:r w:rsidR="00886D8D">
        <w:t xml:space="preserve"> </w:t>
      </w:r>
      <w:r w:rsidR="00522BD9">
        <w:t>The extensively fractured E</w:t>
      </w:r>
      <w:r w:rsidR="00886D8D" w:rsidRPr="00456014">
        <w:t xml:space="preserve">astern valley of Weyib River channels that compose thick succession of alluvial deposits was </w:t>
      </w:r>
      <w:r w:rsidR="00886D8D">
        <w:t>identified</w:t>
      </w:r>
      <w:r w:rsidR="009D1A60">
        <w:t xml:space="preserve"> as the discharge areas. </w:t>
      </w:r>
      <w:r w:rsidR="00154985">
        <w:t>Generally, t</w:t>
      </w:r>
      <w:r w:rsidR="008928CE" w:rsidRPr="00CB2019">
        <w:t xml:space="preserve">he better </w:t>
      </w:r>
      <w:r w:rsidR="008928CE" w:rsidRPr="006871EF">
        <w:t>agreement of the c</w:t>
      </w:r>
      <w:r w:rsidR="008928CE" w:rsidRPr="00F728BF">
        <w:t>omparison between the water point’s inventory data and GWPZ approve the efficiency of GIS and RS technique for mapping groundwate</w:t>
      </w:r>
      <w:r w:rsidR="00010BFA" w:rsidRPr="00F728BF">
        <w:t>r potential of Weyib Sub-basin.</w:t>
      </w:r>
      <w:r w:rsidR="00734AFC" w:rsidRPr="00F728BF">
        <w:t xml:space="preserve"> </w:t>
      </w:r>
    </w:p>
    <w:p w:rsidR="00D52792" w:rsidRPr="00F728BF" w:rsidRDefault="00734AFC" w:rsidP="00F728BF">
      <w:r w:rsidRPr="00F728BF">
        <w:lastRenderedPageBreak/>
        <w:t>This will contribute to fill the gaps by replacing uneconomical and time-consuming conventional approaches of groundwater investigation</w:t>
      </w:r>
      <w:r w:rsidR="00891501">
        <w:t xml:space="preserve">. </w:t>
      </w:r>
      <w:r w:rsidR="0020262D" w:rsidRPr="00F728BF">
        <w:t>Moreover,</w:t>
      </w:r>
      <w:r w:rsidR="009C1F09" w:rsidRPr="00F728BF">
        <w:t xml:space="preserve"> it </w:t>
      </w:r>
      <w:r w:rsidR="004851C8" w:rsidRPr="00F728BF">
        <w:t xml:space="preserve">is recommended to apply the </w:t>
      </w:r>
      <w:r w:rsidR="00AE571F" w:rsidRPr="00F728BF">
        <w:t>same method in other places with appropriate modifications</w:t>
      </w:r>
      <w:r w:rsidR="004942C7" w:rsidRPr="00F728BF">
        <w:t>,</w:t>
      </w:r>
      <w:r w:rsidR="004851C8" w:rsidRPr="00F728BF">
        <w:t xml:space="preserve"> especially for large and inaccessible areas.</w:t>
      </w:r>
      <w:r w:rsidR="000834AD">
        <w:t xml:space="preserve"> </w:t>
      </w:r>
      <w:r w:rsidR="006956E4" w:rsidRPr="00F728BF">
        <w:t>Hence, it is fair to conclude that the result of this study can be used for planning new groundwater-based projects and expansion of the existing water supply and irrigation project</w:t>
      </w:r>
      <w:r w:rsidR="00F12F2E" w:rsidRPr="00F728BF">
        <w:t xml:space="preserve">. </w:t>
      </w:r>
      <w:r w:rsidR="00B71826" w:rsidRPr="00F728BF">
        <w:t xml:space="preserve">Further, </w:t>
      </w:r>
      <w:r w:rsidR="00B23871" w:rsidRPr="00F728BF">
        <w:t xml:space="preserve">the </w:t>
      </w:r>
      <w:r w:rsidR="00DE11D8" w:rsidRPr="00F728BF">
        <w:t xml:space="preserve">delineated </w:t>
      </w:r>
      <w:r w:rsidR="00D73193" w:rsidRPr="00F728BF">
        <w:t>GWPZ</w:t>
      </w:r>
      <w:r w:rsidR="00DE11D8" w:rsidRPr="00F728BF">
        <w:t xml:space="preserve"> and </w:t>
      </w:r>
      <w:r w:rsidR="00B23871" w:rsidRPr="00F728BF">
        <w:t xml:space="preserve">the </w:t>
      </w:r>
      <w:r w:rsidR="00DE11D8" w:rsidRPr="00F728BF">
        <w:t>identified groundwater recharge zone can be used as a primary source of information in making decisions related to groundwater management and r</w:t>
      </w:r>
      <w:r w:rsidR="00861B64" w:rsidRPr="00F728BF">
        <w:t>iver bas</w:t>
      </w:r>
      <w:r w:rsidR="00C43CB3" w:rsidRPr="00F728BF">
        <w:t>in planning which have a significant contribution to the watershed management effort of the country.</w:t>
      </w:r>
    </w:p>
    <w:p w:rsidR="00B65E4D" w:rsidRPr="00007594" w:rsidRDefault="000C5782" w:rsidP="008D3D8E">
      <w:pPr>
        <w:pStyle w:val="Heading2"/>
        <w:numPr>
          <w:ilvl w:val="1"/>
          <w:numId w:val="3"/>
        </w:numPr>
        <w:ind w:left="734" w:hanging="547"/>
      </w:pPr>
      <w:bookmarkStart w:id="248" w:name="_Toc68025109"/>
      <w:bookmarkStart w:id="249" w:name="_Toc68761591"/>
      <w:r w:rsidRPr="00007594">
        <w:t>Recommendations</w:t>
      </w:r>
      <w:bookmarkEnd w:id="248"/>
      <w:bookmarkEnd w:id="249"/>
    </w:p>
    <w:p w:rsidR="002E543E" w:rsidRPr="00F728BF" w:rsidRDefault="000B47E8" w:rsidP="00F728BF">
      <w:r w:rsidRPr="00F728BF">
        <w:t>Based on the major findings obtained from this study and the conclusion reached, the followin</w:t>
      </w:r>
      <w:r w:rsidR="006747F2" w:rsidRPr="00F728BF">
        <w:t xml:space="preserve">g recommendations are forwarded. </w:t>
      </w:r>
    </w:p>
    <w:p w:rsidR="00D632BC" w:rsidRPr="00F728BF" w:rsidRDefault="000B42CB" w:rsidP="008D3D8E">
      <w:pPr>
        <w:pStyle w:val="ListParagraph"/>
        <w:numPr>
          <w:ilvl w:val="0"/>
          <w:numId w:val="8"/>
        </w:numPr>
      </w:pPr>
      <w:r w:rsidRPr="00F728BF">
        <w:t>The physiographic, geology and climatic variability of Weyib Sub-basin demand a small-scale groundwater potential mapping. Therefore, it is recommended to conduct a further study of groundwater potential zonation by increasing the number of variables using high-quality (high spatial resolution) data.</w:t>
      </w:r>
    </w:p>
    <w:p w:rsidR="004B43EF" w:rsidRDefault="00D632BC" w:rsidP="008D3D8E">
      <w:pPr>
        <w:pStyle w:val="ListParagraph"/>
        <w:numPr>
          <w:ilvl w:val="0"/>
          <w:numId w:val="8"/>
        </w:numPr>
      </w:pPr>
      <w:r w:rsidRPr="00F728BF">
        <w:t xml:space="preserve">Bale Mountain highland is the major recharge zone of the study area. It is the </w:t>
      </w:r>
      <w:r w:rsidR="000B42CB" w:rsidRPr="00F728BF">
        <w:t>major source of surface and groundwater resources. To assure the groundwater quality and increase the available groundwater reserve</w:t>
      </w:r>
      <w:r w:rsidR="005C0CB9" w:rsidRPr="00F728BF">
        <w:t>,</w:t>
      </w:r>
      <w:r w:rsidR="000B42CB" w:rsidRPr="00F728BF">
        <w:t xml:space="preserve"> the </w:t>
      </w:r>
      <w:r w:rsidRPr="00F728BF">
        <w:t xml:space="preserve">area </w:t>
      </w:r>
      <w:r w:rsidR="000B42CB" w:rsidRPr="00F728BF">
        <w:t>shall be protected</w:t>
      </w:r>
      <w:r w:rsidR="004B43EF">
        <w:t>.</w:t>
      </w:r>
      <w:r w:rsidR="000B42CB" w:rsidRPr="00F728BF">
        <w:t xml:space="preserve"> </w:t>
      </w:r>
    </w:p>
    <w:p w:rsidR="00814C23" w:rsidRDefault="00A363FA" w:rsidP="008D3D8E">
      <w:pPr>
        <w:pStyle w:val="ListParagraph"/>
        <w:numPr>
          <w:ilvl w:val="0"/>
          <w:numId w:val="8"/>
        </w:numPr>
      </w:pPr>
      <w:r>
        <w:t xml:space="preserve">The suitability of </w:t>
      </w:r>
      <w:r w:rsidR="00DE2534">
        <w:t xml:space="preserve">identified </w:t>
      </w:r>
      <w:r w:rsidR="003D2BD9">
        <w:t>GWPZ was</w:t>
      </w:r>
      <w:r w:rsidR="00780798">
        <w:t xml:space="preserve"> not assessed </w:t>
      </w:r>
      <w:r w:rsidR="00DE2534">
        <w:t xml:space="preserve">for various </w:t>
      </w:r>
      <w:r w:rsidR="003D2BD9">
        <w:t xml:space="preserve">purposes. Further study is recommended to evaluate </w:t>
      </w:r>
      <w:r w:rsidR="005A7F1B">
        <w:t xml:space="preserve">the </w:t>
      </w:r>
      <w:r w:rsidR="003D2BD9">
        <w:t xml:space="preserve">suitability </w:t>
      </w:r>
      <w:r w:rsidR="005A7F1B">
        <w:t xml:space="preserve">of groundwater </w:t>
      </w:r>
      <w:r w:rsidR="003D2BD9">
        <w:t>potential zone for irrigation, water supply and other water resources development projects.</w:t>
      </w:r>
    </w:p>
    <w:p w:rsidR="009D2B8D" w:rsidRPr="009D2B8D" w:rsidRDefault="00814C23" w:rsidP="008D3D8E">
      <w:pPr>
        <w:pStyle w:val="ListParagraph"/>
        <w:numPr>
          <w:ilvl w:val="0"/>
          <w:numId w:val="8"/>
        </w:numPr>
      </w:pPr>
      <w:r w:rsidRPr="00814C23">
        <w:t>Human activities have been exerted small to large scale changes on the hydrological cycle</w:t>
      </w:r>
      <w:r w:rsidR="00ED263C">
        <w:t xml:space="preserve"> (Tadesse, 2017). </w:t>
      </w:r>
      <w:r w:rsidRPr="00814C23">
        <w:t>Evidences suggest that, with extreme urbanization, more than one-half of rainwater runs off and only a fraction of it goes</w:t>
      </w:r>
      <w:r w:rsidR="00ED263C">
        <w:t xml:space="preserve"> for deep infiltration (Arnold and</w:t>
      </w:r>
      <w:r w:rsidRPr="00814C23">
        <w:t xml:space="preserve"> Gibbons</w:t>
      </w:r>
      <w:r w:rsidR="00ED263C">
        <w:t>,</w:t>
      </w:r>
      <w:r w:rsidRPr="00814C23">
        <w:t xml:space="preserve"> 1996). The current scenario regarding groundwater resources suggests as the amount of water available is decreasing with time. Moreover, the problem is resulting in the global water crisis in terms of quantity (availability) and quality</w:t>
      </w:r>
      <w:r w:rsidR="00ED263C">
        <w:t xml:space="preserve"> (Sudhir et</w:t>
      </w:r>
      <w:r w:rsidR="00E4733F">
        <w:t xml:space="preserve"> a</w:t>
      </w:r>
      <w:r w:rsidR="00ED263C">
        <w:t>l</w:t>
      </w:r>
      <w:r w:rsidR="00E4733F">
        <w:t>.</w:t>
      </w:r>
      <w:r w:rsidR="00ED263C">
        <w:t xml:space="preserve">, </w:t>
      </w:r>
      <w:r w:rsidR="00ED263C" w:rsidRPr="00ED263C">
        <w:t>2010</w:t>
      </w:r>
      <w:r w:rsidR="00ED263C">
        <w:t>).</w:t>
      </w:r>
      <w:r w:rsidR="00E4733F">
        <w:t xml:space="preserve"> </w:t>
      </w:r>
      <w:r>
        <w:t>Therefore</w:t>
      </w:r>
      <w:r w:rsidR="00434094">
        <w:t>,</w:t>
      </w:r>
      <w:r>
        <w:t xml:space="preserve"> it is recommended to </w:t>
      </w:r>
      <w:r w:rsidR="008C737D">
        <w:t>assess</w:t>
      </w:r>
      <w:r>
        <w:t xml:space="preserve"> the</w:t>
      </w:r>
      <w:r w:rsidRPr="00814C23">
        <w:t xml:space="preserve"> effect</w:t>
      </w:r>
      <w:r w:rsidR="005608B8">
        <w:t xml:space="preserve">/impact of LU/LC change and </w:t>
      </w:r>
      <w:r w:rsidR="00377ACB">
        <w:t xml:space="preserve">over pumping </w:t>
      </w:r>
      <w:r w:rsidRPr="00814C23">
        <w:t>on the groundwater recharge and potential zone</w:t>
      </w:r>
      <w:r w:rsidR="00903539">
        <w:t xml:space="preserve"> of study area</w:t>
      </w:r>
      <w:r w:rsidR="00434094">
        <w:t>.</w:t>
      </w:r>
    </w:p>
    <w:p w:rsidR="00E62D52" w:rsidRDefault="00926640" w:rsidP="008D3D8E">
      <w:pPr>
        <w:pStyle w:val="ListParagraph"/>
        <w:numPr>
          <w:ilvl w:val="0"/>
          <w:numId w:val="8"/>
        </w:numPr>
      </w:pPr>
      <w:r w:rsidRPr="00926640">
        <w:lastRenderedPageBreak/>
        <w:t>Since the time and resources are limited the study does not include analysis of groundwater water quality and the structural design of groundwater conveyance structures (borehole/dug well depth, cross-section etc.), rather than mapping every zone in the sub-basin with their respective potential and proposing zones of suitable groundwater potential.</w:t>
      </w:r>
      <w:r w:rsidR="00FB7C40">
        <w:t xml:space="preserve"> Hence, it is recommended </w:t>
      </w:r>
      <w:r w:rsidR="00F60125" w:rsidRPr="00935D8E">
        <w:t xml:space="preserve">to assess the quality of identified </w:t>
      </w:r>
      <w:r w:rsidR="00651119">
        <w:t xml:space="preserve">suitable </w:t>
      </w:r>
      <w:r w:rsidR="00F60125" w:rsidRPr="00935D8E">
        <w:t>groundwater potential zone</w:t>
      </w:r>
      <w:r w:rsidR="00F60125">
        <w:t xml:space="preserve"> and </w:t>
      </w:r>
      <w:r w:rsidR="00FB7C40">
        <w:t>conduct a detailed hydrogeological study</w:t>
      </w:r>
      <w:r w:rsidR="00E14A42">
        <w:t xml:space="preserve"> to identify the</w:t>
      </w:r>
      <w:r w:rsidR="00FB7C40">
        <w:t xml:space="preserve"> specific location of water points</w:t>
      </w:r>
      <w:r w:rsidR="00AB156A">
        <w:t xml:space="preserve"> in </w:t>
      </w:r>
      <w:r w:rsidR="006335BE">
        <w:t>v</w:t>
      </w:r>
      <w:r w:rsidR="00AB156A">
        <w:t>ery high and high GWPZ</w:t>
      </w:r>
      <w:r w:rsidR="00276721">
        <w:t>.</w:t>
      </w:r>
    </w:p>
    <w:p w:rsidR="00126D65" w:rsidRDefault="00651119" w:rsidP="008D3D8E">
      <w:pPr>
        <w:pStyle w:val="ListParagraph"/>
        <w:numPr>
          <w:ilvl w:val="0"/>
          <w:numId w:val="10"/>
        </w:numPr>
      </w:pPr>
      <w:r w:rsidRPr="00651119">
        <w:t xml:space="preserve">This study specifically focuses on mapping the groundwater potential zone of Weyib Sub-basin. As it was a qualitative study the recharge and groundwater storage was not quantified. Hence, it is recommended to conduct </w:t>
      </w:r>
      <w:r w:rsidR="004F4B22">
        <w:t xml:space="preserve">a detail </w:t>
      </w:r>
      <w:r w:rsidR="00126D65">
        <w:t>quantitative study</w:t>
      </w:r>
      <w:r w:rsidR="004F4B22">
        <w:t xml:space="preserve"> using hydrological models</w:t>
      </w:r>
      <w:r w:rsidR="00126D65">
        <w:t>.</w:t>
      </w:r>
    </w:p>
    <w:p w:rsidR="00F769BA" w:rsidRDefault="001A3B55" w:rsidP="008D3D8E">
      <w:pPr>
        <w:pStyle w:val="ListParagraph"/>
        <w:numPr>
          <w:ilvl w:val="0"/>
          <w:numId w:val="10"/>
        </w:numPr>
      </w:pPr>
      <w:r w:rsidRPr="001A3B55">
        <w:t>T</w:t>
      </w:r>
      <w:r w:rsidR="00FB7C40" w:rsidRPr="001A3B55">
        <w:t xml:space="preserve">o delineate the GWPZ </w:t>
      </w:r>
      <w:r w:rsidR="004F5614">
        <w:t>of Weyib</w:t>
      </w:r>
      <w:r w:rsidRPr="001A3B55">
        <w:t xml:space="preserve"> sub-basin various </w:t>
      </w:r>
      <w:r w:rsidR="007837C0">
        <w:t xml:space="preserve">secondary </w:t>
      </w:r>
      <w:r w:rsidRPr="001A3B55">
        <w:t xml:space="preserve">data were collected </w:t>
      </w:r>
      <w:r w:rsidR="00FB7C40" w:rsidRPr="001A3B55">
        <w:t>from varying source</w:t>
      </w:r>
      <w:r w:rsidRPr="001A3B55">
        <w:t>s</w:t>
      </w:r>
      <w:r w:rsidR="00FB7C40" w:rsidRPr="001A3B55">
        <w:t xml:space="preserve">. </w:t>
      </w:r>
      <w:r w:rsidR="00435ED8">
        <w:t xml:space="preserve">Even though the data quality was checked by using various methods, </w:t>
      </w:r>
      <w:r w:rsidR="00AD09CE">
        <w:t>the collected data w</w:t>
      </w:r>
      <w:r w:rsidR="006177B6">
        <w:t>as</w:t>
      </w:r>
      <w:r w:rsidR="00AD09CE">
        <w:t xml:space="preserve"> not cross-checked with </w:t>
      </w:r>
      <w:r w:rsidR="00195E20">
        <w:t xml:space="preserve">the </w:t>
      </w:r>
      <w:r w:rsidR="00AD09CE">
        <w:t xml:space="preserve">field </w:t>
      </w:r>
      <w:r w:rsidR="00AD09CE" w:rsidRPr="00276721">
        <w:t>investigation</w:t>
      </w:r>
      <w:r w:rsidR="006177B6">
        <w:t xml:space="preserve"> (</w:t>
      </w:r>
      <w:r w:rsidR="00E62D52" w:rsidRPr="00276721">
        <w:t>except for those factors which does not require much effort</w:t>
      </w:r>
      <w:r w:rsidR="006177B6">
        <w:t>)</w:t>
      </w:r>
      <w:r w:rsidR="00E62D52" w:rsidRPr="00276721">
        <w:t>.</w:t>
      </w:r>
      <w:r w:rsidR="0068610A">
        <w:t xml:space="preserve"> </w:t>
      </w:r>
      <w:r w:rsidR="00A07605" w:rsidRPr="00276721">
        <w:t>Having</w:t>
      </w:r>
      <w:r w:rsidR="00276721" w:rsidRPr="00276721">
        <w:t xml:space="preserve"> well organized </w:t>
      </w:r>
      <w:r w:rsidR="006177B6">
        <w:t xml:space="preserve">and updated </w:t>
      </w:r>
      <w:r w:rsidR="00276721" w:rsidRPr="00276721">
        <w:t>data</w:t>
      </w:r>
      <w:r w:rsidR="00A07605" w:rsidRPr="00276721">
        <w:t xml:space="preserve">base system in different governmental organization </w:t>
      </w:r>
      <w:r w:rsidR="0068610A">
        <w:t xml:space="preserve">and conducting a detailed field investigation </w:t>
      </w:r>
      <w:r w:rsidR="00A07605" w:rsidRPr="00276721">
        <w:t>will reduce the</w:t>
      </w:r>
      <w:r w:rsidR="00FB7C40" w:rsidRPr="00276721">
        <w:t xml:space="preserve"> inconsistency and missing of data that has been widely shown </w:t>
      </w:r>
      <w:r w:rsidR="00A07605" w:rsidRPr="00276721">
        <w:t>(</w:t>
      </w:r>
      <w:r w:rsidR="00FB7C40" w:rsidRPr="00276721">
        <w:t>may result in inaccuracy of results</w:t>
      </w:r>
      <w:r w:rsidR="00A07605" w:rsidRPr="00276721">
        <w:t>)</w:t>
      </w:r>
      <w:r w:rsidR="00FB7C40" w:rsidRPr="00276721">
        <w:t xml:space="preserve">. </w:t>
      </w:r>
      <w:r w:rsidR="009F744C">
        <w:t>Hence it is recommended to</w:t>
      </w:r>
      <w:r w:rsidR="00F769BA">
        <w:t xml:space="preserve"> </w:t>
      </w:r>
      <w:r w:rsidR="00F769BA" w:rsidRPr="00F769BA">
        <w:t>hav</w:t>
      </w:r>
      <w:r w:rsidR="00F769BA">
        <w:t xml:space="preserve">e </w:t>
      </w:r>
      <w:r w:rsidR="00F769BA" w:rsidRPr="00F769BA">
        <w:t>well organized and updated database system in different governmen</w:t>
      </w:r>
      <w:r w:rsidR="00F769BA">
        <w:t xml:space="preserve">tal organization and conduct </w:t>
      </w:r>
      <w:r w:rsidR="00F769BA" w:rsidRPr="00F769BA">
        <w:t>a detailed field investigation</w:t>
      </w:r>
      <w:r w:rsidR="00F769BA">
        <w:t>,</w:t>
      </w:r>
      <w:r w:rsidR="00F769BA" w:rsidRPr="00F769BA">
        <w:t xml:space="preserve"> </w:t>
      </w:r>
      <w:r w:rsidR="00F769BA">
        <w:t>s</w:t>
      </w:r>
      <w:r w:rsidR="00276721" w:rsidRPr="00276721">
        <w:t>o</w:t>
      </w:r>
      <w:r w:rsidR="00FB7C40" w:rsidRPr="00276721">
        <w:t xml:space="preserve"> as to provide accurate data about the hydrogeological and hydrological systems </w:t>
      </w:r>
      <w:r w:rsidR="00F769BA">
        <w:t>of the sub-basin</w:t>
      </w:r>
    </w:p>
    <w:p w:rsidR="00555B25" w:rsidRDefault="00555B25" w:rsidP="00F728BF"/>
    <w:p w:rsidR="00555B25" w:rsidRDefault="00555B25" w:rsidP="00F728BF"/>
    <w:p w:rsidR="0052059E" w:rsidRDefault="0052059E" w:rsidP="00F728BF"/>
    <w:p w:rsidR="00243D80" w:rsidRDefault="00243D80" w:rsidP="00F728BF"/>
    <w:p w:rsidR="00891501" w:rsidRDefault="00891501" w:rsidP="00F728BF"/>
    <w:p w:rsidR="00891501" w:rsidRPr="00935D8E" w:rsidRDefault="00891501" w:rsidP="00F728BF"/>
    <w:p w:rsidR="007F445F" w:rsidRDefault="00AB64F8" w:rsidP="00D12190">
      <w:pPr>
        <w:pStyle w:val="Heading1"/>
        <w:numPr>
          <w:ilvl w:val="0"/>
          <w:numId w:val="3"/>
        </w:numPr>
      </w:pPr>
      <w:bookmarkStart w:id="250" w:name="_Toc68025110"/>
      <w:bookmarkStart w:id="251" w:name="_Toc68761592"/>
      <w:r w:rsidRPr="00935D8E">
        <w:lastRenderedPageBreak/>
        <w:t>REFERENCES</w:t>
      </w:r>
      <w:bookmarkEnd w:id="250"/>
      <w:bookmarkEnd w:id="251"/>
    </w:p>
    <w:p w:rsidR="00EC045D" w:rsidRDefault="00014FB3" w:rsidP="00EC045D">
      <w:pPr>
        <w:ind w:left="720" w:hanging="720"/>
      </w:pPr>
      <w:r>
        <w:t>Abdelkareem, O. E. A., H. M. A. Elamin, M. E. S. Eltahir, H. E. Adam, M. E. Elhaja, A. M. Rahamtalla, O. Babatunde and C. Elmar. 2018. Accuracy assessment of land use land cover in Umabdalla natural reserved forest, South Kordofan, Sudan. International Journal of Agricultural and Environmental Sciences 3(1):5–9.</w:t>
      </w:r>
    </w:p>
    <w:p w:rsidR="00014FB3" w:rsidRDefault="00014FB3" w:rsidP="00637695">
      <w:pPr>
        <w:ind w:left="720" w:hanging="720"/>
      </w:pPr>
      <w:r>
        <w:t>Abraham, Shiny, Chau Huynh and Huy Vu. 2019. Classification of soils into Hydrologic groups using Machine learning. Creative Commons Attribution 5(2):1–14.</w:t>
      </w:r>
    </w:p>
    <w:p w:rsidR="00014FB3" w:rsidRDefault="00014FB3" w:rsidP="00637695">
      <w:pPr>
        <w:ind w:left="720" w:hanging="720"/>
      </w:pPr>
      <w:r>
        <w:t>Adiat, K. A. N., M. N. M. Nawawi and K. Abdullah. 2012. Assessing the accuracy of GIS Based Elementary Multicriteria Decision Analysis as a Spatial Prediction Tool: A case of predicting potential zones of sustainable groundwater resources. Journal of Hydrology 440:75–89.</w:t>
      </w:r>
    </w:p>
    <w:p w:rsidR="00014FB3" w:rsidRDefault="00014FB3" w:rsidP="00637695">
      <w:pPr>
        <w:ind w:left="720" w:hanging="720"/>
      </w:pPr>
      <w:r>
        <w:t>Ahmed, Alaa, Mahmoud El Ammawy, Abdel Galil Hewaidy, Bothaina Moussa, Nabil Abdel Hafz and El Sayed El Abd. 2019. Mapping of lineaments for groundwater assessment in the Desert Fringes East El-Minia, Eastern Desert, Egypt. Environmental Monitoring and Assessment 191:556.</w:t>
      </w:r>
    </w:p>
    <w:p w:rsidR="00014FB3" w:rsidRDefault="00014FB3" w:rsidP="00637695">
      <w:pPr>
        <w:ind w:left="720" w:hanging="720"/>
      </w:pPr>
      <w:r>
        <w:t>Aldharab, Hamdi S., Syed Ahmad Ali, Javed Ikbal and Saleh A. Ghareb. 2018. Spatial analysis of lineaments and their tectonic significance using Landsat Imagery in Alarasah Area-Southeastern Central Yemen. Journal of Geography, Environment and Earth Science International 18(2):1–13.</w:t>
      </w:r>
    </w:p>
    <w:p w:rsidR="00014FB3" w:rsidRDefault="00014FB3" w:rsidP="00637695">
      <w:pPr>
        <w:ind w:left="720" w:hanging="720"/>
      </w:pPr>
      <w:r>
        <w:t xml:space="preserve">Alemayehu, Bireda. 2015. GIS and Remote Sensing based LU/LC change detection and prediction in Fagita Lekoma Woreda, Awi Zone, North Western Ethiopia. M.Sc Thesis. Addis Ababa University. Addis Ababa, Ethiopia. 85 p. </w:t>
      </w:r>
    </w:p>
    <w:p w:rsidR="00014FB3" w:rsidRDefault="00014FB3" w:rsidP="00637695">
      <w:pPr>
        <w:ind w:left="720" w:hanging="720"/>
      </w:pPr>
      <w:r>
        <w:t>Alemayehu, Daniel, Meseret Tadesse and Mohammed Abdul Athick. 2018. Application of TPI for analysis of landforms and LU/LC of Adama Wereda, Ethiopia. Journal of Geographical Studies 2(2):100–109.</w:t>
      </w:r>
    </w:p>
    <w:p w:rsidR="00014FB3" w:rsidRDefault="00014FB3" w:rsidP="00637695">
      <w:pPr>
        <w:ind w:left="720" w:hanging="720"/>
      </w:pPr>
      <w:r>
        <w:t>Alemayehu, T. 2006. Groundwater o</w:t>
      </w:r>
      <w:r w:rsidR="00755149">
        <w:t>ccurrence in Ethiopia. Addis Aba</w:t>
      </w:r>
      <w:r>
        <w:t xml:space="preserve">ba University Press. Addis Ababa, Ethiopia 97 p. </w:t>
      </w:r>
    </w:p>
    <w:p w:rsidR="003076C9" w:rsidRDefault="003076C9" w:rsidP="00637695">
      <w:pPr>
        <w:ind w:left="720" w:hanging="720"/>
      </w:pPr>
      <w:r w:rsidRPr="003076C9">
        <w:t>Al-Muqdadi S. W. H., R. Abo, M. O. Khattab a</w:t>
      </w:r>
      <w:r>
        <w:t>nd F. M. A-</w:t>
      </w:r>
      <w:r w:rsidRPr="003076C9">
        <w:t>Hussein. 2020. Groundwater flow-modeling and sensitivity analysis in a Hyper Arid Region. Water 12:2131</w:t>
      </w:r>
      <w:r w:rsidR="00891501">
        <w:t>.</w:t>
      </w:r>
    </w:p>
    <w:p w:rsidR="000153AF" w:rsidRDefault="000153AF" w:rsidP="00637695">
      <w:pPr>
        <w:ind w:left="720" w:hanging="720"/>
      </w:pPr>
      <w:r w:rsidRPr="000153AF">
        <w:lastRenderedPageBreak/>
        <w:t>Al-Sudani, H. I. Z. 2018. “Study of Morphometric Properties and Water Balance Using Thornthwaite Method in Khanaqin Basin, East of Iraq. Journal of University of Babylon, Engineering Sciences</w:t>
      </w:r>
      <w:r>
        <w:t xml:space="preserve"> (</w:t>
      </w:r>
      <w:r w:rsidRPr="000153AF">
        <w:t>JUBES</w:t>
      </w:r>
      <w:r>
        <w:t>)</w:t>
      </w:r>
      <w:r w:rsidRPr="000153AF">
        <w:t>. 26(3):165 – 175.</w:t>
      </w:r>
    </w:p>
    <w:p w:rsidR="00014FB3" w:rsidRDefault="00014FB3" w:rsidP="00637695">
      <w:pPr>
        <w:ind w:left="720" w:hanging="720"/>
      </w:pPr>
      <w:r>
        <w:t>Amah, E. A. and M. A. Agbebia. 2015. Determination of groundwater flow direction in Ekintae Limestone Quarry near Mfamosing, Southeast, Nigeria. International Journal of Geology, Agriculture and Environmental Sciences 3:1–5.</w:t>
      </w:r>
    </w:p>
    <w:p w:rsidR="00014FB3" w:rsidRDefault="00014FB3" w:rsidP="00637695">
      <w:pPr>
        <w:ind w:left="720" w:hanging="720"/>
      </w:pPr>
      <w:r>
        <w:t>Andualem, Tesfa Gebrie and Girum Getachew Demeke. 2019. Groundwater potential assessment using GIS and Remote Sensing: A case study of Guna Tana Landscape, Upper Blue Nile Basin, Ethiopia. Journal of Hydrology: Regional Studies 24:100610.</w:t>
      </w:r>
    </w:p>
    <w:p w:rsidR="00014FB3" w:rsidRDefault="00014FB3" w:rsidP="00637695">
      <w:pPr>
        <w:ind w:left="720" w:hanging="720"/>
      </w:pPr>
      <w:r>
        <w:t>Aredo, Mesfin Reta. 2018. Impact of LU/LC change on stream flow using MIKE SHE: case study of Shaya catchment, Ethiopia. M.Sc Thesis. Arba Minch University, Arba Minch, Ethiopia 84 p.</w:t>
      </w:r>
    </w:p>
    <w:p w:rsidR="00014FB3" w:rsidRDefault="00014FB3" w:rsidP="00637695">
      <w:pPr>
        <w:ind w:left="720" w:hanging="720"/>
      </w:pPr>
      <w:r>
        <w:t>Arnold, J. G., R. Srinivasan, R. S. Muttiah and J. R. Williams. 1998. Large area hydrologic modeling and assessment Part I: Model Development. Journal of American Water Resources Association 34(1):73–89.</w:t>
      </w:r>
    </w:p>
    <w:p w:rsidR="00973488" w:rsidRDefault="00014FB3" w:rsidP="00643EFF">
      <w:pPr>
        <w:ind w:left="720" w:hanging="720"/>
      </w:pPr>
      <w:r>
        <w:t>Arshad, Arfan, Zhijie Zhang, Wanchang Zhang and Adil Dilawar. 2020. Geoscience frontiers mapping favorable groundwater potential recharge zones using a GIS-based analytical hierarchical process and probability frequency ratio model : A case study from an Agro-Urban region of Pakistan. Geoscience Frontiers 11:1805–19.</w:t>
      </w:r>
    </w:p>
    <w:p w:rsidR="00643EFF" w:rsidRDefault="00643EFF" w:rsidP="00643EFF">
      <w:pPr>
        <w:ind w:left="720" w:hanging="720"/>
      </w:pPr>
      <w:r>
        <w:t>Asrat, Asfawossen. 2015</w:t>
      </w:r>
      <w:r w:rsidRPr="00643EFF">
        <w:t>. Geology, geomorphology, geodiversity and geoconservation of the Sof</w:t>
      </w:r>
      <w:r>
        <w:t xml:space="preserve"> Omar Cave s</w:t>
      </w:r>
      <w:r w:rsidRPr="00643EFF">
        <w:t>ystem, Southeastern Ethiopia. Journal of African Earth Sciences. 108. 10.1016/j.jafrearsci.2015.04.015.</w:t>
      </w:r>
    </w:p>
    <w:p w:rsidR="008217E6" w:rsidRDefault="008217E6" w:rsidP="00637695">
      <w:pPr>
        <w:ind w:left="720" w:hanging="720"/>
      </w:pPr>
      <w:r w:rsidRPr="008217E6">
        <w:t>Atangana, A. and Botha, J. F. 2013. Generalized groundwater flow equation using the concept of variable order derivative. Boundary Value Problems. 2013:53. 10.1186/1687-2770-2013-53.</w:t>
      </w:r>
    </w:p>
    <w:p w:rsidR="00014FB3" w:rsidRDefault="00014FB3" w:rsidP="00637695">
      <w:pPr>
        <w:ind w:left="720" w:hanging="720"/>
      </w:pPr>
      <w:r>
        <w:t>Awulachew, Seleshi Bekele, Aster Denekew Yilma, Makonnen Loulseged, Willibald Loiskandl, Mekonnen Ayana and Tena Alamirew. 2007. Water resources and irrigation development in Ethiopia working paper 123. Colombo, Sri Lanka.</w:t>
      </w:r>
    </w:p>
    <w:p w:rsidR="00014FB3" w:rsidRDefault="00014FB3" w:rsidP="00637695">
      <w:pPr>
        <w:ind w:left="720" w:hanging="720"/>
      </w:pPr>
      <w:r>
        <w:lastRenderedPageBreak/>
        <w:t>Ayenew, Tenalem, Merhawi GebreEgziabher, Seifu Kebede, and Sileshi Mamo. 2013. Integrated assessment of hydrogeology and water quality for groundwater-based irrigation development in the Raya Valley, Northern Ethiopia. Water International 38:480–92.</w:t>
      </w:r>
    </w:p>
    <w:p w:rsidR="00014FB3" w:rsidRDefault="00014FB3" w:rsidP="00637695">
      <w:pPr>
        <w:ind w:left="720" w:hanging="720"/>
      </w:pPr>
      <w:r>
        <w:t>Baby, Saji. 2013. AHP modeling for multicriteria decision-making and to optimise strategies for protecting coastal landscape resources. International Journal of Innovation, Management and Technology 4(2):218–27.</w:t>
      </w:r>
    </w:p>
    <w:p w:rsidR="00C629C4" w:rsidRDefault="00C629C4" w:rsidP="00637695">
      <w:pPr>
        <w:ind w:left="720" w:hanging="720"/>
      </w:pPr>
      <w:r>
        <w:t xml:space="preserve">Balasubramanian, A. </w:t>
      </w:r>
      <w:r w:rsidRPr="00C629C4">
        <w:t>2007</w:t>
      </w:r>
      <w:r>
        <w:t>. Methods of groundwater e</w:t>
      </w:r>
      <w:r w:rsidRPr="00C629C4">
        <w:t>xploration</w:t>
      </w:r>
      <w:r w:rsidR="00500674">
        <w:t xml:space="preserve">. </w:t>
      </w:r>
      <w:r w:rsidR="00500674" w:rsidRPr="00500674">
        <w:t>Centre for</w:t>
      </w:r>
      <w:r w:rsidR="00500674">
        <w:t xml:space="preserve"> a</w:t>
      </w:r>
      <w:r w:rsidR="00500674" w:rsidRPr="00500674">
        <w:t>dvanced Studies in Earth Science</w:t>
      </w:r>
      <w:r w:rsidR="00500674">
        <w:t xml:space="preserve">, </w:t>
      </w:r>
      <w:r w:rsidR="00500674" w:rsidRPr="00500674">
        <w:t>Univ</w:t>
      </w:r>
      <w:r w:rsidR="00500674">
        <w:t>ersity o</w:t>
      </w:r>
      <w:r w:rsidR="00500674" w:rsidRPr="00500674">
        <w:t>f Mysore</w:t>
      </w:r>
      <w:r w:rsidRPr="00C629C4">
        <w:t>.</w:t>
      </w:r>
      <w:r w:rsidR="00500674" w:rsidRPr="00500674">
        <w:t xml:space="preserve"> Mysore-6</w:t>
      </w:r>
      <w:r w:rsidR="00FD7C14">
        <w:t>.</w:t>
      </w:r>
      <w:r w:rsidR="00891501">
        <w:t xml:space="preserve"> </w:t>
      </w:r>
      <w:r w:rsidR="00500674">
        <w:t>1-13</w:t>
      </w:r>
      <w:r w:rsidR="00891501">
        <w:t xml:space="preserve"> p.</w:t>
      </w:r>
    </w:p>
    <w:p w:rsidR="00014FB3" w:rsidRDefault="00014FB3" w:rsidP="00637695">
      <w:pPr>
        <w:ind w:left="720" w:hanging="720"/>
      </w:pPr>
      <w:r>
        <w:t>Banti, Bane Lammesa. 2017. Groundwater potential and recharge zone mapping by using GIS and Remote Sensing techniques in the case of Middle Awash River Basins, Ethiopia. M.Sc Thesis. Addis Ababa University. Addis Ababa, Ethiopia. 66 p.</w:t>
      </w:r>
    </w:p>
    <w:p w:rsidR="00014FB3" w:rsidRDefault="00014FB3" w:rsidP="00637695">
      <w:pPr>
        <w:ind w:left="720" w:hanging="720"/>
      </w:pPr>
      <w:r>
        <w:t>Barbalho, Fernando D., Gabriela F. N. DaSilva and Klebber T. M. Formiga. 2014. Average rainfall estimation: methods performance comparison in the Brazilian Semi-Arid. Journal of Water Resource and Protection 6(2):97–103.</w:t>
      </w:r>
    </w:p>
    <w:p w:rsidR="006512C4" w:rsidRDefault="006512C4" w:rsidP="00637695">
      <w:pPr>
        <w:ind w:left="720" w:hanging="720"/>
      </w:pPr>
      <w:r w:rsidRPr="006512C4">
        <w:t>Bayih, Berhanu &amp; Tola, Mesfin. 2017. Practices and challenges of promoting major tourism destinations of Bale Zone for sustainable tourism development in Ethiopia. African Journal of Hospita</w:t>
      </w:r>
      <w:r>
        <w:t>lity, Tourism and Leisure 6(2):</w:t>
      </w:r>
      <w:r w:rsidRPr="006512C4">
        <w:t>19. ISSN: 2223-814X. http//:www.ajhtl.com</w:t>
      </w:r>
    </w:p>
    <w:p w:rsidR="00014FB3" w:rsidRDefault="00014FB3" w:rsidP="00637695">
      <w:pPr>
        <w:ind w:left="720" w:hanging="720"/>
      </w:pPr>
      <w:r>
        <w:t>Behzad, Hamid M., Abbas Charchi, Nasrolah Kalantari and Hossein Karimi Vadanjani. 2017. Delineation of groundwater potential zones using Remote Sensing (RS), Geographical Information System (GIS) and Analytic Hierarchy Process (AHP) techniques: A case study in the Leylia–Keynow Watershed, Southwest of Iran. Carbonates and Evaporites 7(2).</w:t>
      </w:r>
    </w:p>
    <w:p w:rsidR="00014FB3" w:rsidRDefault="00014FB3" w:rsidP="00637695">
      <w:pPr>
        <w:ind w:left="720" w:hanging="720"/>
      </w:pPr>
      <w:r>
        <w:t>Belachew, Tadyalehu Mulatu. 2018. Impact of climate change on flood frequency of Tegona River, Ethiopia. M.Sc Thesis. Arba Minch University, Arba Minch, Ethiopia. 91 p.</w:t>
      </w:r>
    </w:p>
    <w:p w:rsidR="00DD0274" w:rsidRDefault="00014FB3" w:rsidP="00DD0274">
      <w:pPr>
        <w:ind w:left="720" w:hanging="720"/>
      </w:pPr>
      <w:r>
        <w:t xml:space="preserve">Berhanu, Belete, Assefa M. Melesse and Yilma Sileshi. 2013. GIS-based hydrological </w:t>
      </w:r>
      <w:r w:rsidRPr="00DD0274">
        <w:t xml:space="preserve">zones and soil geo-database of Ethiopia. </w:t>
      </w:r>
      <w:r w:rsidR="00DD0274" w:rsidRPr="00DD0274">
        <w:t>CATENA 104:21–31. ISSN 0341-8162, https://doi.org/10.1016/j.catena.2012.12.007.</w:t>
      </w:r>
    </w:p>
    <w:p w:rsidR="001051A8" w:rsidRDefault="001051A8" w:rsidP="00637695">
      <w:pPr>
        <w:ind w:left="720" w:hanging="720"/>
      </w:pPr>
      <w:r>
        <w:lastRenderedPageBreak/>
        <w:t xml:space="preserve">Berhanu B., Seleshi Y., and </w:t>
      </w:r>
      <w:r w:rsidRPr="001051A8">
        <w:t>Melesse A. 2014</w:t>
      </w:r>
      <w:r>
        <w:t>.</w:t>
      </w:r>
      <w:r w:rsidRPr="001051A8">
        <w:t xml:space="preserve"> Surface Water and Groundwater Resources of Ethiopia: Potentials and Challenges of Water Resources Development. In: Melesse A., Abtew W., Setegn S. (eds) Nile River Basin. Springer, Cham. </w:t>
      </w:r>
      <w:r w:rsidR="00E17C26">
        <w:t xml:space="preserve">97–117. </w:t>
      </w:r>
      <w:r w:rsidRPr="001051A8">
        <w:t>https://doi.org/10.1007/978-3-319-02720-3_6</w:t>
      </w:r>
    </w:p>
    <w:p w:rsidR="00014FB3" w:rsidRDefault="00014FB3" w:rsidP="00637695">
      <w:pPr>
        <w:ind w:left="720" w:hanging="720"/>
      </w:pPr>
      <w:r>
        <w:t>Berhanu, Kibrit Gedam and Samuel Dagalo Hatiye. 2020. Identification of groundwater potential zones using proxy data: case study of Megech Watershed, Ethiopia. Journal of Hydrology: Regional Studies 28(2):1–20.</w:t>
      </w:r>
    </w:p>
    <w:p w:rsidR="00014FB3" w:rsidRDefault="00014FB3" w:rsidP="00637695">
      <w:pPr>
        <w:ind w:left="720" w:hanging="720"/>
      </w:pPr>
      <w:r>
        <w:t>Blaszczynski, Jacek S. 1997. Landform Characterization with geographic information systems. Photogrammetric Engineering and Remote Sensing 63(2):183–91.</w:t>
      </w:r>
    </w:p>
    <w:p w:rsidR="00643EFF" w:rsidRDefault="00643EFF" w:rsidP="00637695">
      <w:pPr>
        <w:ind w:left="720" w:hanging="720"/>
      </w:pPr>
      <w:r w:rsidRPr="00643EFF">
        <w:t>Bob Gulden. 2020. World’s longest caves. NSS Geo2, Bob Gulden NSS#13188LF. http://www.caverbob.com</w:t>
      </w:r>
    </w:p>
    <w:p w:rsidR="0068089A" w:rsidRDefault="0068089A" w:rsidP="0068089A">
      <w:pPr>
        <w:ind w:left="720" w:hanging="720"/>
      </w:pPr>
      <w:r>
        <w:t>California Department of Water Resources (CADWR). 2005. Integrated water flow model (IWFM v2.3): Theoretical documentation, Modeling Support Branch, Bay-Delta Office, Sacramento, CA.</w:t>
      </w:r>
    </w:p>
    <w:p w:rsidR="00014FB3" w:rsidRDefault="00014FB3" w:rsidP="00637695">
      <w:pPr>
        <w:ind w:left="720" w:hanging="720"/>
      </w:pPr>
      <w:r>
        <w:t>Camberlin, Pierre. 1996. Rainfall anomalies in the source region of the Nile and their connection with the Indian Summer Monsoon. Journal of Climate 10:1380–1392.</w:t>
      </w:r>
    </w:p>
    <w:p w:rsidR="00014FB3" w:rsidRDefault="00014FB3" w:rsidP="00637695">
      <w:pPr>
        <w:ind w:left="720" w:hanging="720"/>
      </w:pPr>
      <w:r>
        <w:t>Çelik, Recep. 2019. Evaluation of groundwater potential by gis-based multicriteria decision making as a spatial prediction tool : case study in the Tigris River. Water 11:1–16.</w:t>
      </w:r>
    </w:p>
    <w:p w:rsidR="00014FB3" w:rsidRDefault="00014FB3" w:rsidP="00637695">
      <w:pPr>
        <w:ind w:left="720" w:hanging="720"/>
      </w:pPr>
      <w:r>
        <w:t>Chandra, S., PK. Singh, AK. Tiwari, B. Panigrahy and A. Kumar. 2015. Evaluation of hydrogeological factor and their relationship with seasonal water table fluctuation in Dhanbad District, Jharkhand, India. ISH Journal of Hydraulic Engineering 21:1–14.</w:t>
      </w:r>
    </w:p>
    <w:p w:rsidR="00014FB3" w:rsidRDefault="00014FB3" w:rsidP="00637695">
      <w:pPr>
        <w:ind w:left="720" w:hanging="720"/>
      </w:pPr>
      <w:r>
        <w:t>Chowdhury, A., M. K. Jha, V. M. Chowdary and B. C. Mal. 2009. Integrated Remote Sensing and GIS‐based approach for assessing groundwater potential in West Medinipur District, West Bengal, India. International Journal of Remote Sensing 30(1):231–50.</w:t>
      </w:r>
    </w:p>
    <w:p w:rsidR="00753D54" w:rsidRDefault="00753D54" w:rsidP="00637695">
      <w:pPr>
        <w:ind w:left="720" w:hanging="720"/>
      </w:pPr>
      <w:r w:rsidRPr="00753D54">
        <w:t>Coatfs, D.R. 1988. Groundwater exploration. In: General Geology. Encyclopedia of Earth Science. Springer, Boston, MA. https://doi.org/10.1007/0-387-30844-X_53</w:t>
      </w:r>
      <w:r w:rsidR="00891501">
        <w:t>.</w:t>
      </w:r>
    </w:p>
    <w:p w:rsidR="00643EFF" w:rsidRDefault="00014FB3" w:rsidP="00643EFF">
      <w:pPr>
        <w:ind w:left="720" w:hanging="720"/>
      </w:pPr>
      <w:r>
        <w:lastRenderedPageBreak/>
        <w:t>Conlon, Terrence D., Karl C. Wozniak, Douglas Woodcock, Nora B. Herrera, Bruce J. Fisher, David S. Morgan, Karl K. Lee and Stephen R. Hinkle. 2005. Groundwater hydrology of the Willamette Basin, Oregon. 83 p.</w:t>
      </w:r>
    </w:p>
    <w:p w:rsidR="00643EFF" w:rsidRDefault="00643EFF" w:rsidP="00643EFF">
      <w:pPr>
        <w:ind w:left="720" w:hanging="720"/>
      </w:pPr>
      <w:r w:rsidRPr="00643EFF">
        <w:t>Courbon P.,</w:t>
      </w:r>
      <w:r>
        <w:t xml:space="preserve"> </w:t>
      </w:r>
      <w:r w:rsidRPr="00643EFF">
        <w:t>C. Chabert, P. Bosted, K. Lindsley. 1989. Atlas of the Great Caves of the World. Cave Books; 1st U.S. Edition.</w:t>
      </w:r>
    </w:p>
    <w:p w:rsidR="009906F2" w:rsidRDefault="009906F2" w:rsidP="005913E6">
      <w:pPr>
        <w:ind w:left="720" w:hanging="720"/>
      </w:pPr>
      <w:r w:rsidRPr="009906F2">
        <w:t>Cs</w:t>
      </w:r>
      <w:r w:rsidR="005913E6">
        <w:t>oma, Rózsa. 2001. The Analytic element method for groundwater flow modelling.  P</w:t>
      </w:r>
      <w:r w:rsidRPr="009906F2">
        <w:t>eriodica Politechnica Ser. Civ. Eng. 45(1):43–62.</w:t>
      </w:r>
    </w:p>
    <w:p w:rsidR="00014FB3" w:rsidRDefault="00014FB3" w:rsidP="005913E6">
      <w:pPr>
        <w:ind w:left="720" w:hanging="720"/>
      </w:pPr>
      <w:r>
        <w:t>Dabral, Sumit, Bindu Bhatt, Janak P. Joshi, and N. Sharma. 2014. Groundwater suitabi</w:t>
      </w:r>
      <w:r w:rsidR="00891501">
        <w:t>lity recharge zones modelling-</w:t>
      </w:r>
      <w:r>
        <w:t xml:space="preserve">A GIS application. International Archives of the Photogrammetry, Remote Sensing and Spatial Information </w:t>
      </w:r>
      <w:r w:rsidR="00891501">
        <w:t>Sciences - ISPRS Archives 8:347-</w:t>
      </w:r>
      <w:r>
        <w:t>53.</w:t>
      </w:r>
    </w:p>
    <w:p w:rsidR="005D5677" w:rsidRDefault="005D5677" w:rsidP="005D5677">
      <w:pPr>
        <w:ind w:left="720" w:hanging="720"/>
      </w:pPr>
      <w:r>
        <w:t>Dagalo, Samuel. 2005. Condition assessment and modeling of groundwater in Arba Minch area. M.Sc. Thesis. Arba Minch University. Arba Minch, Ethiopia. 188 p.</w:t>
      </w:r>
    </w:p>
    <w:p w:rsidR="00014FB3" w:rsidRDefault="00014FB3" w:rsidP="00637695">
      <w:pPr>
        <w:ind w:left="720" w:hanging="720"/>
      </w:pPr>
      <w:r>
        <w:t>Desalegn, Afework. 2011. Groundwater potential evaluation and flow dynamics of Hormat-Golina River Catchment, Kobo Valley, North Ethiopia. M.Sc</w:t>
      </w:r>
      <w:r w:rsidR="005D5677">
        <w:t>.</w:t>
      </w:r>
      <w:r>
        <w:t xml:space="preserve"> Thesis. Addis Ababa University. Addis Ababa, Ethiopia. 126 p.</w:t>
      </w:r>
    </w:p>
    <w:p w:rsidR="00014FB3" w:rsidRDefault="00014FB3" w:rsidP="00637695">
      <w:pPr>
        <w:ind w:left="720" w:hanging="720"/>
      </w:pPr>
      <w:r>
        <w:t>Desta, Wallelign Alem. 2007. Assessment of LU/LC dynamics at Bale Mountains National Park Using GIS and Remote Sensing. M.Sc Thesis. Addis Ababa University. Addis Ababa, Ethiopia. 88 p.</w:t>
      </w:r>
    </w:p>
    <w:p w:rsidR="00014FB3" w:rsidRDefault="00014FB3" w:rsidP="00637695">
      <w:pPr>
        <w:ind w:left="720" w:hanging="720"/>
      </w:pPr>
      <w:r>
        <w:t>Doyo, Diriba Worku. 2020. Groundwater potential mapping using remote sensing and GIS techniques: The case of Meki Watershed, Central Rift Valley, Ethiopia. M.Sc Thesis. Hawassa University, Hawassa, Ethiopia. 84 p.</w:t>
      </w:r>
    </w:p>
    <w:p w:rsidR="00014FB3" w:rsidRDefault="00014FB3" w:rsidP="00637695">
      <w:pPr>
        <w:ind w:left="720" w:hanging="720"/>
      </w:pPr>
      <w:r>
        <w:t>Drǎguţ, Lucian and Clemens Eisank. 2012. Automated object-based classification of topography from SRTM Data. Geomorphology 141–142:21–33.</w:t>
      </w:r>
    </w:p>
    <w:p w:rsidR="00014FB3" w:rsidRDefault="00014FB3" w:rsidP="00637695">
      <w:pPr>
        <w:ind w:left="720" w:hanging="720"/>
      </w:pPr>
      <w:r>
        <w:t>Drummond, Sarah A. and Gino Erkeling. 2014. Drainage Pattern. Encyclopedia of Planetary Landforms 1–15.</w:t>
      </w:r>
    </w:p>
    <w:p w:rsidR="00014FB3" w:rsidRDefault="00014FB3" w:rsidP="00637695">
      <w:pPr>
        <w:ind w:left="720" w:hanging="720"/>
      </w:pPr>
      <w:r>
        <w:t>Eastman, J. Ronald. 2012. IDRISI Selva Tutorial. Vol. 45. 1st ed. Clark Labs. Clark University, USA. IDRISI Production, Clark Labs-Clark University, Main Street. Worcester, MA. 01610-1477, USA. p 354.</w:t>
      </w:r>
    </w:p>
    <w:p w:rsidR="00BF0889" w:rsidRDefault="00BF0889" w:rsidP="00637695">
      <w:pPr>
        <w:ind w:left="720" w:hanging="720"/>
      </w:pPr>
      <w:r>
        <w:lastRenderedPageBreak/>
        <w:t>Efren D. G. A. 2020. A g</w:t>
      </w:r>
      <w:r w:rsidRPr="00BF0889">
        <w:t>roundwater flow model to aid in water resource management for the Carraipia Basin in the coastal semi-arid region of La Guajira state (Colombia). Electronic theses and dissertations</w:t>
      </w:r>
      <w:r>
        <w:t xml:space="preserve">. </w:t>
      </w:r>
      <w:r w:rsidRPr="00BF0889">
        <w:t>The University of Maine</w:t>
      </w:r>
      <w:r>
        <w:t>.</w:t>
      </w:r>
      <w:r w:rsidRPr="00BF0889">
        <w:t xml:space="preserve"> 97 p.</w:t>
      </w:r>
    </w:p>
    <w:p w:rsidR="0068089A" w:rsidRDefault="0068089A" w:rsidP="00637695">
      <w:pPr>
        <w:ind w:left="720" w:hanging="720"/>
      </w:pPr>
      <w:r w:rsidRPr="0068089A">
        <w:t>Emin C. Dogrul, Charles F. Brush, and Tariq N. Kadir. 2006. Inte</w:t>
      </w:r>
      <w:r>
        <w:t xml:space="preserve">grated Water Flow Model (IWFM): </w:t>
      </w:r>
      <w:r w:rsidRPr="0068089A">
        <w:t>A tool for numerically simulating linked groundwater, surface water and land-surface hydrologic processes. AGU Fall Meeting Abstracts.</w:t>
      </w:r>
    </w:p>
    <w:p w:rsidR="00014FB3" w:rsidRDefault="00014FB3" w:rsidP="00637695">
      <w:pPr>
        <w:ind w:left="720" w:hanging="720"/>
      </w:pPr>
      <w:r>
        <w:t>Emiru, Tamam, Hasan Raja Naqvi and Mohammed Abdul Athick. 2018. Anthropogenic impact on LU/LC: Influence on weather and vegetation in Bambasi Wereda, Ethiopia. Spatial Information Research 26(4):427–36.</w:t>
      </w:r>
    </w:p>
    <w:p w:rsidR="004972FE" w:rsidRDefault="004972FE" w:rsidP="00637695">
      <w:pPr>
        <w:ind w:left="720" w:hanging="720"/>
      </w:pPr>
      <w:r w:rsidRPr="004972FE">
        <w:t>Epuh</w:t>
      </w:r>
      <w:r>
        <w:t>,</w:t>
      </w:r>
      <w:r w:rsidRPr="004972FE">
        <w:t xml:space="preserve"> </w:t>
      </w:r>
      <w:r>
        <w:t xml:space="preserve">E. E., </w:t>
      </w:r>
      <w:r w:rsidRPr="004972FE">
        <w:t>M. J. Orji</w:t>
      </w:r>
      <w:r>
        <w:t>, H. A. Iyoyojie</w:t>
      </w:r>
      <w:r w:rsidRPr="004972FE">
        <w:t xml:space="preserve"> and O. E. Daramola</w:t>
      </w:r>
      <w:r>
        <w:t xml:space="preserve">. 2020. </w:t>
      </w:r>
      <w:r w:rsidRPr="004972FE">
        <w:t>Groundwater potential mapping in Ikorodu, Lagos State, Nigeria, Using Multi-criteria analysis and Hydrogeophysics. Nigerian Jo</w:t>
      </w:r>
      <w:r w:rsidR="008433A5">
        <w:t xml:space="preserve">urnal of Technology (NIJOTECH) </w:t>
      </w:r>
      <w:r w:rsidRPr="004972FE">
        <w:t>39(1): 278 – 292</w:t>
      </w:r>
      <w:r w:rsidR="008433A5">
        <w:t>.</w:t>
      </w:r>
    </w:p>
    <w:p w:rsidR="00014FB3" w:rsidRDefault="00014FB3" w:rsidP="00637695">
      <w:pPr>
        <w:ind w:left="720" w:hanging="720"/>
      </w:pPr>
      <w:r>
        <w:t>Eszobedo, J. 1998. Assistance to Soil and Water Conservation Program, Phase III, Field Document No. 19 ETH/85/016. Addis Ababa, Ethiopia.</w:t>
      </w:r>
    </w:p>
    <w:p w:rsidR="00014FB3" w:rsidRDefault="00014FB3" w:rsidP="00637695">
      <w:pPr>
        <w:ind w:left="720" w:hanging="720"/>
      </w:pPr>
      <w:r>
        <w:t>FAO (Food and Agricultural Organization). 1988. Soil Map of the World, FAO/UNESCO-ISRIC, Revised Legend with Corrections. World Soil Resources Report No. 60. 1–109. Rome, Italy. p 109.</w:t>
      </w:r>
    </w:p>
    <w:p w:rsidR="00014FB3" w:rsidRDefault="00014FB3" w:rsidP="00637695">
      <w:pPr>
        <w:ind w:left="720" w:hanging="720"/>
      </w:pPr>
      <w:r>
        <w:t>FAO (Food and Agricultural Organization). 2003. The digital soil map of the World version 3.6. FAO/UNESCO. Rome, Italy.</w:t>
      </w:r>
    </w:p>
    <w:p w:rsidR="00014FB3" w:rsidRDefault="00014FB3" w:rsidP="00637695">
      <w:pPr>
        <w:ind w:left="720" w:hanging="720"/>
      </w:pPr>
      <w:r>
        <w:t>FAO (Food and Agricultural Organization). 2015. Status of the World’s Soil Resources (SWSR) – Main Report. Food and Agriculture Organization of the United Nations and Intergovernmental technical panel on soils. Rome, Italy. p 527–598.</w:t>
      </w:r>
    </w:p>
    <w:p w:rsidR="00014FB3" w:rsidRDefault="00014FB3" w:rsidP="00637695">
      <w:pPr>
        <w:ind w:left="720" w:hanging="720"/>
      </w:pPr>
      <w:r>
        <w:t xml:space="preserve">Fashae, O. A., M. N. Tijani, A. O. Talabi and O. I. Adedeji. 2013. Delineation of groundwater potential zones in the </w:t>
      </w:r>
      <w:r w:rsidR="00E049A2">
        <w:t>crystalline</w:t>
      </w:r>
      <w:r>
        <w:t xml:space="preserve"> basement terrain of SW-Nigeria: An integrated GIS and Remote Sensing approach. Applied Water Science 4(1):19–38.</w:t>
      </w:r>
    </w:p>
    <w:p w:rsidR="00014FB3" w:rsidRDefault="00014FB3" w:rsidP="00637695">
      <w:pPr>
        <w:ind w:left="720" w:hanging="720"/>
      </w:pPr>
      <w:r>
        <w:t>Fatti, L. P. 1989. Decision Making for Leaders: The Analytic Hierarchy Process for Decisions in a Complex World. Journal of Operational Research 42(1):107–9.</w:t>
      </w:r>
    </w:p>
    <w:p w:rsidR="00014FB3" w:rsidRDefault="00014FB3" w:rsidP="00637695">
      <w:pPr>
        <w:ind w:left="720" w:hanging="720"/>
      </w:pPr>
      <w:r>
        <w:t xml:space="preserve">Fetter, C. W. 2001. Applied Hydrogeology. Fourth edition. Prentice-Hall inc., Upper </w:t>
      </w:r>
      <w:r w:rsidR="00891501">
        <w:t>Saddle River, New Jersey. p 598.</w:t>
      </w:r>
    </w:p>
    <w:p w:rsidR="006C6A7B" w:rsidRDefault="006C6A7B" w:rsidP="00637695">
      <w:pPr>
        <w:ind w:left="720" w:hanging="720"/>
      </w:pPr>
      <w:r w:rsidRPr="006C6A7B">
        <w:lastRenderedPageBreak/>
        <w:t>Fiedler, Paul C.</w:t>
      </w:r>
      <w:r>
        <w:t xml:space="preserve"> </w:t>
      </w:r>
      <w:r w:rsidRPr="006C6A7B">
        <w:t>1992</w:t>
      </w:r>
      <w:r>
        <w:t>. Seasonal Climatologies and v</w:t>
      </w:r>
      <w:r w:rsidRPr="006C6A7B">
        <w:t>ariability of Eastern Tropical Pacific Surface Waters</w:t>
      </w:r>
      <w:r>
        <w:t xml:space="preserve">. </w:t>
      </w:r>
      <w:r w:rsidRPr="006C6A7B">
        <w:t>NOAA Technical Report NMFS</w:t>
      </w:r>
      <w:r>
        <w:t xml:space="preserve">. </w:t>
      </w:r>
      <w:r w:rsidRPr="006C6A7B">
        <w:t>NOAA/National Marine Fisheries Service</w:t>
      </w:r>
      <w:r>
        <w:t xml:space="preserve">. </w:t>
      </w:r>
      <w:r w:rsidRPr="006C6A7B">
        <w:t>http://aquaticcommons.org/id/eprint/2706</w:t>
      </w:r>
      <w:r w:rsidR="00891501">
        <w:t>.</w:t>
      </w:r>
    </w:p>
    <w:p w:rsidR="00014FB3" w:rsidRDefault="00014FB3" w:rsidP="00637695">
      <w:pPr>
        <w:ind w:left="720" w:hanging="720"/>
      </w:pPr>
      <w:r>
        <w:t>Fisher, Rohan, Sarah Hobgen, Iradaf Mandaya, Norman Riwu Kaho, Tenggara Timur and Zulkarnain. 2017. Satellite image analysis and terrain modelling-version 2 SAGA GIS 4+. A practical manual for natural resource management, disaster risk and development planning using free geospatial data and software. Charles Darwin University.</w:t>
      </w:r>
    </w:p>
    <w:p w:rsidR="00014FB3" w:rsidRDefault="00014FB3" w:rsidP="00637695">
      <w:pPr>
        <w:ind w:left="720" w:hanging="720"/>
      </w:pPr>
      <w:r>
        <w:t xml:space="preserve">Friis, Ib, Sebsebe Demissew and Paulo van Breugel. 2010. Atlas of the potential vegetation of Ethiopia. Vol. 107. </w:t>
      </w:r>
      <w:r w:rsidR="003076C9">
        <w:t>Edited</w:t>
      </w:r>
      <w:r>
        <w:t xml:space="preserve"> by H. C. A. Boulevard and M. A. Nielsen. The Royal Danish Academy of Sciences and Letters. Copenhagen V, Denmark: Det Kongelige Danske Videnskabernes Selskab.</w:t>
      </w:r>
      <w:r w:rsidR="00891501">
        <w:t xml:space="preserve"> </w:t>
      </w:r>
      <w:r>
        <w:t>p 305.</w:t>
      </w:r>
    </w:p>
    <w:p w:rsidR="00014FB3" w:rsidRDefault="00014FB3" w:rsidP="00637695">
      <w:pPr>
        <w:ind w:left="720" w:hanging="720"/>
      </w:pPr>
      <w:r>
        <w:t>Gaikwad, RD. and VS. Bhagat. 2017. Multi-criteria watershed prioritization of Kas Basin in Maharashtra (India): AHP and influence a</w:t>
      </w:r>
      <w:r w:rsidR="00891501">
        <w:t>pproaches. Hydrosp Anal 1(1):41-</w:t>
      </w:r>
      <w:r>
        <w:t>61.</w:t>
      </w:r>
    </w:p>
    <w:p w:rsidR="00014FB3" w:rsidRDefault="00014FB3" w:rsidP="00637695">
      <w:pPr>
        <w:ind w:left="720" w:hanging="720"/>
      </w:pPr>
      <w:r>
        <w:t>Gebru, Hindeya, Tesfamichael Gebreyohannes and Ermias Hagos. 2020. Identification of groundwater potential zones using analytical hierarchy process and GIS-Remote Sensing integration, the case of Golina River Basin, Northern Ethiopia. International Journal of Advanced Remote Sensing and GIS 9(1):3289–3311.</w:t>
      </w:r>
    </w:p>
    <w:p w:rsidR="00014FB3" w:rsidRDefault="00014FB3" w:rsidP="00637695">
      <w:pPr>
        <w:ind w:left="720" w:hanging="720"/>
      </w:pPr>
      <w:r>
        <w:t>Gintamo, Tesfaye Tessema. 2015. Groundwater potential evaluation based on integrated GIS and Remote Sensing techniques, in Bilate River catchment : South Rift Valley of Ethiopia. American Scientific Research Journal for Engineering, Technology, and Sciences 10:85–120.</w:t>
      </w:r>
    </w:p>
    <w:p w:rsidR="00014FB3" w:rsidRDefault="00014FB3" w:rsidP="00637695">
      <w:pPr>
        <w:ind w:left="720" w:hanging="720"/>
      </w:pPr>
      <w:r>
        <w:t>Gobena, Hambisa, Mandefro Belayneh, Tesfaye Kebede, Samson Tesfaye and Amenti Abraham. 1997. Geology of the Dodola area memoir 10. Geologic</w:t>
      </w:r>
      <w:r w:rsidR="00755149">
        <w:t>al Survey of Ethiopia, Addis Aba</w:t>
      </w:r>
      <w:r>
        <w:t>ba, Ethiopia. p 96.</w:t>
      </w:r>
    </w:p>
    <w:p w:rsidR="00014FB3" w:rsidRDefault="00014FB3" w:rsidP="00637695">
      <w:pPr>
        <w:ind w:left="720" w:hanging="720"/>
      </w:pPr>
      <w:r>
        <w:t>Godebo, Tewodros Rango. 2018. Application of Remote Sensing and GIS for geological investigation and groundwater potential zone identification, Southeastern Ethiopian Plateau, Bale Mountains and the surrounding areas. M.Sc Thesis. Addis Ababa University. Addis Ababa, Ethiopia. 126 p.</w:t>
      </w:r>
    </w:p>
    <w:p w:rsidR="002C703D" w:rsidRDefault="002C703D" w:rsidP="00637695">
      <w:pPr>
        <w:ind w:left="720" w:hanging="720"/>
      </w:pPr>
      <w:r w:rsidRPr="002C703D">
        <w:lastRenderedPageBreak/>
        <w:t>Groundwa</w:t>
      </w:r>
      <w:r w:rsidR="00A970B0">
        <w:t>ter assessment and m</w:t>
      </w:r>
      <w:r>
        <w:t>anagement. 1989</w:t>
      </w:r>
      <w:r w:rsidRPr="002C703D">
        <w:t>. Devel</w:t>
      </w:r>
      <w:r>
        <w:t>opments in Water Science, 38(C):</w:t>
      </w:r>
      <w:r w:rsidRPr="002C703D">
        <w:t>219–242. https://doi.org/10.1016/S0167-</w:t>
      </w:r>
      <w:r w:rsidR="00E049A2" w:rsidRPr="002C703D">
        <w:t>5648 (</w:t>
      </w:r>
      <w:r w:rsidRPr="002C703D">
        <w:t>08)70623-3</w:t>
      </w:r>
      <w:r w:rsidR="00891501">
        <w:t>.</w:t>
      </w:r>
    </w:p>
    <w:p w:rsidR="00014FB3" w:rsidRDefault="00014FB3" w:rsidP="00637695">
      <w:pPr>
        <w:ind w:left="720" w:hanging="720"/>
      </w:pPr>
      <w:r>
        <w:t>Gwenzi, Willis and George Nyamadzawo. 2014. Hydrological impacts of urbanization and urban roof water harvesting in water-limited catchments: A review. Environmental Processes 1(4):573–93.</w:t>
      </w:r>
    </w:p>
    <w:p w:rsidR="00014FB3" w:rsidRDefault="00014FB3" w:rsidP="00637695">
      <w:pPr>
        <w:ind w:left="720" w:hanging="720"/>
      </w:pPr>
      <w:r>
        <w:t>Hall, M., L. Bateson and C. Jordan. 2004. ERDAS Imagine 8.5 and 8.6 training manual. British Geological Survey (BGS). London information office at the natural history museum (earth galleries), Exhibition road, South Kensington, London. p 1–83.</w:t>
      </w:r>
    </w:p>
    <w:p w:rsidR="00F24D04" w:rsidRDefault="00F24D04" w:rsidP="00637695">
      <w:pPr>
        <w:ind w:left="720" w:hanging="720"/>
      </w:pPr>
      <w:r w:rsidRPr="00F24D04">
        <w:t xml:space="preserve">Harter T. and H. Morel-Seytoux (2013). Peer Review of the IWFM, MODFLOW and HGS Model Codes: Potential for Water Management Applications in California’s Central Valley and Other Irrigated Groundwater Basins. Final Report, California </w:t>
      </w:r>
      <w:r w:rsidRPr="003076C9">
        <w:t xml:space="preserve">Water and Environmental Modeling Forum, August 2013, Sacramento. </w:t>
      </w:r>
      <w:hyperlink r:id="rId53" w:history="1">
        <w:r w:rsidR="003076C9" w:rsidRPr="003076C9">
          <w:t>http://www.cwemf.org</w:t>
        </w:r>
      </w:hyperlink>
      <w:r w:rsidR="00891501">
        <w:t>.</w:t>
      </w:r>
    </w:p>
    <w:p w:rsidR="003076C9" w:rsidRDefault="003076C9" w:rsidP="00637695">
      <w:pPr>
        <w:ind w:left="720" w:hanging="720"/>
      </w:pPr>
      <w:r w:rsidRPr="003076C9">
        <w:t>Hogeboom H. J. 2013 .The influence of groundwater abstractions on Lake Naivasha’s water level. M.Sc. Thesis. University of Twente, The Netherlands.</w:t>
      </w:r>
      <w:r>
        <w:t xml:space="preserve"> 90p.</w:t>
      </w:r>
    </w:p>
    <w:p w:rsidR="00014FB3" w:rsidRDefault="00014FB3" w:rsidP="00637695">
      <w:pPr>
        <w:ind w:left="720" w:hanging="720"/>
      </w:pPr>
      <w:r>
        <w:t>Huisman, O. and Rolf A. De. 2009. Principle of Geographic Information System. 4th ed. edited by O. Huisman and R. A. De. International Institute for Geo-information Science and Earth Observation (ITC). Enschede, Netherlands. p 135.</w:t>
      </w:r>
    </w:p>
    <w:p w:rsidR="00014FB3" w:rsidRDefault="00014FB3" w:rsidP="00637695">
      <w:pPr>
        <w:ind w:left="720" w:hanging="720"/>
      </w:pPr>
      <w:r>
        <w:t>IUSS Working Group WRB. 2015. World Reference Base for Soil Resources 2014, Update 2015 International soil classification system for naming soils and creating legends for soil maps. World soil resources reports No. 106. Rome, Italy.</w:t>
      </w:r>
    </w:p>
    <w:p w:rsidR="0045532C" w:rsidRDefault="0045532C" w:rsidP="00637695">
      <w:pPr>
        <w:ind w:left="720" w:hanging="720"/>
      </w:pPr>
      <w:r w:rsidRPr="0045532C">
        <w:t>Jacques W. Delleur. 1999. The handbook of groundwater Engineering. CRC Press LLC 2000 Corporate Blvd., N.W. Boca Raton, FL 33431, USA and Springer-Verlag GmbH &amp; Co. KG, Tiergartenstrasse 17</w:t>
      </w:r>
      <w:r w:rsidR="007F3F67">
        <w:t xml:space="preserve"> D-69121 Heidelberg, Germany. p </w:t>
      </w:r>
      <w:r w:rsidRPr="0045532C">
        <w:t>677-731.</w:t>
      </w:r>
    </w:p>
    <w:p w:rsidR="00014FB3" w:rsidRDefault="00014FB3" w:rsidP="00637695">
      <w:pPr>
        <w:ind w:left="720" w:hanging="720"/>
      </w:pPr>
      <w:r>
        <w:t>Jenness, Jeff. 2006. Topography Position Index (TPI). Jenness Enterprises 1–362.</w:t>
      </w:r>
    </w:p>
    <w:p w:rsidR="00014FB3" w:rsidRDefault="00014FB3" w:rsidP="00637695">
      <w:pPr>
        <w:ind w:left="720" w:hanging="720"/>
      </w:pPr>
      <w:r>
        <w:t>Jha, M., V. Chowdary and A. Chowdhury. 2010. Groundwater Assessment in Salboni Block, West Bengal (India) using Remote Sensing, Geographical Information. Journal of Hydrology: Regional Studies 18(7):1713–1728.</w:t>
      </w:r>
    </w:p>
    <w:p w:rsidR="00014FB3" w:rsidRDefault="00014FB3" w:rsidP="00637695">
      <w:pPr>
        <w:ind w:left="720" w:hanging="720"/>
      </w:pPr>
      <w:r>
        <w:t xml:space="preserve">Jones, K. B., D. T. Heggem, T. G. Wade, A. C. Neale, D. W. Ebert, M. S. Nash, M. H. Mehaffey, K. A. Hermann, A. R. Selle, S. Augustine, I. A. Goodman, J. Pedersen, </w:t>
      </w:r>
      <w:r>
        <w:lastRenderedPageBreak/>
        <w:t xml:space="preserve">D. Bolgrien, J. M. Viger, D. Chiang, C. J. Lin, Y. Zhong, J. Baker and R. D. Van Remortel. 2000. Assessing landscape conditions relative to water resources in the Western United States: A Strategic Approach. Environmental </w:t>
      </w:r>
      <w:r w:rsidR="00891501">
        <w:t>monitoring and a</w:t>
      </w:r>
      <w:r>
        <w:t>ssessment 64:227 – 245.</w:t>
      </w:r>
    </w:p>
    <w:p w:rsidR="00803D37" w:rsidRDefault="00803D37" w:rsidP="00637695">
      <w:pPr>
        <w:ind w:left="720" w:hanging="720"/>
      </w:pPr>
      <w:r w:rsidRPr="00803D37">
        <w:t>Kalbus,</w:t>
      </w:r>
      <w:r>
        <w:t xml:space="preserve"> </w:t>
      </w:r>
      <w:r w:rsidRPr="00803D37">
        <w:t>E.</w:t>
      </w:r>
      <w:r>
        <w:t>,</w:t>
      </w:r>
      <w:r w:rsidRPr="00803D37">
        <w:t xml:space="preserve"> </w:t>
      </w:r>
      <w:r>
        <w:t>F. Reinstorf</w:t>
      </w:r>
      <w:r w:rsidRPr="00803D37">
        <w:t xml:space="preserve"> and M. Schirmer. 2006. Measuring methods for groundwater? Surface water interactions: a review. Hydrology and Earth System Sciences Discussi</w:t>
      </w:r>
      <w:r>
        <w:t>ons, European Geosciences Union 10(</w:t>
      </w:r>
      <w:r w:rsidRPr="00803D37">
        <w:t>6</w:t>
      </w:r>
      <w:r>
        <w:t xml:space="preserve">): </w:t>
      </w:r>
      <w:r w:rsidRPr="00803D37">
        <w:t xml:space="preserve">873-887. </w:t>
      </w:r>
    </w:p>
    <w:p w:rsidR="00014FB3" w:rsidRDefault="00014FB3" w:rsidP="00637695">
      <w:pPr>
        <w:ind w:left="720" w:hanging="720"/>
      </w:pPr>
      <w:r>
        <w:t>Kaliraj, S., N. Chandrasekar and N. S. Magesh. 2014. Identification of potential groundwater recharge zones in Vaigai Upper Basin, Tamil Nadu, using GIS-Based analytical hierarchical process technique. Arabian Journal of Geosciences 7(4):1385–1401.</w:t>
      </w:r>
    </w:p>
    <w:p w:rsidR="00014FB3" w:rsidRDefault="00014FB3" w:rsidP="00637695">
      <w:pPr>
        <w:ind w:left="720" w:hanging="720"/>
      </w:pPr>
      <w:r>
        <w:t>Kassahun, Nebiyou and Mebruk Mohamed. 2018. Groundwater potential assessment and characterization of Genale-Dawa River Basin. Open Journal of Modern Hydrology 8(4):126–44.</w:t>
      </w:r>
    </w:p>
    <w:p w:rsidR="00014FB3" w:rsidRDefault="00014FB3" w:rsidP="00637695">
      <w:pPr>
        <w:ind w:left="720" w:hanging="720"/>
      </w:pPr>
      <w:r>
        <w:t>Kebede, Mintesnot, and Yonas Mulugeta. 2011. Hydrogeological map of Megallo map Sheet (NB 37-8). Geologic</w:t>
      </w:r>
      <w:r w:rsidR="00755149">
        <w:t>al Survey of Ethiopia, Addis Aba</w:t>
      </w:r>
      <w:r>
        <w:t>ba, Ethiopia.</w:t>
      </w:r>
    </w:p>
    <w:p w:rsidR="00014FB3" w:rsidRDefault="00014FB3" w:rsidP="00637695">
      <w:pPr>
        <w:ind w:left="720" w:hanging="720"/>
      </w:pPr>
      <w:r>
        <w:t>Kebede, Seifu. 2013. Groundwater in Ethiopia: Features, numbers and opportunities. Springer-Verlag Berlin Heidelberg. New York Dordrecht London, doi</w:t>
      </w:r>
      <w:r w:rsidR="00E049A2">
        <w:t>: 10.1007</w:t>
      </w:r>
      <w:r>
        <w:t>/978-3-642-30391-3.</w:t>
      </w:r>
    </w:p>
    <w:p w:rsidR="00014FB3" w:rsidRDefault="00014FB3" w:rsidP="00637695">
      <w:pPr>
        <w:ind w:left="720" w:hanging="720"/>
      </w:pPr>
      <w:r>
        <w:t xml:space="preserve">Kidanu, Kindeya. 2018. Identification of groundwater potential zone mapping using Remote Sensing and GIS </w:t>
      </w:r>
      <w:r w:rsidR="00E11F13">
        <w:t>techniques, i</w:t>
      </w:r>
      <w:r>
        <w:t>n</w:t>
      </w:r>
      <w:r w:rsidR="00E11F13">
        <w:t xml:space="preserve"> </w:t>
      </w:r>
      <w:r>
        <w:t>case of Inderta District, Ethiopia. M.Sc Thesis. Addis Ababa University. Addis Ababa, Ethiopia. 64 p.</w:t>
      </w:r>
    </w:p>
    <w:p w:rsidR="00014FB3" w:rsidRDefault="00014FB3" w:rsidP="00637695">
      <w:pPr>
        <w:ind w:left="720" w:hanging="720"/>
      </w:pPr>
      <w:r>
        <w:t>Kifle, Astatike and Mulugeta Hailemriam. 2010. Integrated Hydrogeological mapping of Dodola map sheet (NB 37-7) Southeastern Ethiopia highlands with associated lowlands. Geologic</w:t>
      </w:r>
      <w:r w:rsidR="00DB0C0D">
        <w:t>al Survey of Ethiopia. Addis Aba</w:t>
      </w:r>
      <w:r>
        <w:t>ba, Ethiopia.</w:t>
      </w:r>
    </w:p>
    <w:p w:rsidR="00014FB3" w:rsidRDefault="006C653C" w:rsidP="00637695">
      <w:pPr>
        <w:ind w:left="720" w:hanging="720"/>
      </w:pPr>
      <w:r>
        <w:t xml:space="preserve">Kiflu, Astatke, Yosef Tafa </w:t>
      </w:r>
      <w:r w:rsidR="00014FB3">
        <w:t>and Yonas Mulugeta. 2009. Hydrogeological mapping of part of Asela map sheet (NB 37-3) Southeastern high land of Ethiopia. Geologic</w:t>
      </w:r>
      <w:r w:rsidR="00755149">
        <w:t>al Survey of Ethiopia. Addis Aba</w:t>
      </w:r>
      <w:r w:rsidR="00014FB3">
        <w:t>ba, Ethiopia.</w:t>
      </w:r>
    </w:p>
    <w:p w:rsidR="003D0D9F" w:rsidRDefault="003D0D9F" w:rsidP="00637695">
      <w:pPr>
        <w:ind w:left="720" w:hanging="720"/>
      </w:pPr>
      <w:r w:rsidRPr="003D0D9F">
        <w:lastRenderedPageBreak/>
        <w:t xml:space="preserve">Konikow L. F. and J. W. Mercer. 1988. Groundwater flow and transport </w:t>
      </w:r>
      <w:r w:rsidR="006C653C">
        <w:t xml:space="preserve">modeling. Journal of Hydrology </w:t>
      </w:r>
      <w:r w:rsidRPr="003D0D9F">
        <w:t>100(1-33):379-409 ISSN 0022-1694, https://doi.org/10.1016/0022-1694 (88)90193-X.</w:t>
      </w:r>
    </w:p>
    <w:p w:rsidR="00014FB3" w:rsidRDefault="00014FB3" w:rsidP="00637695">
      <w:pPr>
        <w:ind w:left="720" w:hanging="720"/>
      </w:pPr>
      <w:r>
        <w:t>Kramm, Tanja, Dirk Hoffmeister, Constanze Curdt, Sedigheh Maleki, Farhad Khormali and Martin Kehl. 2017. Accuracy assessment of landform classification approaches on different spatial scales for the Iranian Loess Plateau. ISPRS International Journal of Geo-Information 6:1–22.</w:t>
      </w:r>
    </w:p>
    <w:p w:rsidR="00014FB3" w:rsidRDefault="00014FB3" w:rsidP="00637695">
      <w:pPr>
        <w:ind w:left="720" w:hanging="720"/>
      </w:pPr>
      <w:r>
        <w:t>Krishnamurthy, J., N. Venkatesa Kumar, V. Jayaraman and M. Manivel. 1996. An approach to demarcate groundwater potential zones through Remote Sensing and Geographical Information System. International Journal of Remote Sensing 17:1867–84.</w:t>
      </w:r>
    </w:p>
    <w:p w:rsidR="00014FB3" w:rsidRDefault="006C653C" w:rsidP="00637695">
      <w:pPr>
        <w:ind w:left="720" w:hanging="720"/>
      </w:pPr>
      <w:r>
        <w:t xml:space="preserve">Kudnar, N. </w:t>
      </w:r>
      <w:r w:rsidR="00014FB3">
        <w:t>S. and M. Rajasekhar. 2019. A study of the Morphometric analysis and cycle of erosion in Waingangā Basin, India. Modeling Earth Systems and Environment 6(1):311–27.</w:t>
      </w:r>
    </w:p>
    <w:p w:rsidR="00DB0C0D" w:rsidRDefault="00DB0C0D" w:rsidP="00637695">
      <w:pPr>
        <w:ind w:left="720" w:hanging="720"/>
      </w:pPr>
      <w:r>
        <w:t xml:space="preserve">Kumar, C. </w:t>
      </w:r>
      <w:r w:rsidRPr="00DB0C0D">
        <w:t>P. 2000. Gro</w:t>
      </w:r>
      <w:r>
        <w:t xml:space="preserve">undwater assessment methodology. </w:t>
      </w:r>
      <w:r w:rsidRPr="00DB0C0D">
        <w:t>National Institute of Hydrology. Roorkee – 247667 (Uttarakhand)</w:t>
      </w:r>
      <w:r>
        <w:t>:21</w:t>
      </w:r>
      <w:r w:rsidR="00891501">
        <w:t>.</w:t>
      </w:r>
    </w:p>
    <w:p w:rsidR="00A30C23" w:rsidRDefault="00A30C23" w:rsidP="00A30C23">
      <w:pPr>
        <w:ind w:left="720" w:hanging="720"/>
      </w:pPr>
      <w:r>
        <w:t xml:space="preserve">Kumar, C. </w:t>
      </w:r>
      <w:r w:rsidRPr="00DB0C0D">
        <w:t>P. 200</w:t>
      </w:r>
      <w:r>
        <w:t>2</w:t>
      </w:r>
      <w:r w:rsidRPr="00DB0C0D">
        <w:t xml:space="preserve">. </w:t>
      </w:r>
      <w:r w:rsidRPr="00A30C23">
        <w:t>Groundwater flow models</w:t>
      </w:r>
      <w:r>
        <w:t xml:space="preserve">. </w:t>
      </w:r>
      <w:r w:rsidRPr="00A30C23">
        <w:t>Scientist ‘E1’National Institute of Hydrology Roorkee–247667 (Uttaranchal)</w:t>
      </w:r>
      <w:r w:rsidR="00891501">
        <w:t>.</w:t>
      </w:r>
    </w:p>
    <w:p w:rsidR="00014FB3" w:rsidRDefault="00014FB3" w:rsidP="00637695">
      <w:pPr>
        <w:ind w:left="720" w:hanging="720"/>
      </w:pPr>
      <w:r>
        <w:t>Lagesse, Abel. 2017. Hydrological trend, variability and time series modeling of Weyib catchment. M.Sc Thesis. Addis Ababa University. Addis Ababa, Ethiopia. p 108.</w:t>
      </w:r>
    </w:p>
    <w:p w:rsidR="00014FB3" w:rsidRDefault="00014FB3" w:rsidP="00637695">
      <w:pPr>
        <w:ind w:left="720" w:hanging="720"/>
      </w:pPr>
      <w:r>
        <w:t>Lakshmi, Vidhya Savikumar and Vinay Kumar Reddy. 2019. Identification of groundwater potential zones using RS and GIS. International Journal of Pure and Applied Mathematics 119:3195–3209.</w:t>
      </w:r>
    </w:p>
    <w:p w:rsidR="00014FB3" w:rsidRDefault="00014FB3" w:rsidP="00637695">
      <w:pPr>
        <w:ind w:left="720" w:hanging="720"/>
      </w:pPr>
      <w:r>
        <w:t>Lemecha, Gezahegn. 2007. Delineation of groundwater potential zones of Upper Tumet catchment, Menge area, Western Ethiopia using Remote Sensing and GIS. M.Sc Thesis. Addis Ababa University. Addis Ababa, Ethiopia. p 86.</w:t>
      </w:r>
    </w:p>
    <w:p w:rsidR="00014FB3" w:rsidRDefault="00014FB3" w:rsidP="00637695">
      <w:pPr>
        <w:ind w:left="720" w:hanging="720"/>
      </w:pPr>
      <w:r>
        <w:t>Lemenkova, Polina. 2015. Processing Remote Sensing data using ERDAS Imagine for mapping Aegean Sea Region, Turkey. Informatics (2):11–15.</w:t>
      </w:r>
    </w:p>
    <w:p w:rsidR="00544305" w:rsidRPr="00C4768E" w:rsidRDefault="00544305" w:rsidP="00C4768E">
      <w:pPr>
        <w:ind w:left="720" w:hanging="720"/>
      </w:pPr>
      <w:r w:rsidRPr="0084166F">
        <w:t xml:space="preserve">Louks, D. </w:t>
      </w:r>
      <w:r w:rsidR="006C6A7B" w:rsidRPr="0084166F">
        <w:t>P</w:t>
      </w:r>
      <w:r w:rsidRPr="0084166F">
        <w:t xml:space="preserve">. and E. V. </w:t>
      </w:r>
      <w:r w:rsidR="009A2F3B">
        <w:t>Beek. 2005</w:t>
      </w:r>
      <w:r w:rsidR="00014FB3" w:rsidRPr="0084166F">
        <w:t>. Water resource systems planning and management</w:t>
      </w:r>
      <w:r w:rsidRPr="0084166F">
        <w:t xml:space="preserve">: An </w:t>
      </w:r>
      <w:r w:rsidR="0084166F" w:rsidRPr="0084166F">
        <w:t>introduction to methods, models and application</w:t>
      </w:r>
      <w:r w:rsidR="00C4768E" w:rsidRPr="0084166F">
        <w:t xml:space="preserve">, </w:t>
      </w:r>
      <w:r w:rsidR="0084166F" w:rsidRPr="0084166F">
        <w:t xml:space="preserve">studies and reports in hydrology. </w:t>
      </w:r>
      <w:r w:rsidRPr="0084166F">
        <w:lastRenderedPageBreak/>
        <w:t>United Nations Educational, Scientific and Cultural Organization (UNESCO) publishing, 7, place de Fontenoy F-75352 Paris 07 SP</w:t>
      </w:r>
      <w:r w:rsidR="00C4768E" w:rsidRPr="0084166F">
        <w:t>. ISBN 92-3-103998-9.</w:t>
      </w:r>
      <w:r w:rsidR="0084166F">
        <w:t xml:space="preserve"> 690 p</w:t>
      </w:r>
      <w:r w:rsidR="00891501">
        <w:t>.</w:t>
      </w:r>
    </w:p>
    <w:p w:rsidR="00014FB3" w:rsidRDefault="00014FB3" w:rsidP="00637695">
      <w:pPr>
        <w:ind w:left="720" w:hanging="720"/>
      </w:pPr>
      <w:r>
        <w:t>Magesh, N. S., N. Chandrasekar and J. P. Soundranayagam. 2012. Delineation of groundwater potential zones in Theni District, Tamil Nadu, using Remote Sensing, GIS and MIF techniques. Geoscience Frontiers 3(2):189–96.</w:t>
      </w:r>
    </w:p>
    <w:p w:rsidR="00014FB3" w:rsidRDefault="00014FB3" w:rsidP="00637695">
      <w:pPr>
        <w:ind w:left="720" w:hanging="720"/>
      </w:pPr>
      <w:r>
        <w:t>Mamo, Abiy Getachow. 2007. Integration of Remote Sensing and GIS for groundwater resources assessment in Moyale-Teltele Sub-basin, South Ethiopia. M.Sc Thesis. Addis Ababa University. Addis Ababa, Ethiopia. p 88.</w:t>
      </w:r>
    </w:p>
    <w:p w:rsidR="00014FB3" w:rsidRDefault="00014FB3" w:rsidP="00637695">
      <w:pPr>
        <w:ind w:left="720" w:hanging="720"/>
      </w:pPr>
      <w:r>
        <w:t>Marghany, M., M. Hashim and S. Mansor. 2009. Geologic mapping of United Arab Emirates using Multispectral Remotely Sensed data. American Journal of Engineering and Applied Sciences 2(2):476–80.</w:t>
      </w:r>
    </w:p>
    <w:p w:rsidR="007B2CF2" w:rsidRDefault="007B2CF2" w:rsidP="00637695">
      <w:pPr>
        <w:ind w:left="720" w:hanging="720"/>
      </w:pPr>
      <w:r w:rsidRPr="007B2CF2">
        <w:t>Markstrom, S. L., R. G. Niswonger, R. S. Regan, D. E. Prudic, and P. M. Barlow. 2008. GSFLOW—Coupled ground-water and surface-water flow model based on the integration of the precipitation-runoff modeling system (PRMS) and the modular ground-water flow model (MODFLOW-2005): U.S. Geological Survey Techniques and Methods 6-D1, Reston, Virginia. 240 p.</w:t>
      </w:r>
    </w:p>
    <w:p w:rsidR="009A348B" w:rsidRDefault="009A348B" w:rsidP="00637695">
      <w:pPr>
        <w:ind w:left="720" w:hanging="720"/>
      </w:pPr>
      <w:r w:rsidRPr="009A348B">
        <w:t>Maxwell, R.M., S.J. Kollet, S.G. Smith, C.S. Woodward, R.D. Falgout, I.M. Ferguson, C. Baldwin, W.J. Bosl, R. Hornung, and S. Ashby. 2010. ParFlow User’s Manual. International ground water modeling center report GWMI 2010-01, Free Software Foundation, Inc</w:t>
      </w:r>
      <w:r>
        <w:t>.</w:t>
      </w:r>
      <w:r w:rsidRPr="009A348B">
        <w:t xml:space="preserve">132p. </w:t>
      </w:r>
    </w:p>
    <w:p w:rsidR="00014FB3" w:rsidRDefault="00014FB3" w:rsidP="00637695">
      <w:pPr>
        <w:ind w:left="720" w:hanging="720"/>
      </w:pPr>
      <w:r>
        <w:t>Messene, Genet Mathewos. 2017. Groundwater Flow direction, recharge and discharge zones identification in Lower Gidabo Catchment, Rift Valley Basin, Ethiopia. Journal of Environment and Earth Science 7(2):32–39.</w:t>
      </w:r>
    </w:p>
    <w:p w:rsidR="00014FB3" w:rsidRDefault="00014FB3" w:rsidP="00637695">
      <w:pPr>
        <w:ind w:left="720" w:hanging="720"/>
      </w:pPr>
      <w:r>
        <w:t>Michael, Pelagio C., Divina A. Navarro, Les J. Janik and Rheo B. Lamorena. 2020. USDA soil texture calculator. Potential application of laser‐induced breakdown spectroscopy data for the determination of Cation exchange capacity of agricultural soils, Chemistry 3798–3804.</w:t>
      </w:r>
    </w:p>
    <w:p w:rsidR="005D5677" w:rsidRDefault="005D5677" w:rsidP="00637695">
      <w:pPr>
        <w:ind w:left="720" w:hanging="720"/>
      </w:pPr>
      <w:r w:rsidRPr="005D5677">
        <w:t>Mitiku, Dereje Birhanu. 2011. Numerical Groundwater Flow Modeling of the Meki River Catchment, Central Ethiopia. M.Sc. Thesis. Addis Ababa University. Addis Ababa, Ethiopia. 111 p.</w:t>
      </w:r>
    </w:p>
    <w:p w:rsidR="00014FB3" w:rsidRDefault="00014FB3" w:rsidP="00637695">
      <w:pPr>
        <w:ind w:left="720" w:hanging="720"/>
      </w:pPr>
      <w:r>
        <w:lastRenderedPageBreak/>
        <w:t>Mokarram, Marzieh and Dinesh Sathyamoorthy. 2016. Relationship between landform classification and vegetation (case study: Southwest of Fars Province, Iran). Open Geosciences 8(1):302–9.</w:t>
      </w:r>
    </w:p>
    <w:p w:rsidR="00014FB3" w:rsidRDefault="00014FB3" w:rsidP="00637695">
      <w:pPr>
        <w:ind w:left="720" w:hanging="720"/>
      </w:pPr>
      <w:r>
        <w:t>MoWR. 2002. Federal Democratic Republic of Ethiopia, Ministry of Water Resource Water Sector Development Program Main Report Volume II. Repo</w:t>
      </w:r>
      <w:r w:rsidR="00891501">
        <w:t xml:space="preserve">rt II. Addis Ababa, Ethiopia. </w:t>
      </w:r>
      <w:r>
        <w:t>1–170</w:t>
      </w:r>
      <w:r w:rsidR="00891501">
        <w:t xml:space="preserve"> p</w:t>
      </w:r>
      <w:r>
        <w:t>.</w:t>
      </w:r>
    </w:p>
    <w:p w:rsidR="00014FB3" w:rsidRDefault="00014FB3" w:rsidP="00637695">
      <w:pPr>
        <w:ind w:left="720" w:hanging="720"/>
      </w:pPr>
      <w:r>
        <w:t>MoWR and GWMATE. 2011. Ethiopia: Strategic framework for managed groundwater devel</w:t>
      </w:r>
      <w:r w:rsidR="00891501">
        <w:t xml:space="preserve">opment. Addis Ababa, Ethiopia. </w:t>
      </w:r>
      <w:r>
        <w:t>2–7</w:t>
      </w:r>
      <w:r w:rsidR="00891501">
        <w:t xml:space="preserve"> p</w:t>
      </w:r>
      <w:r>
        <w:t>.</w:t>
      </w:r>
    </w:p>
    <w:p w:rsidR="00014FB3" w:rsidRDefault="00014FB3" w:rsidP="00637695">
      <w:pPr>
        <w:ind w:left="720" w:hanging="720"/>
      </w:pPr>
      <w:r>
        <w:t>Mukherje, A. and A. E. Fryar. 2008. Deeper groundwater chemistry and geochemical modeling of the Arsenic affected Western Bengal Basin, West Bengal, India. Applied Geochemistry 23(4):863-894.</w:t>
      </w:r>
    </w:p>
    <w:p w:rsidR="00014FB3" w:rsidRDefault="00014FB3" w:rsidP="00637695">
      <w:pPr>
        <w:ind w:left="720" w:hanging="720"/>
      </w:pPr>
      <w:r>
        <w:t>Mulugeta, Yonas and Yosef Tafa. 2010. Integrated Hydrogeological mapping of Ginnir map sheet (NB-37-4) Southeastern lowland and adjacent highland of Ethiopia. Geologic</w:t>
      </w:r>
      <w:r w:rsidR="00755149">
        <w:t>al Survey of Ethiopia. Addis Aba</w:t>
      </w:r>
      <w:r>
        <w:t>ba, Ethiopia.</w:t>
      </w:r>
    </w:p>
    <w:p w:rsidR="00014FB3" w:rsidRDefault="00014FB3" w:rsidP="00637695">
      <w:pPr>
        <w:ind w:left="720" w:hanging="720"/>
      </w:pPr>
      <w:r>
        <w:t>Munyaneza, O., A. Mukubwa, S. Maskey, S. Uhlenbrook and J. Wenninger. 2014. Assessment of surface water resources availability using catchment modelling and the results of tracer studies in the Mesoscale Migina catchment, Rwanda. Hydrology and Earth System Sciences 18(12):5289–5301.</w:t>
      </w:r>
    </w:p>
    <w:p w:rsidR="00014FB3" w:rsidRDefault="00014FB3" w:rsidP="00637695">
      <w:pPr>
        <w:ind w:left="720" w:hanging="720"/>
      </w:pPr>
      <w:r>
        <w:t>Nachtergaele, Freddy, Harrij Van Velthuizen, Luc Verelst, Niels Batjes, Koos Dijkshoorn, Vincent Van Engelen, Guenther Fischer, Arwyn Jones, Luca Montanarella, Monica Petri, Sylvia Prieler, Edmar Teixeira, David Wiberg and Xuezheng Shi. 2009. Harmonized World Soil Database (Version 1.1). 1–39.</w:t>
      </w:r>
    </w:p>
    <w:p w:rsidR="00014FB3" w:rsidRDefault="00014FB3" w:rsidP="00637695">
      <w:pPr>
        <w:ind w:left="720" w:hanging="720"/>
      </w:pPr>
      <w:r>
        <w:t>Nagarajan, Moni, and Sujit Singh. 2009. Assessment of groundwater potential zone using GIS technique. Journal of Indian Society of Remote Sensing 37:69–77.</w:t>
      </w:r>
    </w:p>
    <w:p w:rsidR="00014FB3" w:rsidRDefault="00014FB3" w:rsidP="00637695">
      <w:pPr>
        <w:ind w:left="720" w:hanging="720"/>
      </w:pPr>
      <w:r>
        <w:t>Nasir, G., A. Tamane, and A. Tolera. 2019. Irrigation potential assessment on Shaya River Sub-basin in Bale Zone, Oromia Region, Ethiopia. Irrigation and Drainage Systems Engineering 8(1):1–7.</w:t>
      </w:r>
    </w:p>
    <w:p w:rsidR="00014FB3" w:rsidRDefault="00014FB3" w:rsidP="00637695">
      <w:pPr>
        <w:ind w:left="720" w:hanging="720"/>
      </w:pPr>
      <w:r>
        <w:t xml:space="preserve">Nuru, Adem Berihun. 2018. </w:t>
      </w:r>
      <w:r w:rsidR="00E11F13">
        <w:t>Assessment</w:t>
      </w:r>
      <w:r>
        <w:t xml:space="preserve"> of potential groundwater zone using integrated GIS and Remote Sensing techniques in Sekota Wereda, Northern Ethiopia. M.Sc Thesis. Addis Ababa University. Addis Ababa, Ethiopia. p 59.</w:t>
      </w:r>
    </w:p>
    <w:p w:rsidR="00014FB3" w:rsidRDefault="00014FB3" w:rsidP="00637695">
      <w:pPr>
        <w:ind w:left="720" w:hanging="720"/>
      </w:pPr>
      <w:r>
        <w:lastRenderedPageBreak/>
        <w:t xml:space="preserve">Olaya, Victor. 2004. A Gentle Introduction to SAGA GIS. First edition. </w:t>
      </w:r>
      <w:r w:rsidR="00891501">
        <w:t>Edited</w:t>
      </w:r>
      <w:r>
        <w:t xml:space="preserve"> by J. Pineda and V. Olaya. p 214. AESIA Desarrollo y Proyectos Medioambientales, S.L., Madrid, Spain.</w:t>
      </w:r>
    </w:p>
    <w:p w:rsidR="00014FB3" w:rsidRDefault="00014FB3" w:rsidP="00637695">
      <w:pPr>
        <w:ind w:left="720" w:hanging="720"/>
      </w:pPr>
      <w:r>
        <w:t>Patra, Suman, Satiprasad Sahoo, Pulak Mishra and Subhash Chandra Mahapatra. 2018. Impacts of urbanization on LU/LC and its probable implications on local climate and groundwater level. Journal of Urban Management 7(2):70–84.</w:t>
      </w:r>
    </w:p>
    <w:p w:rsidR="00014FB3" w:rsidRDefault="00014FB3" w:rsidP="00637695">
      <w:pPr>
        <w:ind w:left="720" w:hanging="720"/>
      </w:pPr>
      <w:r>
        <w:t>PCI Geomatics Enterprises. 2017. Geomatica 2017 installation and licencing guide. PCI Geomatics Enterprises, Inc.90 Allstate Parkway, Suite 501, Markham, Ontario, Canada p 1-24.</w:t>
      </w:r>
    </w:p>
    <w:p w:rsidR="00014FB3" w:rsidRDefault="00014FB3" w:rsidP="00637695">
      <w:pPr>
        <w:ind w:left="720" w:hanging="720"/>
      </w:pPr>
      <w:r>
        <w:t>PCI Geomatics Enterprises. 2018. Geomatica I guide version 2018. PCI Geomatics Enterprises, Inc. 90 Allstate Parkway, Suite 5</w:t>
      </w:r>
      <w:r w:rsidR="00891501">
        <w:t>01, Markham, Ontario, Canada. p</w:t>
      </w:r>
      <w:r>
        <w:t>130.</w:t>
      </w:r>
    </w:p>
    <w:p w:rsidR="00014FB3" w:rsidRDefault="00014FB3" w:rsidP="00637695">
      <w:pPr>
        <w:ind w:left="720" w:hanging="720"/>
      </w:pPr>
      <w:r>
        <w:t xml:space="preserve">Punmia, B. C., Pande Brij Basi Lal, Ashok Kumar Jain and Arun Kumar Jain. 2009. Irrigation and water power engineering. Sixteenth. Laxmi publication (p) LTD.113, Golden house, Daryaganj, New Delhi-11002, India p 1-961. </w:t>
      </w:r>
    </w:p>
    <w:p w:rsidR="00014FB3" w:rsidRDefault="00014FB3" w:rsidP="00637695">
      <w:pPr>
        <w:ind w:left="720" w:hanging="720"/>
      </w:pPr>
      <w:r>
        <w:t xml:space="preserve">Raghunath, H. M. 2006. Hydrology: Principles, analysis and design. </w:t>
      </w:r>
      <w:r w:rsidR="00891501">
        <w:t>Second</w:t>
      </w:r>
      <w:r>
        <w:t xml:space="preserve">. New Age International. New Delhi, India. </w:t>
      </w:r>
    </w:p>
    <w:p w:rsidR="00014FB3" w:rsidRDefault="00014FB3" w:rsidP="00637695">
      <w:pPr>
        <w:ind w:left="720" w:hanging="720"/>
      </w:pPr>
      <w:r>
        <w:t>Rahman, Atiqur, Sunil Kumar and Shahab Fazal. 2012. Assessment of LU/LC change in the North-West District of Delhi using Remote Sensing and GIS techniques. Journal of the Indian Society of Remote Sensing (5).</w:t>
      </w:r>
    </w:p>
    <w:p w:rsidR="00014FB3" w:rsidRDefault="00014FB3" w:rsidP="00637695">
      <w:pPr>
        <w:ind w:left="720" w:hanging="720"/>
      </w:pPr>
      <w:r>
        <w:t>Rahmati, O., A. Nazari Samani, M. Mahdavi, H. R. Pourghasemi and H. Zeinivand. 2015. Groundwater potential mapping at Kurdistan Region of Iran using analytic hierarchy process and GIS. Arabian Journal of Geosciences 8(9):7059–7071.</w:t>
      </w:r>
    </w:p>
    <w:p w:rsidR="00014FB3" w:rsidRDefault="00014FB3" w:rsidP="00637695">
      <w:pPr>
        <w:ind w:left="720" w:hanging="720"/>
      </w:pPr>
      <w:r>
        <w:t>Raj, Kiran and Ashfaq Syed Ahmed. 2014. Lineament extraction from Southern Chitradurga Schist Belt using Landsat TM, ASTERGDEM and geomatics techniques. International Journal of Computer Applications 93(12):12–20.</w:t>
      </w:r>
    </w:p>
    <w:p w:rsidR="00014FB3" w:rsidRDefault="00014FB3" w:rsidP="00637695">
      <w:pPr>
        <w:ind w:left="720" w:hanging="720"/>
      </w:pPr>
      <w:r>
        <w:t>Rajaveni, S. P., K. Brindha and L. Elango. 2017. Geological and geomorphological controls on groundwater occurrence in a Hard Rock Region. Applied Water Science 7(3):1377–89.</w:t>
      </w:r>
    </w:p>
    <w:p w:rsidR="00014FB3" w:rsidRDefault="00014FB3" w:rsidP="00637695">
      <w:pPr>
        <w:ind w:left="720" w:hanging="720"/>
      </w:pPr>
      <w:r>
        <w:lastRenderedPageBreak/>
        <w:t>Ramu, Mahalingam B., and M. Vinay. 2014. Identification of groundwater potential zones using GIS and Remote Sensing techniques: A case study of Mysore Taluk - Karnataka. International Journal of Geomatics and Geosciences 5(3).</w:t>
      </w:r>
    </w:p>
    <w:p w:rsidR="00643EFF" w:rsidRDefault="00643EFF" w:rsidP="00637695">
      <w:pPr>
        <w:ind w:left="720" w:hanging="720"/>
      </w:pPr>
      <w:r w:rsidRPr="00643EFF">
        <w:t>Richman, Eliza and Admassu, Biniyam. 2013. Bale Mountains National Park: A traveller’s guide book. The Ethiopian Wildlife Conservation Authority (EWCA). Frankfurt Zoological Society and the Bale Mountains National Park. European Union p 13.</w:t>
      </w:r>
    </w:p>
    <w:p w:rsidR="00014FB3" w:rsidRDefault="00014FB3" w:rsidP="00637695">
      <w:pPr>
        <w:ind w:left="720" w:hanging="720"/>
      </w:pPr>
      <w:r>
        <w:t xml:space="preserve">RockWorks. 2008. RockWorks manual: Earth science and GIS software. Vol. 1. </w:t>
      </w:r>
      <w:r w:rsidR="00891501">
        <w:t>First</w:t>
      </w:r>
      <w:r>
        <w:t xml:space="preserve"> edit. RockWare, Inc. 2221 East St., Suite 101 80401 Golden, CO USA. p 361. </w:t>
      </w:r>
    </w:p>
    <w:p w:rsidR="00014FB3" w:rsidRDefault="00014FB3" w:rsidP="00637695">
      <w:pPr>
        <w:ind w:left="720" w:hanging="720"/>
      </w:pPr>
      <w:r>
        <w:t>Rwanga, S. S. and J. M. Ndambuki. 2017. Approach to quantify groundwater recharge using GIS based water balance model: A review. International Journal of Research in Chemical, Metallurgical and Civil Engineering 4(1):144–50.</w:t>
      </w:r>
    </w:p>
    <w:p w:rsidR="00014FB3" w:rsidRDefault="00014FB3" w:rsidP="00637695">
      <w:pPr>
        <w:ind w:left="720" w:hanging="720"/>
      </w:pPr>
      <w:r>
        <w:t>Rwanga, Sophia S. 2013. A review on groundwate</w:t>
      </w:r>
      <w:r w:rsidR="00891501">
        <w:t>r recharge estimation using WetS</w:t>
      </w:r>
      <w:r>
        <w:t>pass model. In International Conference on Civil and Environmental Engineering</w:t>
      </w:r>
      <w:r w:rsidR="00891501">
        <w:t xml:space="preserve">. Johannesburg, South Africa. </w:t>
      </w:r>
      <w:r>
        <w:t>156–</w:t>
      </w:r>
      <w:r w:rsidR="008E04DE">
        <w:t>1</w:t>
      </w:r>
      <w:r>
        <w:t>60</w:t>
      </w:r>
      <w:r w:rsidR="00891501">
        <w:t xml:space="preserve"> p</w:t>
      </w:r>
      <w:r>
        <w:t>.</w:t>
      </w:r>
    </w:p>
    <w:p w:rsidR="00014FB3" w:rsidRDefault="00014FB3" w:rsidP="00637695">
      <w:pPr>
        <w:ind w:left="720" w:hanging="720"/>
      </w:pPr>
      <w:r>
        <w:t>Saaty, T. L. 1977. A Scaling Method for priorities in hierarchical structures. Journal of Mathematical Psychology 15(3):231–81.</w:t>
      </w:r>
    </w:p>
    <w:p w:rsidR="00014FB3" w:rsidRDefault="00014FB3" w:rsidP="00637695">
      <w:pPr>
        <w:ind w:left="720" w:hanging="720"/>
      </w:pPr>
      <w:r>
        <w:t>Saaty, T. L. 2000. Fundamentals of decision making and priority theory with the analytic hierarchy process. RWS Publications, Pittsburgh, USA.</w:t>
      </w:r>
    </w:p>
    <w:p w:rsidR="00014FB3" w:rsidRDefault="00014FB3" w:rsidP="00637695">
      <w:pPr>
        <w:ind w:left="720" w:hanging="720"/>
      </w:pPr>
      <w:r>
        <w:t>Saaty, T. L., and K. Kearns. 1985. The Analytic Hierarchy Process, Decision Analysis. McGraw Hill, New York, USA.</w:t>
      </w:r>
    </w:p>
    <w:p w:rsidR="00014FB3" w:rsidRDefault="00014FB3" w:rsidP="00637695">
      <w:pPr>
        <w:ind w:left="720" w:hanging="720"/>
      </w:pPr>
      <w:r>
        <w:t>Salwa, F. 2015. An overview of integrated Remote Sensing and GIS for groundwater mapping in Egypt. Ain Shams Engineering Journal 6(1):1–15.</w:t>
      </w:r>
    </w:p>
    <w:p w:rsidR="00014FB3" w:rsidRDefault="00014FB3" w:rsidP="00637695">
      <w:pPr>
        <w:ind w:left="720" w:hanging="720"/>
      </w:pPr>
      <w:r>
        <w:t>Sanford, Ward. 2002. Recharge and groundwater models: An overview. Hydrogeology Journal 10(1):110–20.</w:t>
      </w:r>
    </w:p>
    <w:p w:rsidR="00014FB3" w:rsidRDefault="00014FB3" w:rsidP="00637695">
      <w:pPr>
        <w:ind w:left="720" w:hanging="720"/>
      </w:pPr>
      <w:r>
        <w:t>Seifu, K. 2012. Groundwater in Ethiopia current state and development outlook</w:t>
      </w:r>
      <w:r w:rsidR="00221678">
        <w:t>.</w:t>
      </w:r>
    </w:p>
    <w:p w:rsidR="00014FB3" w:rsidRDefault="00014FB3" w:rsidP="00637695">
      <w:pPr>
        <w:ind w:left="720" w:hanging="720"/>
      </w:pPr>
      <w:r>
        <w:t>Seifu</w:t>
      </w:r>
      <w:r w:rsidR="008E04DE">
        <w:t>,</w:t>
      </w:r>
      <w:r>
        <w:t xml:space="preserve"> K. 2006. Groundwater o</w:t>
      </w:r>
      <w:r w:rsidR="00755149">
        <w:t>ccurrence in Ethiopia. Addis Aba</w:t>
      </w:r>
      <w:r>
        <w:t>ba University Press. Addis Ab</w:t>
      </w:r>
      <w:r w:rsidR="00755149">
        <w:t>a</w:t>
      </w:r>
      <w:r>
        <w:t>ba, Ethiopia.</w:t>
      </w:r>
    </w:p>
    <w:p w:rsidR="00EA18F0" w:rsidRDefault="00EA18F0" w:rsidP="00637695">
      <w:pPr>
        <w:ind w:left="720" w:hanging="720"/>
      </w:pPr>
      <w:r w:rsidRPr="00EA18F0">
        <w:t>Selinus, O. 2013. Essentials of Medical Geology Revised Edition. Dordrecht: Springer Netherlands. Web. ISBN: 9789400743755/9789400743748.</w:t>
      </w:r>
    </w:p>
    <w:p w:rsidR="00014FB3" w:rsidRDefault="00014FB3" w:rsidP="00637695">
      <w:pPr>
        <w:ind w:left="720" w:hanging="720"/>
      </w:pPr>
      <w:r>
        <w:lastRenderedPageBreak/>
        <w:t>Semere, Solomon. 2003. Remote Sensing and GIS: Applications for groundwater potential assessment in Eritrea. Ph.D Thesis. Royal Institute of Technology SE-100 44 Stockholm, Sweden. p 136.</w:t>
      </w:r>
    </w:p>
    <w:p w:rsidR="00014FB3" w:rsidRDefault="00014FB3" w:rsidP="00637695">
      <w:pPr>
        <w:ind w:left="720" w:hanging="720"/>
      </w:pPr>
      <w:r>
        <w:t>S</w:t>
      </w:r>
      <w:r w:rsidR="00221678">
        <w:t xml:space="preserve">enanayake, I. P., D. </w:t>
      </w:r>
      <w:r>
        <w:t>Dissanayake, B. B. Mayadunna and W. L. Weerasekera. 2016. An approach to delineate groundwater recharge potential sites in Ambalantota, Sri Lanka using GIS techniques. Geoscience Frontiers 7(1):115–24.</w:t>
      </w:r>
    </w:p>
    <w:p w:rsidR="00014FB3" w:rsidRDefault="00014FB3" w:rsidP="00637695">
      <w:pPr>
        <w:ind w:left="720" w:hanging="720"/>
      </w:pPr>
      <w:r>
        <w:t>Serur, Abdulkerim Bedewi and Arup Kumar Sarma. 2016a. Evaluation of the ArcSWAT model in simulating catchment hydrology : In Weyib River Basin, Bale Mountainous area of Southeastern Ethiopia. International Journal of Innovative and Emerging Research in Engineering 3(2):7.</w:t>
      </w:r>
    </w:p>
    <w:p w:rsidR="00014FB3" w:rsidRDefault="00014FB3" w:rsidP="00637695">
      <w:pPr>
        <w:ind w:left="720" w:hanging="720"/>
      </w:pPr>
      <w:r>
        <w:t>Serur, Abdulkerim Bedewi and Arup Kumar Sarma. 2016b. Impact of climate change on water availability in the Weyib River Basin, Southeastern Ethiopia. International Journal of Innovative Research in Science, Engineering and Technology 5(6):9704–12.</w:t>
      </w:r>
    </w:p>
    <w:p w:rsidR="00014FB3" w:rsidRDefault="00014FB3" w:rsidP="00637695">
      <w:pPr>
        <w:ind w:left="720" w:hanging="720"/>
      </w:pPr>
      <w:r>
        <w:t>Sewnet, Demeke, Hasan Raja Naqvi, A. S. Mohammed and Abdul Athick. 2016. Zonation of potential groundwater and its spatial correlation with indices and boreholes: Western Region of Blue Nile Basin, Ethiopia. Journal of Remote Sensing and GIS 7(3):1–13.</w:t>
      </w:r>
    </w:p>
    <w:p w:rsidR="00014FB3" w:rsidRDefault="00014FB3" w:rsidP="00637695">
      <w:pPr>
        <w:ind w:left="720" w:hanging="720"/>
      </w:pPr>
      <w:r>
        <w:t>Shamuyarira, K. K. 2017. Determination of recharge and groundwater potential zones in Mhinga Area, South Africa. Master’s dissertation. University of Venda.</w:t>
      </w:r>
    </w:p>
    <w:p w:rsidR="002A4ECA" w:rsidRDefault="002A4ECA" w:rsidP="00637695">
      <w:pPr>
        <w:ind w:left="720" w:hanging="720"/>
      </w:pPr>
      <w:r>
        <w:t xml:space="preserve">Sharma, C. </w:t>
      </w:r>
      <w:r w:rsidRPr="002A4ECA">
        <w:t>B. 2021. Applied environmental sciences and engineering. BFC Publications private limited. CP-61, Viraj khand, Gomti nagar, Lucknow-226010</w:t>
      </w:r>
      <w:r>
        <w:t>. p645</w:t>
      </w:r>
    </w:p>
    <w:p w:rsidR="00014FB3" w:rsidRDefault="00014FB3" w:rsidP="00637695">
      <w:pPr>
        <w:ind w:left="720" w:hanging="720"/>
      </w:pPr>
      <w:r>
        <w:t xml:space="preserve">Singhal, B. B. S. and R. P. Gupta. 1999. Applied Hydrogeology of fractured rocks. </w:t>
      </w:r>
      <w:r w:rsidR="00891501">
        <w:t>Second</w:t>
      </w:r>
      <w:r>
        <w:t xml:space="preserve"> edition. Springer Science+Business B.V. Media, London.</w:t>
      </w:r>
    </w:p>
    <w:p w:rsidR="00014FB3" w:rsidRDefault="00014FB3" w:rsidP="00637695">
      <w:pPr>
        <w:ind w:left="720" w:hanging="720"/>
      </w:pPr>
      <w:r>
        <w:t>Siraj, S., L. Mikhailov and J. Keane. 2015. PriEsT: An interactive decision support tool to estimate priorities from pairwise comparison judgments. International Transactions in Operational Research 22:217–35.</w:t>
      </w:r>
    </w:p>
    <w:p w:rsidR="00014FB3" w:rsidRDefault="00014FB3" w:rsidP="00637695">
      <w:pPr>
        <w:ind w:left="720" w:hanging="720"/>
      </w:pPr>
      <w:r>
        <w:t>Sotoponto, C., A. ArellanoBaeza and G. Sanchez. 2013. A new code for the automatic detection and analysis of lineament pattern for geophysical and geological purposes. Computers and Geosciences 57:93–103.</w:t>
      </w:r>
    </w:p>
    <w:p w:rsidR="006F35BF" w:rsidRDefault="006F35BF" w:rsidP="00637695">
      <w:pPr>
        <w:ind w:left="720" w:hanging="720"/>
      </w:pPr>
      <w:r w:rsidRPr="006F35BF">
        <w:lastRenderedPageBreak/>
        <w:t xml:space="preserve">Sudhir, K. S., </w:t>
      </w:r>
      <w:r>
        <w:t xml:space="preserve">K.S. Chander and M. Saumitra. </w:t>
      </w:r>
      <w:r w:rsidRPr="006F35BF">
        <w:t>2010</w:t>
      </w:r>
      <w:r>
        <w:t xml:space="preserve">. </w:t>
      </w:r>
      <w:r w:rsidRPr="006F35BF">
        <w:t xml:space="preserve">Impact of </w:t>
      </w:r>
      <w:r w:rsidR="007005B7">
        <w:t xml:space="preserve">LU/LC </w:t>
      </w:r>
      <w:r w:rsidRPr="006F35BF">
        <w:t xml:space="preserve">change on groundwater quality </w:t>
      </w:r>
      <w:r w:rsidR="007005B7">
        <w:t>in the Lower Shiwalik hills: a Remote S</w:t>
      </w:r>
      <w:r w:rsidRPr="006F35BF">
        <w:t>ensing and GIS based approach. Central Euro</w:t>
      </w:r>
      <w:r w:rsidR="007005B7">
        <w:t>pean Journal of Geosciences 2(2):</w:t>
      </w:r>
      <w:r w:rsidRPr="006F35BF">
        <w:t>124-131.</w:t>
      </w:r>
    </w:p>
    <w:p w:rsidR="00014FB3" w:rsidRDefault="00014FB3" w:rsidP="00637695">
      <w:pPr>
        <w:ind w:left="720" w:hanging="720"/>
      </w:pPr>
      <w:r>
        <w:t>Sridhar, Venkataramana, Syed Azhar Ali and Venkataraman Lakshmi. 2019. Assessment and validation of total water storage in the Chesapeake Bay watershed using GRACE. Journal of Hydrology: Regional Studies 24(2018):100607.</w:t>
      </w:r>
    </w:p>
    <w:p w:rsidR="00014FB3" w:rsidRDefault="00014FB3" w:rsidP="00637695">
      <w:pPr>
        <w:ind w:left="720" w:hanging="720"/>
      </w:pPr>
      <w:r>
        <w:t xml:space="preserve">Subramanya, K. 2008. Engineering hydology. </w:t>
      </w:r>
      <w:r w:rsidR="000460D1">
        <w:t>In</w:t>
      </w:r>
      <w:r>
        <w:t xml:space="preserve"> </w:t>
      </w:r>
      <w:r w:rsidR="000460D1">
        <w:t>Engineering</w:t>
      </w:r>
      <w:r>
        <w:t xml:space="preserve"> hydrology. </w:t>
      </w:r>
      <w:r w:rsidR="00BF2C0C">
        <w:t>Third</w:t>
      </w:r>
      <w:r>
        <w:t xml:space="preserve"> edition. </w:t>
      </w:r>
      <w:r w:rsidR="00BF2C0C">
        <w:t>Edited</w:t>
      </w:r>
      <w:r>
        <w:t xml:space="preserve"> by S. Mukherjee. McGraw-Hill publishing company limited. 7 West P</w:t>
      </w:r>
      <w:r w:rsidR="00BF2C0C">
        <w:t xml:space="preserve">atel Nagar, New Delhi 110008. </w:t>
      </w:r>
      <w:r>
        <w:t>26–37</w:t>
      </w:r>
      <w:r w:rsidR="00BF2C0C">
        <w:t xml:space="preserve"> p.</w:t>
      </w:r>
    </w:p>
    <w:p w:rsidR="00014FB3" w:rsidRDefault="00014FB3" w:rsidP="00637695">
      <w:pPr>
        <w:ind w:left="720" w:hanging="720"/>
      </w:pPr>
      <w:r>
        <w:t>Sukristiyanti, S., R. Maria and H. Lestiana. 2018. Watershed-based morphometric analysis: a review. IOP Conference Series: Earth and Environmental Science 118(1).</w:t>
      </w:r>
    </w:p>
    <w:p w:rsidR="00D94DF5" w:rsidRDefault="00D94DF5" w:rsidP="00637695">
      <w:pPr>
        <w:ind w:left="720" w:hanging="720"/>
      </w:pPr>
      <w:r>
        <w:t xml:space="preserve">Tadesse, T. </w:t>
      </w:r>
      <w:r w:rsidRPr="00D94DF5">
        <w:t xml:space="preserve">2017. Spatiotemporal </w:t>
      </w:r>
      <w:r>
        <w:t>LU/LC change, driving forces and c</w:t>
      </w:r>
      <w:r w:rsidRPr="00D94DF5">
        <w:t>onsequences in Ameya</w:t>
      </w:r>
      <w:r>
        <w:t xml:space="preserve"> Woreda, Central, Ethiopia. M.Sc. </w:t>
      </w:r>
      <w:r w:rsidRPr="00D94DF5">
        <w:t>Thesis, Addis Ababa University</w:t>
      </w:r>
      <w:r>
        <w:t xml:space="preserve">. </w:t>
      </w:r>
      <w:r w:rsidR="00755149">
        <w:t>Addis Aba</w:t>
      </w:r>
      <w:r w:rsidRPr="00D94DF5">
        <w:t>ba, Ethiopia.</w:t>
      </w:r>
    </w:p>
    <w:p w:rsidR="00014FB3" w:rsidRDefault="00014FB3" w:rsidP="00637695">
      <w:pPr>
        <w:ind w:left="720" w:hanging="720"/>
      </w:pPr>
      <w:r>
        <w:t>Takorabt, Mebarka, Ahmed Cherif Toubal, Hamid Haddoum and Siham Zerrouk. 2018. Determining the role of lineaments in underground hydrodynamics using Landsat 7 ETM+ data, case of the Chott El Gharbi Basin (Western Algeria). Arabian Journal of Geosciences 11:76.</w:t>
      </w:r>
    </w:p>
    <w:p w:rsidR="0027509C" w:rsidRDefault="0027509C" w:rsidP="00637695">
      <w:pPr>
        <w:ind w:left="720" w:hanging="720"/>
      </w:pPr>
      <w:r w:rsidRPr="0027509C">
        <w:t>Takounjou1</w:t>
      </w:r>
      <w:r w:rsidR="008E04DE">
        <w:t>,</w:t>
      </w:r>
      <w:r w:rsidRPr="0027509C">
        <w:t xml:space="preserve"> A.F., V. V. S. Gurunadha Rao, J. N. Ngoupayou, L. S. Nkamdjou and G. E. Ekodeck. 2009. Groundwater flow modelling in the upper Anga’a river watershed, Yaounde, Cameroon. African Journal of Envir</w:t>
      </w:r>
      <w:r>
        <w:t xml:space="preserve">onmental Science and Technology </w:t>
      </w:r>
      <w:r w:rsidRPr="0027509C">
        <w:t>3(10): 341-352</w:t>
      </w:r>
      <w:r>
        <w:t>.</w:t>
      </w:r>
    </w:p>
    <w:p w:rsidR="00014FB3" w:rsidRDefault="00014FB3" w:rsidP="00637695">
      <w:pPr>
        <w:ind w:left="720" w:hanging="720"/>
      </w:pPr>
      <w:r>
        <w:t xml:space="preserve">Tefera, Mengesha, Tadiwose Cherinet and Workineh Haro. 1996. Explanation to the Geological Map of </w:t>
      </w:r>
      <w:r w:rsidR="008D1638">
        <w:t>Ethiopia,</w:t>
      </w:r>
      <w:r>
        <w:t xml:space="preserve"> Addis Ababa.</w:t>
      </w:r>
    </w:p>
    <w:p w:rsidR="00014FB3" w:rsidRDefault="00014FB3" w:rsidP="00637695">
      <w:pPr>
        <w:ind w:left="720" w:hanging="720"/>
      </w:pPr>
      <w:r>
        <w:t xml:space="preserve">Tegegn, Kassa. 2015. Assessment of </w:t>
      </w:r>
      <w:r w:rsidR="00D94DF5">
        <w:t>Groundwater potential zones in B</w:t>
      </w:r>
      <w:r>
        <w:t>aro basin using GIS and Remote Sensing. Arba Minch University. Arba Minch, Ethiopia. p 68.</w:t>
      </w:r>
    </w:p>
    <w:p w:rsidR="00014FB3" w:rsidRDefault="00014FB3" w:rsidP="00637695">
      <w:pPr>
        <w:ind w:left="720" w:hanging="720"/>
      </w:pPr>
      <w:r>
        <w:t>Tiwari, AK., PK. Singh, S. Chandra and A. Ghosh. 2016. Assessment of groundwater level fluctuation by using Remote Sensing and GIS in West Bokaro Coalfield, Jharkhand, India. ISH Journal of Hydraulic Engineering 22:59–67.</w:t>
      </w:r>
    </w:p>
    <w:p w:rsidR="00014FB3" w:rsidRDefault="00014FB3" w:rsidP="00637695">
      <w:pPr>
        <w:ind w:left="720" w:hanging="720"/>
      </w:pPr>
      <w:r>
        <w:lastRenderedPageBreak/>
        <w:t xml:space="preserve">Todd, David Keith. 2005. Groundwater Hydrology. 3rd edition. John Wiley and Sons, Inc. edited by B. J. W. V. A. V. Zobrist. Hoboken, USA. p 636.  </w:t>
      </w:r>
    </w:p>
    <w:p w:rsidR="00014FB3" w:rsidRDefault="00014FB3" w:rsidP="00637695">
      <w:pPr>
        <w:ind w:left="720" w:hanging="720"/>
      </w:pPr>
      <w:r>
        <w:t>Tolcha, Ashenafi Tedla. 2009. Impact Assessment of LU/LC changes on Shaya River flow using SWAT (case study of Shaya watershed, in Bale). M.Sc Thesis. Arba Minch University. Arba Minch, Ethiopia.</w:t>
      </w:r>
    </w:p>
    <w:p w:rsidR="00014FB3" w:rsidRDefault="00014FB3" w:rsidP="00637695">
      <w:pPr>
        <w:ind w:left="720" w:hanging="720"/>
      </w:pPr>
      <w:r>
        <w:t>Waikar, M. L. and Aditya P. Nilawar. 2014. Identification of groundwater potential zone Using Remote Sensing and GIS technique. International Journal of Innovative Research in Science, Engineering and Technology 3:12163–74.</w:t>
      </w:r>
    </w:p>
    <w:p w:rsidR="0068089A" w:rsidRDefault="0068089A" w:rsidP="0068089A">
      <w:pPr>
        <w:ind w:left="720" w:hanging="720"/>
      </w:pPr>
      <w:r w:rsidRPr="008307C8">
        <w:t>Walker</w:t>
      </w:r>
      <w:r>
        <w:t xml:space="preserve"> D., G. Parkin, P. Schmitter, J. Gowing, S. A. Tilahun, A. T. Haile, and A. Y. Yimam. 2019. Insights from a multi-method recharge estimation comparison study. </w:t>
      </w:r>
      <w:r w:rsidRPr="008976D1">
        <w:t>Groundwater</w:t>
      </w:r>
      <w:r>
        <w:t xml:space="preserve"> (</w:t>
      </w:r>
      <w:r w:rsidRPr="008976D1">
        <w:t>NGWA.org</w:t>
      </w:r>
      <w:r>
        <w:t>). 57 (2):245–258.</w:t>
      </w:r>
      <w:r w:rsidRPr="008976D1">
        <w:t xml:space="preserve"> </w:t>
      </w:r>
    </w:p>
    <w:p w:rsidR="001628F3" w:rsidRDefault="001628F3" w:rsidP="00637695">
      <w:pPr>
        <w:ind w:left="720" w:hanging="720"/>
      </w:pPr>
      <w:r w:rsidRPr="001628F3">
        <w:t xml:space="preserve">Werz, Heike. 2006. The use of remote sensing imagery for groundwater risk intensity mapping in </w:t>
      </w:r>
      <w:r w:rsidR="00274E60">
        <w:t>the Wadi Shueib, Jordan. Ph.D. T</w:t>
      </w:r>
      <w:r w:rsidR="00663C41">
        <w:t>hesis. University of</w:t>
      </w:r>
      <w:r w:rsidR="00FF4BED">
        <w:t xml:space="preserve"> Karlsruhe, Germany. </w:t>
      </w:r>
      <w:r w:rsidRPr="001628F3">
        <w:t>1-144</w:t>
      </w:r>
      <w:r w:rsidR="008068EF">
        <w:t xml:space="preserve"> </w:t>
      </w:r>
      <w:r w:rsidR="00663C41">
        <w:t>p</w:t>
      </w:r>
      <w:r w:rsidRPr="001628F3">
        <w:t>.</w:t>
      </w:r>
    </w:p>
    <w:p w:rsidR="00DF7ED4" w:rsidRDefault="00DF7ED4" w:rsidP="00637695">
      <w:pPr>
        <w:ind w:left="720" w:hanging="720"/>
      </w:pPr>
      <w:r w:rsidRPr="00DF7ED4">
        <w:t>Whitehead</w:t>
      </w:r>
      <w:r>
        <w:t>,</w:t>
      </w:r>
      <w:r w:rsidRPr="00DF7ED4">
        <w:t xml:space="preserve"> P. G., R. L. Wilby , R. W. Battarbee , M. Kernan and  A. J. Wade. 2009. A review of the potential impacts of climate change on surface water quality. Hydrological Sciences Journal, 54:1, 101-123, doi: 10.1623/hysj.54.1.101</w:t>
      </w:r>
    </w:p>
    <w:p w:rsidR="00014FB3" w:rsidRDefault="00014FB3" w:rsidP="00637695">
      <w:pPr>
        <w:ind w:left="720" w:hanging="720"/>
      </w:pPr>
      <w:r>
        <w:t xml:space="preserve">Winchell, M., R. Srinivasan, M. Di Luzio and J. Arnold. 2013. ArcSWAT Interface for SWAT2012 </w:t>
      </w:r>
      <w:r w:rsidR="008D1638">
        <w:t>user’s</w:t>
      </w:r>
      <w:r>
        <w:t xml:space="preserve"> guide. Blackland Research </w:t>
      </w:r>
      <w:r w:rsidR="008D1638">
        <w:t>and</w:t>
      </w:r>
      <w:r>
        <w:t xml:space="preserve"> Extension Center Texas Agrilife Research, 720 East Blackland Road - Temple, Texas. p 459.</w:t>
      </w:r>
    </w:p>
    <w:p w:rsidR="007347A8" w:rsidRDefault="00014FB3" w:rsidP="007347A8">
      <w:pPr>
        <w:ind w:left="720" w:hanging="720"/>
      </w:pPr>
      <w:r>
        <w:t>Woldeyohannes, Meseret. 2016. Estimating water balance of Tegona watershed in, Southeastern Ethiopia, using SWAT model. M.Sc. Thesis. Madda Walabu University, Bale Robe, Ethiopia.</w:t>
      </w:r>
    </w:p>
    <w:p w:rsidR="007347A8" w:rsidRDefault="007347A8" w:rsidP="007347A8">
      <w:pPr>
        <w:ind w:left="720" w:hanging="720"/>
      </w:pPr>
      <w:r>
        <w:t>Wu Q., G. Wang, W. Zhang, H. Cui and W. Zhang. 2016. Estimation of groundwater recharge using tracers and numerical modeling in the North China Plain. Water 8: 353. doi:10.3390/w8080353</w:t>
      </w:r>
      <w:r w:rsidR="00BF2C0C">
        <w:t>.</w:t>
      </w:r>
    </w:p>
    <w:p w:rsidR="00014FB3" w:rsidRDefault="00014FB3" w:rsidP="00637695">
      <w:pPr>
        <w:ind w:left="720" w:hanging="720"/>
      </w:pPr>
      <w:r>
        <w:t>Yasin, Ahmed. 2017. Investigation of drinking water quality, sanitation-hygiene practices and the potential of indigenous plant seed for water purification in Southeast Ethiopia. Ph. Thesis. University of South Africa</w:t>
      </w:r>
      <w:r w:rsidR="00BF2C0C">
        <w:t>, South Africa</w:t>
      </w:r>
      <w:r>
        <w:t>.</w:t>
      </w:r>
    </w:p>
    <w:p w:rsidR="00014FB3" w:rsidRDefault="00014FB3" w:rsidP="00637695">
      <w:pPr>
        <w:ind w:left="720" w:hanging="720"/>
      </w:pPr>
      <w:r>
        <w:lastRenderedPageBreak/>
        <w:t>Yismaw, Aman, Asaminew Besufikad, Tarekegn Dure, Argaw Ersido, Eriko Kebede, Dimberu Besfiat, Tsegaye Wondfraw and Tewodros Abdulahid. 2015. Geology geochemistryand gravity survey of Megalo map sheet memoir 45. Geologic</w:t>
      </w:r>
      <w:r w:rsidR="00755149">
        <w:t>al Survey of Ethiopia, Addis Aba</w:t>
      </w:r>
      <w:r>
        <w:t>ba, Ethiopia. p 80.</w:t>
      </w:r>
    </w:p>
    <w:p w:rsidR="00014FB3" w:rsidRDefault="00014FB3" w:rsidP="00637695">
      <w:pPr>
        <w:ind w:left="720" w:hanging="720"/>
      </w:pPr>
      <w:r>
        <w:t>Yu, X., R. Ghasemizadeh, IY. Padilla, D. Kaeli and A. Alshawabkeh. 2016. Patterns of temporal scaling of groundwater level fluctuation. Journal of Hydrology 536:485–495.</w:t>
      </w:r>
    </w:p>
    <w:p w:rsidR="006F79F7" w:rsidRDefault="006F79F7" w:rsidP="00637695">
      <w:pPr>
        <w:ind w:left="720" w:hanging="720"/>
      </w:pPr>
      <w:r w:rsidRPr="006F79F7">
        <w:t>Zarrouk</w:t>
      </w:r>
      <w:r>
        <w:t>,</w:t>
      </w:r>
      <w:r w:rsidRPr="006F79F7">
        <w:t xml:space="preserve"> </w:t>
      </w:r>
      <w:r>
        <w:t xml:space="preserve">S. </w:t>
      </w:r>
      <w:r w:rsidRPr="006F79F7">
        <w:t xml:space="preserve">J. and McLean </w:t>
      </w:r>
      <w:r>
        <w:t>K</w:t>
      </w:r>
      <w:r w:rsidRPr="006F79F7">
        <w:t>. 2019. Advanced analytical pressure-transient analysis relevant to geothermal wells. Geothermal well test analysis. Academic Press. 89-111p. ISB</w:t>
      </w:r>
      <w:r>
        <w:t>N 9780128192665. doi:</w:t>
      </w:r>
      <w:r w:rsidRPr="006F79F7">
        <w:t>10.1016/B978-0-12-814946-1.00005-0.</w:t>
      </w:r>
    </w:p>
    <w:p w:rsidR="00014FB3" w:rsidRDefault="00014FB3" w:rsidP="00637695">
      <w:pPr>
        <w:ind w:left="720" w:hanging="720"/>
      </w:pPr>
      <w:r>
        <w:t>Zawawi, Azita Ahmad, Masami Shiba and Noor Janatun Naim Jemali. 2014. Landform classification for site evaluation and forest planning: integration between scientific approach and traditional concept. Sains Malaysiana 43(3):349–58.</w:t>
      </w:r>
    </w:p>
    <w:p w:rsidR="00014FB3" w:rsidRDefault="00014FB3" w:rsidP="00637695">
      <w:pPr>
        <w:ind w:left="720" w:hanging="720"/>
      </w:pPr>
      <w:r>
        <w:t>Zeinolabedini, M. and A. Esmaeily. 2015. Groundwater potential assessment using geographic information systems and AHP method (case study: Baft City, Kerman, Iran). International Archives of the Photogrammetry, Remote Sensing and Spatial Information Sciences 40:769–74.</w:t>
      </w:r>
    </w:p>
    <w:p w:rsidR="00014FB3" w:rsidRDefault="00014FB3" w:rsidP="00637695">
      <w:pPr>
        <w:ind w:left="720" w:hanging="720"/>
      </w:pPr>
      <w:r>
        <w:t xml:space="preserve">Zewdie, Getachew. 2011. Hydrogeological and hydrochemical maps of Negele NB 37-11. </w:t>
      </w:r>
      <w:r w:rsidR="00BF2C0C">
        <w:t>First</w:t>
      </w:r>
      <w:r>
        <w:t xml:space="preserve"> edition. AQUATEST. </w:t>
      </w:r>
      <w:r w:rsidR="00BF2C0C">
        <w:t>Edited</w:t>
      </w:r>
      <w:r>
        <w:t xml:space="preserve"> by J. Sima. prague 5, Czech Republic. p 113.</w:t>
      </w:r>
    </w:p>
    <w:p w:rsidR="00F24D04" w:rsidRDefault="00F24D04" w:rsidP="00847A38"/>
    <w:p w:rsidR="006512C4" w:rsidRDefault="006512C4" w:rsidP="00847A38"/>
    <w:p w:rsidR="006512C4" w:rsidRDefault="006512C4" w:rsidP="00847A38"/>
    <w:p w:rsidR="006512C4" w:rsidRDefault="006512C4" w:rsidP="00847A38"/>
    <w:p w:rsidR="006512C4" w:rsidRDefault="006512C4" w:rsidP="00847A38"/>
    <w:p w:rsidR="006512C4" w:rsidRDefault="006512C4" w:rsidP="00847A38"/>
    <w:p w:rsidR="00A53646" w:rsidRDefault="00A53646" w:rsidP="00847A38"/>
    <w:p w:rsidR="00A53646" w:rsidRPr="007F445F" w:rsidRDefault="00A53646" w:rsidP="00847A38"/>
    <w:p w:rsidR="005C038D" w:rsidRPr="00935D8E" w:rsidRDefault="005C038D" w:rsidP="00D12190">
      <w:pPr>
        <w:pStyle w:val="Heading1"/>
        <w:numPr>
          <w:ilvl w:val="0"/>
          <w:numId w:val="3"/>
        </w:numPr>
      </w:pPr>
      <w:bookmarkStart w:id="252" w:name="_Toc68025111"/>
      <w:bookmarkStart w:id="253" w:name="_Toc68761593"/>
      <w:r w:rsidRPr="00935D8E">
        <w:lastRenderedPageBreak/>
        <w:t>APPENDICES</w:t>
      </w:r>
      <w:bookmarkEnd w:id="252"/>
      <w:bookmarkEnd w:id="253"/>
    </w:p>
    <w:p w:rsidR="00D07D29" w:rsidRPr="00935D8E" w:rsidRDefault="00D07D29" w:rsidP="00EC2A61">
      <w:pPr>
        <w:keepNext/>
      </w:pPr>
      <w:bookmarkStart w:id="254" w:name="_Toc68761650"/>
      <w:r w:rsidRPr="00935D8E">
        <w:t xml:space="preserve">Appendix table </w:t>
      </w:r>
      <w:r w:rsidR="00C43E64" w:rsidRPr="00935D8E">
        <w:rPr>
          <w:noProof/>
        </w:rPr>
        <w:fldChar w:fldCharType="begin"/>
      </w:r>
      <w:r w:rsidR="00C43E64" w:rsidRPr="00935D8E">
        <w:rPr>
          <w:noProof/>
        </w:rPr>
        <w:instrText xml:space="preserve"> SEQ Appendix_table \* ARABIC </w:instrText>
      </w:r>
      <w:r w:rsidR="00C43E64" w:rsidRPr="00935D8E">
        <w:rPr>
          <w:noProof/>
        </w:rPr>
        <w:fldChar w:fldCharType="separate"/>
      </w:r>
      <w:r w:rsidR="00BD510E">
        <w:rPr>
          <w:noProof/>
        </w:rPr>
        <w:t>1</w:t>
      </w:r>
      <w:r w:rsidR="00C43E64" w:rsidRPr="00935D8E">
        <w:rPr>
          <w:noProof/>
        </w:rPr>
        <w:fldChar w:fldCharType="end"/>
      </w:r>
      <w:r w:rsidRPr="00935D8E">
        <w:t>: Saaty’s scale of intensity relative importance and descriptions</w:t>
      </w:r>
      <w:bookmarkEnd w:id="254"/>
    </w:p>
    <w:tbl>
      <w:tblPr>
        <w:tblW w:w="5000" w:type="pct"/>
        <w:jc w:val="center"/>
        <w:tblBorders>
          <w:top w:val="single" w:sz="4" w:space="0" w:color="auto"/>
          <w:bottom w:val="single" w:sz="4" w:space="0" w:color="auto"/>
        </w:tblBorders>
        <w:tblLook w:val="04A0" w:firstRow="1" w:lastRow="0" w:firstColumn="1" w:lastColumn="0" w:noHBand="0" w:noVBand="1"/>
      </w:tblPr>
      <w:tblGrid>
        <w:gridCol w:w="1623"/>
        <w:gridCol w:w="2725"/>
        <w:gridCol w:w="4652"/>
      </w:tblGrid>
      <w:tr w:rsidR="00456014" w:rsidRPr="00935D8E" w:rsidTr="000C4F24">
        <w:trPr>
          <w:trHeight w:val="505"/>
          <w:jc w:val="center"/>
        </w:trPr>
        <w:tc>
          <w:tcPr>
            <w:tcW w:w="888" w:type="pct"/>
            <w:shd w:val="clear" w:color="auto" w:fill="auto"/>
          </w:tcPr>
          <w:p w:rsidR="00D07D29" w:rsidRPr="00935D8E" w:rsidRDefault="00D07D29" w:rsidP="00EC2A61">
            <w:pPr>
              <w:spacing w:before="0" w:after="0"/>
              <w:jc w:val="left"/>
              <w:rPr>
                <w:rFonts w:eastAsia="Times New Roman"/>
                <w:lang w:val="en-GB" w:eastAsia="en-GB"/>
              </w:rPr>
            </w:pPr>
            <w:r w:rsidRPr="00935D8E">
              <w:rPr>
                <w:rFonts w:eastAsia="Times New Roman"/>
                <w:lang w:val="en-GB" w:eastAsia="en-GB"/>
              </w:rPr>
              <w:t>Intensity of importance</w:t>
            </w:r>
          </w:p>
        </w:tc>
        <w:tc>
          <w:tcPr>
            <w:tcW w:w="1521" w:type="pct"/>
            <w:tcBorders>
              <w:top w:val="single" w:sz="4" w:space="0" w:color="auto"/>
              <w:bottom w:val="single" w:sz="4" w:space="0" w:color="auto"/>
            </w:tcBorders>
            <w:shd w:val="clear" w:color="auto" w:fill="auto"/>
          </w:tcPr>
          <w:p w:rsidR="00D07D29" w:rsidRPr="00935D8E" w:rsidRDefault="00D07D29" w:rsidP="00EC2A61">
            <w:pPr>
              <w:spacing w:before="0" w:after="0"/>
              <w:rPr>
                <w:rFonts w:eastAsia="Times New Roman"/>
                <w:lang w:val="en-GB" w:eastAsia="en-GB"/>
              </w:rPr>
            </w:pPr>
            <w:r w:rsidRPr="00935D8E">
              <w:rPr>
                <w:rFonts w:eastAsia="Times New Roman"/>
                <w:lang w:val="en-GB" w:eastAsia="en-GB"/>
              </w:rPr>
              <w:t>Definition</w:t>
            </w:r>
          </w:p>
        </w:tc>
        <w:tc>
          <w:tcPr>
            <w:tcW w:w="2591" w:type="pct"/>
            <w:tcBorders>
              <w:top w:val="single" w:sz="4" w:space="0" w:color="auto"/>
              <w:bottom w:val="single" w:sz="4" w:space="0" w:color="auto"/>
            </w:tcBorders>
            <w:shd w:val="clear" w:color="auto" w:fill="auto"/>
          </w:tcPr>
          <w:p w:rsidR="00D07D29" w:rsidRPr="00935D8E" w:rsidRDefault="00D07D29" w:rsidP="00EC2A61">
            <w:pPr>
              <w:spacing w:before="0" w:after="0"/>
              <w:rPr>
                <w:rFonts w:eastAsia="Times New Roman"/>
                <w:lang w:val="en-GB" w:eastAsia="en-GB"/>
              </w:rPr>
            </w:pPr>
            <w:r w:rsidRPr="00935D8E">
              <w:rPr>
                <w:rFonts w:eastAsia="Times New Roman"/>
                <w:lang w:val="en-GB" w:eastAsia="en-GB"/>
              </w:rPr>
              <w:t>Explanation</w:t>
            </w:r>
          </w:p>
        </w:tc>
      </w:tr>
      <w:tr w:rsidR="00456014" w:rsidRPr="00935D8E" w:rsidTr="007005D2">
        <w:trPr>
          <w:trHeight w:val="296"/>
          <w:jc w:val="center"/>
        </w:trPr>
        <w:tc>
          <w:tcPr>
            <w:tcW w:w="888" w:type="pct"/>
            <w:shd w:val="clear" w:color="auto" w:fill="auto"/>
          </w:tcPr>
          <w:p w:rsidR="00D07D29" w:rsidRPr="00935D8E" w:rsidRDefault="00D07D29" w:rsidP="00EC2A61">
            <w:pPr>
              <w:spacing w:before="0" w:after="0"/>
              <w:rPr>
                <w:rFonts w:eastAsia="Times New Roman"/>
                <w:lang w:val="en-GB" w:eastAsia="en-GB"/>
              </w:rPr>
            </w:pPr>
            <w:r w:rsidRPr="00935D8E">
              <w:rPr>
                <w:rFonts w:eastAsia="Times New Roman"/>
                <w:lang w:val="en-GB" w:eastAsia="en-GB"/>
              </w:rPr>
              <w:t>1</w:t>
            </w:r>
          </w:p>
        </w:tc>
        <w:tc>
          <w:tcPr>
            <w:tcW w:w="1521" w:type="pct"/>
            <w:tcBorders>
              <w:top w:val="single" w:sz="4" w:space="0" w:color="auto"/>
              <w:bottom w:val="single" w:sz="4" w:space="0" w:color="auto"/>
            </w:tcBorders>
            <w:shd w:val="clear" w:color="auto" w:fill="auto"/>
          </w:tcPr>
          <w:p w:rsidR="00D07D29" w:rsidRPr="00935D8E" w:rsidRDefault="00D07D29" w:rsidP="00EC2A61">
            <w:pPr>
              <w:spacing w:before="0" w:after="0"/>
              <w:rPr>
                <w:rFonts w:eastAsia="Times New Roman"/>
                <w:lang w:val="en-GB" w:eastAsia="en-GB"/>
              </w:rPr>
            </w:pPr>
            <w:r w:rsidRPr="00935D8E">
              <w:rPr>
                <w:rFonts w:eastAsia="Times New Roman"/>
                <w:lang w:val="en-GB" w:eastAsia="en-GB"/>
              </w:rPr>
              <w:t>Equal importance</w:t>
            </w:r>
          </w:p>
        </w:tc>
        <w:tc>
          <w:tcPr>
            <w:tcW w:w="2591" w:type="pct"/>
            <w:tcBorders>
              <w:top w:val="single" w:sz="4" w:space="0" w:color="auto"/>
              <w:bottom w:val="single" w:sz="4" w:space="0" w:color="auto"/>
            </w:tcBorders>
            <w:shd w:val="clear" w:color="auto" w:fill="auto"/>
          </w:tcPr>
          <w:p w:rsidR="00D07D29" w:rsidRPr="00935D8E" w:rsidRDefault="00D07D29" w:rsidP="00EC2A61">
            <w:pPr>
              <w:spacing w:before="0" w:after="0"/>
              <w:rPr>
                <w:rFonts w:eastAsia="Times New Roman"/>
                <w:lang w:val="en-GB" w:eastAsia="en-GB"/>
              </w:rPr>
            </w:pPr>
            <w:r w:rsidRPr="00935D8E">
              <w:rPr>
                <w:rFonts w:eastAsia="Times New Roman"/>
                <w:lang w:val="en-GB" w:eastAsia="en-GB"/>
              </w:rPr>
              <w:t>Two factors contribute equally to the objective</w:t>
            </w:r>
          </w:p>
        </w:tc>
      </w:tr>
      <w:tr w:rsidR="00456014" w:rsidRPr="00935D8E" w:rsidTr="007005D2">
        <w:trPr>
          <w:jc w:val="center"/>
        </w:trPr>
        <w:tc>
          <w:tcPr>
            <w:tcW w:w="888" w:type="pct"/>
            <w:shd w:val="clear" w:color="auto" w:fill="auto"/>
          </w:tcPr>
          <w:p w:rsidR="00D07D29" w:rsidRPr="00935D8E" w:rsidRDefault="00D07D29" w:rsidP="00EC2A61">
            <w:pPr>
              <w:spacing w:before="0" w:after="0"/>
              <w:rPr>
                <w:rFonts w:eastAsia="Times New Roman"/>
                <w:lang w:val="en-GB" w:eastAsia="en-GB"/>
              </w:rPr>
            </w:pPr>
            <w:r w:rsidRPr="00935D8E">
              <w:rPr>
                <w:rFonts w:eastAsia="Times New Roman"/>
                <w:lang w:val="en-GB" w:eastAsia="en-GB"/>
              </w:rPr>
              <w:t>3</w:t>
            </w:r>
          </w:p>
        </w:tc>
        <w:tc>
          <w:tcPr>
            <w:tcW w:w="1521" w:type="pct"/>
            <w:tcBorders>
              <w:top w:val="single" w:sz="4" w:space="0" w:color="auto"/>
              <w:bottom w:val="single" w:sz="4" w:space="0" w:color="auto"/>
            </w:tcBorders>
            <w:shd w:val="clear" w:color="auto" w:fill="auto"/>
          </w:tcPr>
          <w:p w:rsidR="00D07D29" w:rsidRPr="00935D8E" w:rsidRDefault="00D07D29" w:rsidP="00EC2A61">
            <w:pPr>
              <w:spacing w:before="0" w:after="0"/>
              <w:rPr>
                <w:rFonts w:eastAsia="Times New Roman"/>
                <w:lang w:val="en-GB" w:eastAsia="en-GB"/>
              </w:rPr>
            </w:pPr>
            <w:r w:rsidRPr="00935D8E">
              <w:rPr>
                <w:rFonts w:eastAsia="Times New Roman"/>
                <w:lang w:val="en-GB" w:eastAsia="en-GB"/>
              </w:rPr>
              <w:t>Moderately important or Somewhat more important</w:t>
            </w:r>
          </w:p>
        </w:tc>
        <w:tc>
          <w:tcPr>
            <w:tcW w:w="2591" w:type="pct"/>
            <w:tcBorders>
              <w:top w:val="single" w:sz="4" w:space="0" w:color="auto"/>
              <w:bottom w:val="single" w:sz="4" w:space="0" w:color="auto"/>
            </w:tcBorders>
            <w:shd w:val="clear" w:color="auto" w:fill="auto"/>
          </w:tcPr>
          <w:p w:rsidR="00D07D29" w:rsidRPr="00935D8E" w:rsidRDefault="00D07D29" w:rsidP="00EC2A61">
            <w:pPr>
              <w:spacing w:before="0" w:after="0"/>
              <w:rPr>
                <w:rFonts w:eastAsia="Times New Roman"/>
                <w:lang w:val="en-GB" w:eastAsia="en-GB"/>
              </w:rPr>
            </w:pPr>
            <w:r w:rsidRPr="00935D8E">
              <w:rPr>
                <w:rFonts w:eastAsia="Times New Roman"/>
                <w:lang w:val="en-GB" w:eastAsia="en-GB"/>
              </w:rPr>
              <w:t>Experience and judgment slightly favour one over the other.</w:t>
            </w:r>
          </w:p>
        </w:tc>
      </w:tr>
      <w:tr w:rsidR="00456014" w:rsidRPr="00935D8E" w:rsidTr="007005D2">
        <w:trPr>
          <w:jc w:val="center"/>
        </w:trPr>
        <w:tc>
          <w:tcPr>
            <w:tcW w:w="888" w:type="pct"/>
            <w:shd w:val="clear" w:color="auto" w:fill="auto"/>
          </w:tcPr>
          <w:p w:rsidR="00D07D29" w:rsidRPr="00935D8E" w:rsidRDefault="00D07D29" w:rsidP="00EC2A61">
            <w:pPr>
              <w:spacing w:before="0" w:after="0"/>
              <w:rPr>
                <w:rFonts w:eastAsia="Times New Roman"/>
                <w:lang w:val="en-GB" w:eastAsia="en-GB"/>
              </w:rPr>
            </w:pPr>
            <w:r w:rsidRPr="00935D8E">
              <w:rPr>
                <w:rFonts w:eastAsia="Times New Roman"/>
                <w:lang w:val="en-GB" w:eastAsia="en-GB"/>
              </w:rPr>
              <w:t>5</w:t>
            </w:r>
          </w:p>
        </w:tc>
        <w:tc>
          <w:tcPr>
            <w:tcW w:w="1521" w:type="pct"/>
            <w:tcBorders>
              <w:top w:val="single" w:sz="4" w:space="0" w:color="auto"/>
              <w:bottom w:val="single" w:sz="4" w:space="0" w:color="auto"/>
            </w:tcBorders>
            <w:shd w:val="clear" w:color="auto" w:fill="auto"/>
          </w:tcPr>
          <w:p w:rsidR="00D07D29" w:rsidRPr="00935D8E" w:rsidRDefault="00D07D29" w:rsidP="00EC2A61">
            <w:pPr>
              <w:spacing w:before="0" w:after="0"/>
              <w:rPr>
                <w:rFonts w:eastAsia="Times New Roman"/>
                <w:lang w:val="en-GB" w:eastAsia="en-GB"/>
              </w:rPr>
            </w:pPr>
            <w:r w:rsidRPr="00935D8E">
              <w:rPr>
                <w:rFonts w:eastAsia="Times New Roman"/>
                <w:lang w:val="en-GB" w:eastAsia="en-GB"/>
              </w:rPr>
              <w:t>Strongly important or Much more important</w:t>
            </w:r>
          </w:p>
        </w:tc>
        <w:tc>
          <w:tcPr>
            <w:tcW w:w="2591" w:type="pct"/>
            <w:tcBorders>
              <w:top w:val="single" w:sz="4" w:space="0" w:color="auto"/>
              <w:bottom w:val="single" w:sz="4" w:space="0" w:color="auto"/>
            </w:tcBorders>
            <w:shd w:val="clear" w:color="auto" w:fill="auto"/>
          </w:tcPr>
          <w:p w:rsidR="00D07D29" w:rsidRPr="00935D8E" w:rsidRDefault="00D07D29" w:rsidP="00EC2A61">
            <w:pPr>
              <w:spacing w:before="0" w:after="0"/>
              <w:rPr>
                <w:rFonts w:eastAsia="Times New Roman"/>
                <w:lang w:val="en-GB" w:eastAsia="en-GB"/>
              </w:rPr>
            </w:pPr>
            <w:r w:rsidRPr="00935D8E">
              <w:rPr>
                <w:rFonts w:eastAsia="Times New Roman"/>
                <w:lang w:val="en-GB" w:eastAsia="en-GB"/>
              </w:rPr>
              <w:t>Experience and judgment strongly favour one over the other</w:t>
            </w:r>
          </w:p>
        </w:tc>
      </w:tr>
      <w:tr w:rsidR="00456014" w:rsidRPr="00935D8E" w:rsidTr="007005D2">
        <w:trPr>
          <w:jc w:val="center"/>
        </w:trPr>
        <w:tc>
          <w:tcPr>
            <w:tcW w:w="888" w:type="pct"/>
            <w:shd w:val="clear" w:color="auto" w:fill="auto"/>
          </w:tcPr>
          <w:p w:rsidR="00D07D29" w:rsidRPr="00935D8E" w:rsidRDefault="00D07D29" w:rsidP="00EC2A61">
            <w:pPr>
              <w:spacing w:before="0" w:after="0"/>
              <w:rPr>
                <w:rFonts w:eastAsia="Times New Roman"/>
                <w:lang w:val="en-GB" w:eastAsia="en-GB"/>
              </w:rPr>
            </w:pPr>
            <w:r w:rsidRPr="00935D8E">
              <w:rPr>
                <w:rFonts w:eastAsia="Times New Roman"/>
                <w:lang w:val="en-GB" w:eastAsia="en-GB"/>
              </w:rPr>
              <w:t>7</w:t>
            </w:r>
          </w:p>
        </w:tc>
        <w:tc>
          <w:tcPr>
            <w:tcW w:w="1521" w:type="pct"/>
            <w:tcBorders>
              <w:top w:val="single" w:sz="4" w:space="0" w:color="auto"/>
              <w:bottom w:val="single" w:sz="4" w:space="0" w:color="auto"/>
            </w:tcBorders>
            <w:shd w:val="clear" w:color="auto" w:fill="auto"/>
          </w:tcPr>
          <w:p w:rsidR="00D07D29" w:rsidRPr="00935D8E" w:rsidRDefault="00D07D29" w:rsidP="00EC2A61">
            <w:pPr>
              <w:spacing w:before="0" w:after="0"/>
              <w:rPr>
                <w:rFonts w:eastAsia="Times New Roman"/>
                <w:lang w:val="en-GB" w:eastAsia="en-GB"/>
              </w:rPr>
            </w:pPr>
            <w:r w:rsidRPr="00935D8E">
              <w:rPr>
                <w:rFonts w:eastAsia="Times New Roman"/>
                <w:lang w:val="en-GB" w:eastAsia="en-GB"/>
              </w:rPr>
              <w:t>Very strong or Very much more important</w:t>
            </w:r>
          </w:p>
        </w:tc>
        <w:tc>
          <w:tcPr>
            <w:tcW w:w="2591" w:type="pct"/>
            <w:tcBorders>
              <w:top w:val="single" w:sz="4" w:space="0" w:color="auto"/>
              <w:bottom w:val="single" w:sz="4" w:space="0" w:color="auto"/>
            </w:tcBorders>
            <w:shd w:val="clear" w:color="auto" w:fill="auto"/>
          </w:tcPr>
          <w:p w:rsidR="00D07D29" w:rsidRPr="00935D8E" w:rsidRDefault="00D07D29" w:rsidP="00EC2A61">
            <w:pPr>
              <w:spacing w:before="0" w:after="0"/>
              <w:rPr>
                <w:rFonts w:eastAsia="Times New Roman"/>
                <w:lang w:val="en-GB" w:eastAsia="en-GB"/>
              </w:rPr>
            </w:pPr>
            <w:r w:rsidRPr="00935D8E">
              <w:rPr>
                <w:rFonts w:eastAsia="Times New Roman"/>
                <w:lang w:val="en-GB" w:eastAsia="en-GB"/>
              </w:rPr>
              <w:t>Experience and judgment very strongly favour one over the other. Its importance is demonstrated in practice.</w:t>
            </w:r>
          </w:p>
        </w:tc>
      </w:tr>
      <w:tr w:rsidR="00456014" w:rsidRPr="00935D8E" w:rsidTr="007005D2">
        <w:trPr>
          <w:jc w:val="center"/>
        </w:trPr>
        <w:tc>
          <w:tcPr>
            <w:tcW w:w="888" w:type="pct"/>
            <w:shd w:val="clear" w:color="auto" w:fill="auto"/>
          </w:tcPr>
          <w:p w:rsidR="00D07D29" w:rsidRPr="00935D8E" w:rsidRDefault="00D07D29" w:rsidP="00EC2A61">
            <w:pPr>
              <w:spacing w:before="0" w:after="0"/>
              <w:rPr>
                <w:rFonts w:eastAsia="Times New Roman"/>
                <w:lang w:val="en-GB" w:eastAsia="en-GB"/>
              </w:rPr>
            </w:pPr>
            <w:r w:rsidRPr="00935D8E">
              <w:rPr>
                <w:rFonts w:eastAsia="Times New Roman"/>
                <w:lang w:val="en-GB" w:eastAsia="en-GB"/>
              </w:rPr>
              <w:t>9</w:t>
            </w:r>
          </w:p>
        </w:tc>
        <w:tc>
          <w:tcPr>
            <w:tcW w:w="1521" w:type="pct"/>
            <w:tcBorders>
              <w:top w:val="single" w:sz="4" w:space="0" w:color="auto"/>
              <w:bottom w:val="single" w:sz="4" w:space="0" w:color="auto"/>
            </w:tcBorders>
            <w:shd w:val="clear" w:color="auto" w:fill="auto"/>
          </w:tcPr>
          <w:p w:rsidR="00D07D29" w:rsidRPr="00935D8E" w:rsidRDefault="00D07D29" w:rsidP="00EC2A61">
            <w:pPr>
              <w:spacing w:before="0" w:after="0"/>
              <w:rPr>
                <w:rFonts w:eastAsia="Times New Roman"/>
                <w:lang w:val="en-GB" w:eastAsia="en-GB"/>
              </w:rPr>
            </w:pPr>
            <w:r w:rsidRPr="00935D8E">
              <w:rPr>
                <w:rFonts w:eastAsia="Times New Roman"/>
                <w:lang w:val="en-GB" w:eastAsia="en-GB"/>
              </w:rPr>
              <w:t>Extremely important or Absolutely more important.</w:t>
            </w:r>
          </w:p>
        </w:tc>
        <w:tc>
          <w:tcPr>
            <w:tcW w:w="2591" w:type="pct"/>
            <w:tcBorders>
              <w:top w:val="single" w:sz="4" w:space="0" w:color="auto"/>
              <w:bottom w:val="single" w:sz="4" w:space="0" w:color="auto"/>
            </w:tcBorders>
            <w:shd w:val="clear" w:color="auto" w:fill="auto"/>
          </w:tcPr>
          <w:p w:rsidR="00D07D29" w:rsidRPr="00935D8E" w:rsidRDefault="00D07D29" w:rsidP="00EC2A61">
            <w:pPr>
              <w:spacing w:before="0" w:after="0"/>
              <w:rPr>
                <w:rFonts w:eastAsia="Times New Roman"/>
                <w:lang w:val="en-GB" w:eastAsia="en-GB"/>
              </w:rPr>
            </w:pPr>
            <w:r w:rsidRPr="00935D8E">
              <w:rPr>
                <w:rFonts w:eastAsia="Times New Roman"/>
                <w:lang w:val="en-GB" w:eastAsia="en-GB"/>
              </w:rPr>
              <w:t>The evidence favouring one over the other is of the Highest possible validity.</w:t>
            </w:r>
          </w:p>
        </w:tc>
      </w:tr>
      <w:tr w:rsidR="00456014" w:rsidRPr="00935D8E" w:rsidTr="007005D2">
        <w:trPr>
          <w:jc w:val="center"/>
        </w:trPr>
        <w:tc>
          <w:tcPr>
            <w:tcW w:w="888" w:type="pct"/>
            <w:shd w:val="clear" w:color="auto" w:fill="auto"/>
          </w:tcPr>
          <w:p w:rsidR="00D07D29" w:rsidRPr="00935D8E" w:rsidRDefault="00D07D29" w:rsidP="00EC2A61">
            <w:pPr>
              <w:spacing w:before="0" w:after="0"/>
              <w:rPr>
                <w:rFonts w:eastAsia="Times New Roman"/>
                <w:lang w:val="en-GB" w:eastAsia="en-GB"/>
              </w:rPr>
            </w:pPr>
            <w:r w:rsidRPr="00935D8E">
              <w:rPr>
                <w:rFonts w:eastAsia="Times New Roman"/>
                <w:lang w:val="en-GB" w:eastAsia="en-GB"/>
              </w:rPr>
              <w:t>2,4,6,8</w:t>
            </w:r>
          </w:p>
        </w:tc>
        <w:tc>
          <w:tcPr>
            <w:tcW w:w="1521" w:type="pct"/>
            <w:tcBorders>
              <w:top w:val="single" w:sz="4" w:space="0" w:color="auto"/>
              <w:bottom w:val="single" w:sz="4" w:space="0" w:color="auto"/>
            </w:tcBorders>
            <w:shd w:val="clear" w:color="auto" w:fill="auto"/>
          </w:tcPr>
          <w:p w:rsidR="00D07D29" w:rsidRPr="00935D8E" w:rsidRDefault="00D07D29" w:rsidP="00EC2A61">
            <w:pPr>
              <w:spacing w:before="0" w:after="0"/>
              <w:rPr>
                <w:rFonts w:eastAsia="Times New Roman"/>
                <w:lang w:val="en-GB" w:eastAsia="en-GB"/>
              </w:rPr>
            </w:pPr>
            <w:r w:rsidRPr="00935D8E">
              <w:rPr>
                <w:rFonts w:eastAsia="Times New Roman"/>
                <w:lang w:val="en-GB" w:eastAsia="en-GB"/>
              </w:rPr>
              <w:t>Intermediate values</w:t>
            </w:r>
          </w:p>
        </w:tc>
        <w:tc>
          <w:tcPr>
            <w:tcW w:w="2591" w:type="pct"/>
            <w:tcBorders>
              <w:top w:val="single" w:sz="4" w:space="0" w:color="auto"/>
              <w:bottom w:val="single" w:sz="4" w:space="0" w:color="auto"/>
            </w:tcBorders>
            <w:shd w:val="clear" w:color="auto" w:fill="auto"/>
          </w:tcPr>
          <w:p w:rsidR="00D07D29" w:rsidRPr="00935D8E" w:rsidRDefault="00D07D29" w:rsidP="00EC2A61">
            <w:pPr>
              <w:spacing w:before="0" w:after="0"/>
              <w:rPr>
                <w:rFonts w:eastAsia="Times New Roman"/>
                <w:lang w:val="en-GB" w:eastAsia="en-GB"/>
              </w:rPr>
            </w:pPr>
            <w:r w:rsidRPr="00935D8E">
              <w:rPr>
                <w:rFonts w:eastAsia="Times New Roman"/>
                <w:lang w:val="en-GB" w:eastAsia="en-GB"/>
              </w:rPr>
              <w:t>When compromise is needed</w:t>
            </w:r>
          </w:p>
        </w:tc>
      </w:tr>
      <w:tr w:rsidR="00456014" w:rsidRPr="00935D8E" w:rsidTr="007005D2">
        <w:trPr>
          <w:jc w:val="center"/>
        </w:trPr>
        <w:tc>
          <w:tcPr>
            <w:tcW w:w="888" w:type="pct"/>
            <w:shd w:val="clear" w:color="auto" w:fill="auto"/>
          </w:tcPr>
          <w:p w:rsidR="00D07D29" w:rsidRPr="00935D8E" w:rsidRDefault="00D07D29" w:rsidP="00EC2A61">
            <w:pPr>
              <w:spacing w:before="0" w:after="0"/>
              <w:rPr>
                <w:rFonts w:eastAsia="Times New Roman"/>
                <w:lang w:val="en-GB" w:eastAsia="en-GB"/>
              </w:rPr>
            </w:pPr>
            <w:r w:rsidRPr="00935D8E">
              <w:rPr>
                <w:rFonts w:eastAsia="Times New Roman"/>
                <w:lang w:val="en-GB" w:eastAsia="en-GB"/>
              </w:rPr>
              <w:t>1/3,1/5,1/7,1/9</w:t>
            </w:r>
          </w:p>
        </w:tc>
        <w:tc>
          <w:tcPr>
            <w:tcW w:w="1521" w:type="pct"/>
            <w:tcBorders>
              <w:top w:val="single" w:sz="4" w:space="0" w:color="auto"/>
              <w:bottom w:val="single" w:sz="4" w:space="0" w:color="auto"/>
            </w:tcBorders>
            <w:shd w:val="clear" w:color="auto" w:fill="auto"/>
          </w:tcPr>
          <w:p w:rsidR="00D07D29" w:rsidRPr="00935D8E" w:rsidRDefault="00D07D29" w:rsidP="00EC2A61">
            <w:pPr>
              <w:spacing w:before="0" w:after="0"/>
              <w:rPr>
                <w:rFonts w:eastAsia="Times New Roman"/>
                <w:lang w:val="en-GB" w:eastAsia="en-GB"/>
              </w:rPr>
            </w:pPr>
            <w:r w:rsidRPr="00935D8E">
              <w:rPr>
                <w:rFonts w:eastAsia="Times New Roman"/>
                <w:lang w:val="en-GB" w:eastAsia="en-GB"/>
              </w:rPr>
              <w:t>Value for inverse comparison</w:t>
            </w:r>
          </w:p>
        </w:tc>
        <w:tc>
          <w:tcPr>
            <w:tcW w:w="2591" w:type="pct"/>
            <w:tcBorders>
              <w:top w:val="single" w:sz="4" w:space="0" w:color="auto"/>
              <w:bottom w:val="single" w:sz="4" w:space="0" w:color="auto"/>
            </w:tcBorders>
            <w:shd w:val="clear" w:color="auto" w:fill="auto"/>
          </w:tcPr>
          <w:p w:rsidR="00D07D29" w:rsidRPr="00935D8E" w:rsidRDefault="00D07D29" w:rsidP="00EC2A61">
            <w:pPr>
              <w:spacing w:before="0" w:after="0"/>
              <w:rPr>
                <w:rFonts w:eastAsia="Times New Roman"/>
                <w:lang w:val="en-GB" w:eastAsia="en-GB"/>
              </w:rPr>
            </w:pPr>
          </w:p>
        </w:tc>
      </w:tr>
    </w:tbl>
    <w:p w:rsidR="007A7419" w:rsidRPr="00935D8E" w:rsidRDefault="00D07D29" w:rsidP="00EC2A61">
      <w:r w:rsidRPr="00935D8E">
        <w:t xml:space="preserve">Source: </w:t>
      </w:r>
      <w:r w:rsidRPr="00935D8E">
        <w:fldChar w:fldCharType="begin" w:fldLock="1"/>
      </w:r>
      <w:r w:rsidR="00A309A8">
        <w:instrText>ADDIN CSL_CITATION {"citationItems":[{"id":"ITEM-1","itemData":{"author":[{"dropping-particle":"","family":"Saaty","given":"T. L.","non-dropping-particle":"","parse-names":false,"suffix":""},{"dropping-particle":"","family":"Kearns","given":"K.P","non-dropping-particle":"","parse-names":false,"suffix":""}],"id":"ITEM-1","issued":{"date-parts":[["1985"]]},"number-of-pages":"19-62","publisher":"McGraw Hill","publisher-place":"New York, USA","title":"The Analytic Hierarchy Process, Decision analysis","type":"book"},"uris":["http://www.mendeley.com/documents/?uuid=7ad366af-a050-40a5-a4dc-e62cee313bc2","http://www.mendeley.com/documents/?uuid=af7a3c38-202c-4b3b-a6e1-5cb7c845bdc5"]},{"id":"ITEM-2","itemData":{"ISSN":"20100248","abstract":"The objective of the study is to optimize the strategies built by SWOT (Strength, Weakness, Opportunity, and Threat) - QSPM (Quantitative Strategic Planning Matrix) that would help the policy maker and to rationalize the dilemma in decision making to fabricate environmental protection policies, laws and standards .These laws for coastal resources against the anthropogenic activities will help curb deteriorating impacts on environmental components that was identified from the RIAM (Rapid Impact Assessment Matrix) process in the State of Kuwait. Optimizing and rationalizing of the strategies are performed with the concept of AHP (Analytic Hierarchy Process) /ANP (Analytical Network Process) utilizing multi-criteria decision (MCD) making software - SuperDecision.AHP/ANP with SuperDecision has often helped as an effective means of dealing with complex decision-making for the strategies to be prioritized, optimized and rationalized. AHP/ANP helps capture both subjective and objective evaluation measures, providing a useful mechanism for checking their consistency relative to considered alternatives, thus reducing bias in decision making particularly during the SWOT-QSPM process. The new priorities generated by optimizing and rationalized by AHP/ANP Model was the best fit strategies for effective policy construction to tackle the coastal deterioration. [PUBLICATION ABSTRACT]","author":[{"dropping-particle":"","family":"Baby","given":"Saji","non-dropping-particle":"","parse-names":false,"suffix":""}],"container-title":"International Journal of Innovation, Management and Technology","id":"ITEM-2","issue":"2","issued":{"date-parts":[["2013"]]},"page":"218-227","title":"AHP Modeling for multicriteria decision-making and to optimise strategies for protecting Coastal Landscape resources","type":"article-journal","volume":"4"},"uris":["http://www.mendeley.com/documents/?uuid=86b60fa8-7a68-45ca-9e6f-0c3418b19c26","http://www.mendeley.com/documents/?uuid=4eb57964-a300-4c9c-8f7e-b0bce4c95988","http://www.mendeley.com/documents/?uuid=331b9d07-4ac4-4fe9-a5e1-47247c8b817c"]},{"id":"ITEM-3","itemData":{"ISSN":"16821750","abstract":"Groundwater quality in Gujarat state is highly variable and due to multiplicity of factors viz. influenced by direct sea water encroachment, inherent sediment salinity, water logging, overexploitation leading to overall deterioration in ground water quality, coupled with domestic and industrial pollution etc. The groundwater scenario in the state is not very encouraging due to imbalance between recharge and groundwater exploitation. Further, the demand for water has increased manifold owing to agricultural, industrial and domestic requirement and this has led to water scarcity in many parts of the state, which is likely to become more severe in coming future due to both natural and manmade factors. Therefore, sustainable development of groundwater resource requires precise quantitative assessment based on reasonably valid scientific principles. Hence, delineation of groundwater potential zones (GWPZ), has acquired great significance. The present study focuses on the integrated Geospatial and Multi-Criteria Decision Making (MCDM) techniques to determine the most important contributing factors that affect the groundwater resources and also to delineate the potential zones for groundwater recharge. The multiple thematic layers of influencing parameters viz. geology, geomorphology, soil, slope, drainage density and land use, weightages were assigned to the each factor according to their relative importance as per subject experts opinion owing to the natural setup of the region. The Analytical Hierarchy Process (AHP) was applied to these factors and potential recharge zones were identified. The study area for the assessment of groundwater recharge potential zones is Mahi-Narmada inter-stream region of Gujarat state. The study shows that around 28% region has the excellent suitability of the ground water recharge.","author":[{"dropping-particle":"","family":"Dabral","given":"Sumit","non-dropping-particle":"","parse-names":false,"suffix":""},{"dropping-particle":"","family":"Bhatt","given":"Bindu","non-dropping-particle":"","parse-names":false,"suffix":""},{"dropping-particle":"","family":"Joshi","given":"Janak P.","non-dropping-particle":"","parse-names":false,"suffix":""},{"dropping-particle":"","family":"Sharma","given":"N.","non-dropping-particle":"","parse-names":false,"suffix":""}],"container-title":"International Archives of the Photogrammetry, Remote Sensing and Spatial Information Sciences - ISPRS Archives","id":"ITEM-3","issued":{"date-parts":[["2014"]]},"page":"347-353","publisher-place":"Hyderabad, India","title":"Groundwater suitability recharge zones modelling - A gis application","type":"article-journal","volume":"8"},"uris":["http://www.mendeley.com/documents/?uuid=887036af-3e88-4b43-bbeb-37e1a1b6f984","http://www.mendeley.com/documents/?uuid=e1cd6583-ac5a-4ded-b61a-d48b859b53ce","http://www.mendeley.com/documents/?uuid=7302d416-06aa-4ce4-8e31-c788247a9e3e"]}],"mendeley":{"formattedCitation":"(Baby, 2013; Dabral et al., 2014; Saaty &amp; Kearns, 1985)","manualFormatting":"(Baby, 2013; Dabral et al., 2014; Saaty and Kearns, 1985)","plainTextFormattedCitation":"(Baby, 2013; Dabral et al., 2014; Saaty &amp; Kearns, 1985)","previouslyFormattedCitation":"(Baby, 2013; Dabral et al., 2014; Saaty &amp; Kearns, 1985)"},"properties":{"noteIndex":0},"schema":"https://github.com/citation-style-language/schema/raw/master/csl-citation.json"}</w:instrText>
      </w:r>
      <w:r w:rsidRPr="00935D8E">
        <w:fldChar w:fldCharType="separate"/>
      </w:r>
      <w:r w:rsidR="00086E90" w:rsidRPr="00935D8E">
        <w:rPr>
          <w:noProof/>
        </w:rPr>
        <w:t xml:space="preserve">(Baby, 2013; Dabral et al., 2014; Saaty </w:t>
      </w:r>
      <w:r w:rsidR="00706F11" w:rsidRPr="00935D8E">
        <w:rPr>
          <w:noProof/>
        </w:rPr>
        <w:t>and</w:t>
      </w:r>
      <w:r w:rsidR="00086E90" w:rsidRPr="00935D8E">
        <w:rPr>
          <w:noProof/>
        </w:rPr>
        <w:t xml:space="preserve"> Kearns, 1985)</w:t>
      </w:r>
      <w:r w:rsidRPr="00935D8E">
        <w:fldChar w:fldCharType="end"/>
      </w:r>
      <w:r w:rsidRPr="00935D8E">
        <w:t>.</w:t>
      </w:r>
    </w:p>
    <w:p w:rsidR="00FD3FAA" w:rsidRPr="00935D8E" w:rsidRDefault="007A7419" w:rsidP="00EC2A61">
      <w:pPr>
        <w:keepNext/>
      </w:pPr>
      <w:bookmarkStart w:id="255" w:name="_Toc68761651"/>
      <w:r w:rsidRPr="00935D8E">
        <w:t xml:space="preserve">Appendix table </w:t>
      </w:r>
      <w:r w:rsidR="00B65440" w:rsidRPr="00935D8E">
        <w:rPr>
          <w:noProof/>
        </w:rPr>
        <w:fldChar w:fldCharType="begin"/>
      </w:r>
      <w:r w:rsidR="00B65440" w:rsidRPr="00935D8E">
        <w:rPr>
          <w:noProof/>
        </w:rPr>
        <w:instrText xml:space="preserve"> SEQ Appendix_table \* ARABIC </w:instrText>
      </w:r>
      <w:r w:rsidR="00B65440" w:rsidRPr="00935D8E">
        <w:rPr>
          <w:noProof/>
        </w:rPr>
        <w:fldChar w:fldCharType="separate"/>
      </w:r>
      <w:r w:rsidR="00BD510E">
        <w:rPr>
          <w:noProof/>
        </w:rPr>
        <w:t>2</w:t>
      </w:r>
      <w:r w:rsidR="00B65440" w:rsidRPr="00935D8E">
        <w:rPr>
          <w:noProof/>
        </w:rPr>
        <w:fldChar w:fldCharType="end"/>
      </w:r>
      <w:r w:rsidRPr="00935D8E">
        <w:t>: Software used for the study</w:t>
      </w:r>
      <w:bookmarkEnd w:id="255"/>
    </w:p>
    <w:tbl>
      <w:tblPr>
        <w:tblStyle w:val="TableGrid"/>
        <w:tblW w:w="5000" w:type="pct"/>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763"/>
        <w:gridCol w:w="2484"/>
        <w:gridCol w:w="5753"/>
      </w:tblGrid>
      <w:tr w:rsidR="00456014" w:rsidRPr="00935D8E" w:rsidTr="007005D2">
        <w:tc>
          <w:tcPr>
            <w:tcW w:w="410" w:type="pct"/>
            <w:tcBorders>
              <w:top w:val="single" w:sz="4" w:space="0" w:color="auto"/>
              <w:bottom w:val="single" w:sz="4" w:space="0" w:color="auto"/>
            </w:tcBorders>
          </w:tcPr>
          <w:p w:rsidR="00FD3FAA" w:rsidRPr="00935D8E" w:rsidRDefault="00FD3FAA" w:rsidP="00EC2A61">
            <w:pPr>
              <w:spacing w:before="0" w:after="0"/>
            </w:pPr>
            <w:r w:rsidRPr="00935D8E">
              <w:t>S.No.</w:t>
            </w:r>
          </w:p>
        </w:tc>
        <w:tc>
          <w:tcPr>
            <w:tcW w:w="1387" w:type="pct"/>
            <w:tcBorders>
              <w:top w:val="single" w:sz="4" w:space="0" w:color="auto"/>
              <w:bottom w:val="single" w:sz="4" w:space="0" w:color="auto"/>
            </w:tcBorders>
          </w:tcPr>
          <w:p w:rsidR="00FD3FAA" w:rsidRPr="00935D8E" w:rsidRDefault="00FD3FAA" w:rsidP="00EC2A61">
            <w:pPr>
              <w:spacing w:before="0" w:after="0"/>
            </w:pPr>
            <w:r w:rsidRPr="00935D8E">
              <w:t>Software</w:t>
            </w:r>
          </w:p>
        </w:tc>
        <w:tc>
          <w:tcPr>
            <w:tcW w:w="3203" w:type="pct"/>
            <w:tcBorders>
              <w:top w:val="single" w:sz="4" w:space="0" w:color="auto"/>
              <w:bottom w:val="single" w:sz="4" w:space="0" w:color="auto"/>
            </w:tcBorders>
          </w:tcPr>
          <w:p w:rsidR="00FD3FAA" w:rsidRPr="00935D8E" w:rsidRDefault="00FD3FAA" w:rsidP="00EC2A61">
            <w:pPr>
              <w:spacing w:before="0" w:after="0"/>
            </w:pPr>
            <w:r w:rsidRPr="00935D8E">
              <w:t>Uses</w:t>
            </w:r>
          </w:p>
        </w:tc>
      </w:tr>
      <w:tr w:rsidR="00456014" w:rsidRPr="00935D8E" w:rsidTr="007005D2">
        <w:trPr>
          <w:trHeight w:val="109"/>
        </w:trPr>
        <w:tc>
          <w:tcPr>
            <w:tcW w:w="410" w:type="pct"/>
            <w:tcBorders>
              <w:top w:val="single" w:sz="4" w:space="0" w:color="auto"/>
            </w:tcBorders>
          </w:tcPr>
          <w:p w:rsidR="00FD3FAA" w:rsidRPr="00935D8E" w:rsidRDefault="00FD3FAA" w:rsidP="00EC2A61">
            <w:pPr>
              <w:spacing w:before="0" w:after="0"/>
            </w:pPr>
            <w:r w:rsidRPr="00935D8E">
              <w:t>1</w:t>
            </w:r>
          </w:p>
        </w:tc>
        <w:tc>
          <w:tcPr>
            <w:tcW w:w="1387" w:type="pct"/>
            <w:tcBorders>
              <w:top w:val="single" w:sz="4" w:space="0" w:color="auto"/>
            </w:tcBorders>
          </w:tcPr>
          <w:p w:rsidR="00FD3FAA" w:rsidRPr="00935D8E" w:rsidRDefault="00A978CF" w:rsidP="00EC2A61">
            <w:pPr>
              <w:spacing w:before="0" w:after="0"/>
            </w:pPr>
            <w:r w:rsidRPr="00935D8E">
              <w:t>Arc GIS 10.5</w:t>
            </w:r>
          </w:p>
        </w:tc>
        <w:tc>
          <w:tcPr>
            <w:tcW w:w="3203" w:type="pct"/>
            <w:tcBorders>
              <w:top w:val="single" w:sz="4" w:space="0" w:color="auto"/>
            </w:tcBorders>
          </w:tcPr>
          <w:p w:rsidR="00FD3FAA" w:rsidRPr="00935D8E" w:rsidRDefault="00850FFA" w:rsidP="00EC2A61">
            <w:pPr>
              <w:spacing w:before="0" w:after="0"/>
            </w:pPr>
            <w:r w:rsidRPr="00935D8E">
              <w:t>Preparation of geologic, drainage density, rainfall distribution, elevation, slope thematic map and weight overlay</w:t>
            </w:r>
            <w:r w:rsidR="0040522B" w:rsidRPr="00935D8E">
              <w:t xml:space="preserve"> analysis</w:t>
            </w:r>
          </w:p>
        </w:tc>
      </w:tr>
      <w:tr w:rsidR="00456014" w:rsidRPr="00935D8E" w:rsidTr="007005D2">
        <w:tc>
          <w:tcPr>
            <w:tcW w:w="410" w:type="pct"/>
          </w:tcPr>
          <w:p w:rsidR="00FD3FAA" w:rsidRPr="00935D8E" w:rsidRDefault="00FD3FAA" w:rsidP="00EC2A61">
            <w:pPr>
              <w:spacing w:before="0" w:after="0"/>
            </w:pPr>
            <w:r w:rsidRPr="00935D8E">
              <w:t>2</w:t>
            </w:r>
          </w:p>
        </w:tc>
        <w:tc>
          <w:tcPr>
            <w:tcW w:w="1387" w:type="pct"/>
          </w:tcPr>
          <w:p w:rsidR="00FD3FAA" w:rsidRPr="00935D8E" w:rsidRDefault="00173C53" w:rsidP="00EC2A61">
            <w:pPr>
              <w:spacing w:before="0" w:after="0"/>
            </w:pPr>
            <w:r w:rsidRPr="00935D8E">
              <w:t>ERDAS-imagine</w:t>
            </w:r>
          </w:p>
        </w:tc>
        <w:tc>
          <w:tcPr>
            <w:tcW w:w="3203" w:type="pct"/>
          </w:tcPr>
          <w:p w:rsidR="00FD3FAA" w:rsidRPr="00935D8E" w:rsidRDefault="00850FFA" w:rsidP="00EC2A61">
            <w:pPr>
              <w:spacing w:before="0" w:after="0"/>
            </w:pPr>
            <w:r w:rsidRPr="00935D8E">
              <w:t>Land Use Land Cover classification</w:t>
            </w:r>
          </w:p>
        </w:tc>
      </w:tr>
      <w:tr w:rsidR="00456014" w:rsidRPr="00935D8E" w:rsidTr="007005D2">
        <w:tc>
          <w:tcPr>
            <w:tcW w:w="410" w:type="pct"/>
          </w:tcPr>
          <w:p w:rsidR="00FD3FAA" w:rsidRPr="00935D8E" w:rsidRDefault="00FD3FAA" w:rsidP="00EC2A61">
            <w:pPr>
              <w:spacing w:before="0" w:after="0"/>
            </w:pPr>
            <w:r w:rsidRPr="00935D8E">
              <w:t>3</w:t>
            </w:r>
          </w:p>
        </w:tc>
        <w:tc>
          <w:tcPr>
            <w:tcW w:w="1387" w:type="pct"/>
          </w:tcPr>
          <w:p w:rsidR="00FD3FAA" w:rsidRPr="00935D8E" w:rsidRDefault="00173C53" w:rsidP="00EC2A61">
            <w:pPr>
              <w:spacing w:before="0" w:after="0"/>
            </w:pPr>
            <w:r w:rsidRPr="00935D8E">
              <w:t>PCI Geomatics</w:t>
            </w:r>
          </w:p>
        </w:tc>
        <w:tc>
          <w:tcPr>
            <w:tcW w:w="3203" w:type="pct"/>
          </w:tcPr>
          <w:p w:rsidR="00FD3FAA" w:rsidRPr="00935D8E" w:rsidRDefault="00850FFA" w:rsidP="00EC2A61">
            <w:pPr>
              <w:spacing w:before="0" w:after="0"/>
            </w:pPr>
            <w:r w:rsidRPr="00935D8E">
              <w:t>Lineament extraction</w:t>
            </w:r>
          </w:p>
        </w:tc>
      </w:tr>
      <w:tr w:rsidR="00456014" w:rsidRPr="00935D8E" w:rsidTr="007005D2">
        <w:tc>
          <w:tcPr>
            <w:tcW w:w="410" w:type="pct"/>
          </w:tcPr>
          <w:p w:rsidR="00FD3FAA" w:rsidRPr="00935D8E" w:rsidRDefault="00FD3FAA" w:rsidP="00EC2A61">
            <w:pPr>
              <w:spacing w:before="0" w:after="0"/>
            </w:pPr>
            <w:r w:rsidRPr="00935D8E">
              <w:t>4</w:t>
            </w:r>
          </w:p>
        </w:tc>
        <w:tc>
          <w:tcPr>
            <w:tcW w:w="1387" w:type="pct"/>
          </w:tcPr>
          <w:p w:rsidR="00FD3FAA" w:rsidRPr="00935D8E" w:rsidRDefault="00173C53" w:rsidP="00EC2A61">
            <w:pPr>
              <w:spacing w:before="0" w:after="0"/>
            </w:pPr>
            <w:r w:rsidRPr="00935D8E">
              <w:t>Rockworks16</w:t>
            </w:r>
          </w:p>
        </w:tc>
        <w:tc>
          <w:tcPr>
            <w:tcW w:w="3203" w:type="pct"/>
          </w:tcPr>
          <w:p w:rsidR="00FD3FAA" w:rsidRPr="00935D8E" w:rsidRDefault="00850FFA" w:rsidP="00EC2A61">
            <w:pPr>
              <w:spacing w:before="0" w:after="0"/>
            </w:pPr>
            <w:r w:rsidRPr="00935D8E">
              <w:t xml:space="preserve">Rose diagram </w:t>
            </w:r>
          </w:p>
        </w:tc>
      </w:tr>
      <w:tr w:rsidR="00456014" w:rsidRPr="00935D8E" w:rsidTr="007005D2">
        <w:tc>
          <w:tcPr>
            <w:tcW w:w="410" w:type="pct"/>
          </w:tcPr>
          <w:p w:rsidR="00FD3FAA" w:rsidRPr="00935D8E" w:rsidRDefault="00FD3FAA" w:rsidP="00EC2A61">
            <w:pPr>
              <w:spacing w:before="0" w:after="0"/>
            </w:pPr>
            <w:r w:rsidRPr="00935D8E">
              <w:t>5</w:t>
            </w:r>
          </w:p>
        </w:tc>
        <w:tc>
          <w:tcPr>
            <w:tcW w:w="1387" w:type="pct"/>
          </w:tcPr>
          <w:p w:rsidR="00FD3FAA" w:rsidRPr="00935D8E" w:rsidRDefault="00173C53" w:rsidP="00EC2A61">
            <w:pPr>
              <w:spacing w:before="0" w:after="0"/>
            </w:pPr>
            <w:r w:rsidRPr="00935D8E">
              <w:t>SAGA GIS</w:t>
            </w:r>
          </w:p>
        </w:tc>
        <w:tc>
          <w:tcPr>
            <w:tcW w:w="3203" w:type="pct"/>
          </w:tcPr>
          <w:p w:rsidR="00FD3FAA" w:rsidRPr="00935D8E" w:rsidRDefault="00850FFA" w:rsidP="00EC2A61">
            <w:pPr>
              <w:spacing w:before="0" w:after="0"/>
            </w:pPr>
            <w:r w:rsidRPr="00935D8E">
              <w:t>Landforms classification</w:t>
            </w:r>
          </w:p>
        </w:tc>
      </w:tr>
      <w:tr w:rsidR="00456014" w:rsidRPr="00935D8E" w:rsidTr="007005D2">
        <w:tc>
          <w:tcPr>
            <w:tcW w:w="410" w:type="pct"/>
          </w:tcPr>
          <w:p w:rsidR="00FD3FAA" w:rsidRPr="00935D8E" w:rsidRDefault="00FD3FAA" w:rsidP="00EC2A61">
            <w:pPr>
              <w:spacing w:before="0" w:after="0"/>
            </w:pPr>
            <w:r w:rsidRPr="00935D8E">
              <w:lastRenderedPageBreak/>
              <w:t>6</w:t>
            </w:r>
          </w:p>
        </w:tc>
        <w:tc>
          <w:tcPr>
            <w:tcW w:w="1387" w:type="pct"/>
          </w:tcPr>
          <w:p w:rsidR="00FD3FAA" w:rsidRPr="00935D8E" w:rsidRDefault="00E72656" w:rsidP="00EC2A61">
            <w:pPr>
              <w:spacing w:before="0" w:after="0"/>
            </w:pPr>
            <w:r w:rsidRPr="00935D8E">
              <w:t>Arc SWAT</w:t>
            </w:r>
          </w:p>
        </w:tc>
        <w:tc>
          <w:tcPr>
            <w:tcW w:w="3203" w:type="pct"/>
          </w:tcPr>
          <w:p w:rsidR="00FD3FAA" w:rsidRPr="00935D8E" w:rsidRDefault="00014FF9" w:rsidP="00EC2A61">
            <w:pPr>
              <w:spacing w:before="0" w:after="0"/>
            </w:pPr>
            <w:r w:rsidRPr="00935D8E">
              <w:t>Watershed boundary and drainage network</w:t>
            </w:r>
          </w:p>
        </w:tc>
      </w:tr>
      <w:tr w:rsidR="00456014" w:rsidRPr="00935D8E" w:rsidTr="007005D2">
        <w:tc>
          <w:tcPr>
            <w:tcW w:w="410" w:type="pct"/>
          </w:tcPr>
          <w:p w:rsidR="00FD3FAA" w:rsidRPr="00935D8E" w:rsidRDefault="00FD3FAA" w:rsidP="00EC2A61">
            <w:pPr>
              <w:spacing w:before="0" w:after="0"/>
            </w:pPr>
            <w:r w:rsidRPr="00935D8E">
              <w:t>7</w:t>
            </w:r>
          </w:p>
        </w:tc>
        <w:tc>
          <w:tcPr>
            <w:tcW w:w="1387" w:type="pct"/>
          </w:tcPr>
          <w:p w:rsidR="00FD3FAA" w:rsidRPr="00935D8E" w:rsidRDefault="00E72656" w:rsidP="00EC2A61">
            <w:pPr>
              <w:spacing w:before="0" w:after="0"/>
            </w:pPr>
            <w:r w:rsidRPr="00935D8E">
              <w:t>Soil texture calculator</w:t>
            </w:r>
          </w:p>
        </w:tc>
        <w:tc>
          <w:tcPr>
            <w:tcW w:w="3203" w:type="pct"/>
          </w:tcPr>
          <w:p w:rsidR="00FD3FAA" w:rsidRPr="00935D8E" w:rsidRDefault="00014FF9" w:rsidP="00EC2A61">
            <w:pPr>
              <w:spacing w:before="0" w:after="0"/>
            </w:pPr>
            <w:r w:rsidRPr="00935D8E">
              <w:t>Identification of soil texture</w:t>
            </w:r>
          </w:p>
        </w:tc>
      </w:tr>
      <w:tr w:rsidR="00456014" w:rsidRPr="00935D8E" w:rsidTr="007005D2">
        <w:tc>
          <w:tcPr>
            <w:tcW w:w="410" w:type="pct"/>
          </w:tcPr>
          <w:p w:rsidR="00FD3FAA" w:rsidRPr="00935D8E" w:rsidRDefault="00FD3FAA" w:rsidP="00EC2A61">
            <w:pPr>
              <w:spacing w:before="0" w:after="0"/>
            </w:pPr>
            <w:r w:rsidRPr="00935D8E">
              <w:t>8</w:t>
            </w:r>
          </w:p>
        </w:tc>
        <w:tc>
          <w:tcPr>
            <w:tcW w:w="1387" w:type="pct"/>
          </w:tcPr>
          <w:p w:rsidR="00FD3FAA" w:rsidRPr="00935D8E" w:rsidRDefault="00505592" w:rsidP="00EC2A61">
            <w:pPr>
              <w:spacing w:before="0" w:after="0"/>
            </w:pPr>
            <w:r w:rsidRPr="00935D8E">
              <w:t>IDRISI Selva</w:t>
            </w:r>
          </w:p>
        </w:tc>
        <w:tc>
          <w:tcPr>
            <w:tcW w:w="3203" w:type="pct"/>
          </w:tcPr>
          <w:p w:rsidR="00FD3FAA" w:rsidRPr="00935D8E" w:rsidRDefault="00D1055C" w:rsidP="00EC2A61">
            <w:pPr>
              <w:spacing w:before="0" w:after="0"/>
            </w:pPr>
            <w:r w:rsidRPr="00935D8E">
              <w:t>Weight assignment and consistency ratio</w:t>
            </w:r>
          </w:p>
        </w:tc>
      </w:tr>
      <w:tr w:rsidR="009455B3" w:rsidRPr="00935D8E" w:rsidTr="007005D2">
        <w:tc>
          <w:tcPr>
            <w:tcW w:w="410" w:type="pct"/>
          </w:tcPr>
          <w:p w:rsidR="009455B3" w:rsidRPr="00935D8E" w:rsidRDefault="009455B3" w:rsidP="00EC2A61">
            <w:pPr>
              <w:spacing w:before="0" w:after="0"/>
            </w:pPr>
            <w:r w:rsidRPr="00935D8E">
              <w:t>9</w:t>
            </w:r>
          </w:p>
        </w:tc>
        <w:tc>
          <w:tcPr>
            <w:tcW w:w="1387" w:type="pct"/>
          </w:tcPr>
          <w:p w:rsidR="009455B3" w:rsidRPr="00935D8E" w:rsidRDefault="009455B3" w:rsidP="00EC2A61">
            <w:pPr>
              <w:spacing w:before="0" w:after="0"/>
            </w:pPr>
            <w:r w:rsidRPr="00935D8E">
              <w:t>Surfer 17.1</w:t>
            </w:r>
          </w:p>
        </w:tc>
        <w:tc>
          <w:tcPr>
            <w:tcW w:w="3203" w:type="pct"/>
          </w:tcPr>
          <w:p w:rsidR="009455B3" w:rsidRPr="00935D8E" w:rsidRDefault="00D1055C" w:rsidP="00EC2A61">
            <w:pPr>
              <w:spacing w:before="0" w:after="0"/>
            </w:pPr>
            <w:r w:rsidRPr="00935D8E">
              <w:t>Groundwater flow direction</w:t>
            </w:r>
          </w:p>
        </w:tc>
      </w:tr>
    </w:tbl>
    <w:p w:rsidR="00D07D29" w:rsidRPr="00935D8E" w:rsidRDefault="00D07D29" w:rsidP="00EC2A61">
      <w:pPr>
        <w:pStyle w:val="Caption"/>
        <w:spacing w:before="120" w:after="120" w:line="360" w:lineRule="auto"/>
        <w:rPr>
          <w:i w:val="0"/>
          <w:color w:val="auto"/>
          <w:sz w:val="24"/>
          <w:szCs w:val="24"/>
        </w:rPr>
      </w:pPr>
      <w:bookmarkStart w:id="256" w:name="_Toc68761652"/>
      <w:r w:rsidRPr="00935D8E">
        <w:rPr>
          <w:i w:val="0"/>
          <w:color w:val="auto"/>
          <w:sz w:val="24"/>
          <w:szCs w:val="24"/>
        </w:rPr>
        <w:t xml:space="preserve">Appendix table </w:t>
      </w:r>
      <w:r w:rsidRPr="00935D8E">
        <w:rPr>
          <w:i w:val="0"/>
          <w:color w:val="auto"/>
          <w:sz w:val="24"/>
          <w:szCs w:val="24"/>
        </w:rPr>
        <w:fldChar w:fldCharType="begin"/>
      </w:r>
      <w:r w:rsidRPr="00935D8E">
        <w:rPr>
          <w:i w:val="0"/>
          <w:color w:val="auto"/>
          <w:sz w:val="24"/>
          <w:szCs w:val="24"/>
        </w:rPr>
        <w:instrText xml:space="preserve"> SEQ Appendix_table \* ARABIC </w:instrText>
      </w:r>
      <w:r w:rsidRPr="00935D8E">
        <w:rPr>
          <w:i w:val="0"/>
          <w:color w:val="auto"/>
          <w:sz w:val="24"/>
          <w:szCs w:val="24"/>
        </w:rPr>
        <w:fldChar w:fldCharType="separate"/>
      </w:r>
      <w:r w:rsidR="00BD510E">
        <w:rPr>
          <w:i w:val="0"/>
          <w:noProof/>
          <w:color w:val="auto"/>
          <w:sz w:val="24"/>
          <w:szCs w:val="24"/>
        </w:rPr>
        <w:t>3</w:t>
      </w:r>
      <w:r w:rsidRPr="00935D8E">
        <w:rPr>
          <w:i w:val="0"/>
          <w:color w:val="auto"/>
          <w:sz w:val="24"/>
          <w:szCs w:val="24"/>
        </w:rPr>
        <w:fldChar w:fldCharType="end"/>
      </w:r>
      <w:r w:rsidR="004548C4" w:rsidRPr="00935D8E">
        <w:rPr>
          <w:i w:val="0"/>
          <w:color w:val="auto"/>
          <w:sz w:val="24"/>
          <w:szCs w:val="24"/>
        </w:rPr>
        <w:t>:</w:t>
      </w:r>
      <w:r w:rsidRPr="00935D8E">
        <w:rPr>
          <w:i w:val="0"/>
          <w:color w:val="auto"/>
          <w:sz w:val="24"/>
          <w:szCs w:val="24"/>
        </w:rPr>
        <w:t xml:space="preserve"> Sources of data, scale and their respective resolution</w:t>
      </w:r>
      <w:bookmarkEnd w:id="256"/>
    </w:p>
    <w:tbl>
      <w:tblPr>
        <w:tblW w:w="5000" w:type="pct"/>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943"/>
        <w:gridCol w:w="3483"/>
        <w:gridCol w:w="4574"/>
      </w:tblGrid>
      <w:tr w:rsidR="00456014" w:rsidRPr="00935D8E" w:rsidTr="00A15DBB">
        <w:trPr>
          <w:jc w:val="center"/>
        </w:trPr>
        <w:tc>
          <w:tcPr>
            <w:tcW w:w="524" w:type="pct"/>
            <w:tcBorders>
              <w:top w:val="single" w:sz="4" w:space="0" w:color="auto"/>
              <w:left w:val="nil"/>
              <w:bottom w:val="single" w:sz="4" w:space="0" w:color="auto"/>
              <w:right w:val="nil"/>
            </w:tcBorders>
            <w:shd w:val="clear" w:color="auto" w:fill="auto"/>
          </w:tcPr>
          <w:p w:rsidR="00A15DBB" w:rsidRPr="00935D8E" w:rsidRDefault="00A15DBB" w:rsidP="00EC2A61">
            <w:pPr>
              <w:spacing w:before="0" w:after="0"/>
              <w:jc w:val="left"/>
              <w:rPr>
                <w:rFonts w:eastAsia="Times New Roman"/>
                <w:b/>
                <w:lang w:val="en-GB" w:eastAsia="en-GB"/>
              </w:rPr>
            </w:pPr>
            <w:r w:rsidRPr="00935D8E">
              <w:rPr>
                <w:rFonts w:eastAsia="Times New Roman"/>
                <w:b/>
                <w:lang w:val="en-GB" w:eastAsia="en-GB"/>
              </w:rPr>
              <w:t>S.No.</w:t>
            </w:r>
          </w:p>
        </w:tc>
        <w:tc>
          <w:tcPr>
            <w:tcW w:w="1935" w:type="pct"/>
            <w:tcBorders>
              <w:top w:val="single" w:sz="4" w:space="0" w:color="auto"/>
              <w:left w:val="nil"/>
              <w:bottom w:val="single" w:sz="4" w:space="0" w:color="auto"/>
              <w:right w:val="nil"/>
            </w:tcBorders>
            <w:shd w:val="clear" w:color="auto" w:fill="auto"/>
          </w:tcPr>
          <w:p w:rsidR="00A15DBB" w:rsidRPr="00935D8E" w:rsidRDefault="00A15DBB" w:rsidP="00EC2A61">
            <w:pPr>
              <w:spacing w:before="0" w:after="0"/>
              <w:jc w:val="left"/>
              <w:rPr>
                <w:rFonts w:eastAsia="Times New Roman"/>
                <w:b/>
                <w:lang w:val="en-GB" w:eastAsia="en-GB"/>
              </w:rPr>
            </w:pPr>
            <w:r w:rsidRPr="00935D8E">
              <w:rPr>
                <w:rFonts w:eastAsia="Times New Roman"/>
                <w:b/>
                <w:lang w:val="en-GB" w:eastAsia="en-GB"/>
              </w:rPr>
              <w:t>Data</w:t>
            </w:r>
          </w:p>
        </w:tc>
        <w:tc>
          <w:tcPr>
            <w:tcW w:w="2541" w:type="pct"/>
            <w:tcBorders>
              <w:top w:val="single" w:sz="4" w:space="0" w:color="auto"/>
              <w:left w:val="nil"/>
              <w:bottom w:val="single" w:sz="4" w:space="0" w:color="auto"/>
              <w:right w:val="nil"/>
            </w:tcBorders>
            <w:shd w:val="clear" w:color="auto" w:fill="auto"/>
          </w:tcPr>
          <w:p w:rsidR="00A15DBB" w:rsidRPr="00935D8E" w:rsidRDefault="00A15DBB" w:rsidP="00EC2A61">
            <w:pPr>
              <w:spacing w:before="0" w:after="0"/>
              <w:jc w:val="left"/>
              <w:rPr>
                <w:rFonts w:eastAsia="Times New Roman"/>
                <w:b/>
                <w:lang w:val="en-GB" w:eastAsia="en-GB"/>
              </w:rPr>
            </w:pPr>
            <w:r w:rsidRPr="00935D8E">
              <w:rPr>
                <w:rFonts w:eastAsia="Times New Roman"/>
                <w:b/>
                <w:lang w:val="en-GB" w:eastAsia="en-GB"/>
              </w:rPr>
              <w:t>Source</w:t>
            </w:r>
          </w:p>
        </w:tc>
      </w:tr>
      <w:tr w:rsidR="00456014" w:rsidRPr="00935D8E" w:rsidTr="00A15DBB">
        <w:trPr>
          <w:jc w:val="center"/>
        </w:trPr>
        <w:tc>
          <w:tcPr>
            <w:tcW w:w="524" w:type="pct"/>
            <w:tcBorders>
              <w:top w:val="single" w:sz="4" w:space="0" w:color="auto"/>
              <w:left w:val="nil"/>
              <w:bottom w:val="nil"/>
              <w:right w:val="nil"/>
            </w:tcBorders>
            <w:shd w:val="clear" w:color="auto" w:fill="auto"/>
          </w:tcPr>
          <w:p w:rsidR="00A15DBB" w:rsidRPr="00935D8E" w:rsidRDefault="00A15DBB" w:rsidP="00EC2A61">
            <w:pPr>
              <w:spacing w:before="0" w:after="0"/>
              <w:jc w:val="left"/>
              <w:rPr>
                <w:rFonts w:eastAsia="Times New Roman"/>
                <w:lang w:val="en-GB" w:eastAsia="en-GB"/>
              </w:rPr>
            </w:pPr>
            <w:r w:rsidRPr="00935D8E">
              <w:rPr>
                <w:rFonts w:eastAsia="Times New Roman"/>
                <w:lang w:val="en-GB" w:eastAsia="en-GB"/>
              </w:rPr>
              <w:t>1</w:t>
            </w:r>
          </w:p>
        </w:tc>
        <w:tc>
          <w:tcPr>
            <w:tcW w:w="1935" w:type="pct"/>
            <w:tcBorders>
              <w:top w:val="single" w:sz="4" w:space="0" w:color="auto"/>
              <w:left w:val="nil"/>
              <w:bottom w:val="nil"/>
              <w:right w:val="nil"/>
            </w:tcBorders>
            <w:shd w:val="clear" w:color="auto" w:fill="auto"/>
          </w:tcPr>
          <w:p w:rsidR="00A15DBB" w:rsidRPr="00935D8E" w:rsidRDefault="00A15DBB" w:rsidP="00EC2A61">
            <w:pPr>
              <w:spacing w:before="0" w:after="0"/>
              <w:jc w:val="left"/>
              <w:rPr>
                <w:rFonts w:eastAsia="Times New Roman"/>
                <w:lang w:val="en-GB" w:eastAsia="en-GB"/>
              </w:rPr>
            </w:pPr>
            <w:r w:rsidRPr="00935D8E">
              <w:rPr>
                <w:rFonts w:eastAsia="Times New Roman"/>
                <w:lang w:val="en-GB" w:eastAsia="en-GB"/>
              </w:rPr>
              <w:t>Weather data</w:t>
            </w:r>
          </w:p>
        </w:tc>
        <w:tc>
          <w:tcPr>
            <w:tcW w:w="2541" w:type="pct"/>
            <w:tcBorders>
              <w:top w:val="single" w:sz="4" w:space="0" w:color="auto"/>
              <w:left w:val="nil"/>
              <w:bottom w:val="nil"/>
              <w:right w:val="nil"/>
            </w:tcBorders>
            <w:shd w:val="clear" w:color="auto" w:fill="auto"/>
          </w:tcPr>
          <w:p w:rsidR="00A15DBB" w:rsidRPr="00935D8E" w:rsidRDefault="00A15DBB" w:rsidP="00EC2A61">
            <w:pPr>
              <w:spacing w:before="0" w:after="0"/>
              <w:jc w:val="left"/>
              <w:rPr>
                <w:rFonts w:eastAsia="Times New Roman"/>
                <w:lang w:val="en-GB" w:eastAsia="en-GB"/>
              </w:rPr>
            </w:pPr>
            <w:r w:rsidRPr="00935D8E">
              <w:rPr>
                <w:rFonts w:eastAsia="Times New Roman"/>
                <w:lang w:val="en-GB" w:eastAsia="en-GB"/>
              </w:rPr>
              <w:t>NMSA and SOMSC</w:t>
            </w:r>
          </w:p>
        </w:tc>
      </w:tr>
      <w:tr w:rsidR="00456014" w:rsidRPr="00935D8E" w:rsidTr="00A15DBB">
        <w:trPr>
          <w:trHeight w:val="74"/>
          <w:jc w:val="center"/>
        </w:trPr>
        <w:tc>
          <w:tcPr>
            <w:tcW w:w="524" w:type="pct"/>
            <w:tcBorders>
              <w:top w:val="nil"/>
              <w:left w:val="nil"/>
              <w:bottom w:val="nil"/>
              <w:right w:val="nil"/>
            </w:tcBorders>
            <w:shd w:val="clear" w:color="auto" w:fill="auto"/>
          </w:tcPr>
          <w:p w:rsidR="00A15DBB" w:rsidRPr="00935D8E" w:rsidRDefault="00A15DBB" w:rsidP="00EC2A61">
            <w:pPr>
              <w:spacing w:before="0" w:after="0"/>
              <w:jc w:val="left"/>
              <w:rPr>
                <w:rFonts w:eastAsia="Times New Roman"/>
                <w:lang w:val="en-GB" w:eastAsia="en-GB"/>
              </w:rPr>
            </w:pPr>
            <w:r w:rsidRPr="00935D8E">
              <w:rPr>
                <w:rFonts w:eastAsia="Times New Roman"/>
                <w:lang w:val="en-GB" w:eastAsia="en-GB"/>
              </w:rPr>
              <w:t>2</w:t>
            </w:r>
          </w:p>
        </w:tc>
        <w:tc>
          <w:tcPr>
            <w:tcW w:w="1935" w:type="pct"/>
            <w:tcBorders>
              <w:top w:val="nil"/>
              <w:left w:val="nil"/>
              <w:bottom w:val="nil"/>
              <w:right w:val="nil"/>
            </w:tcBorders>
            <w:shd w:val="clear" w:color="auto" w:fill="auto"/>
          </w:tcPr>
          <w:p w:rsidR="00A15DBB" w:rsidRPr="00935D8E" w:rsidRDefault="00A15DBB" w:rsidP="00EC2A61">
            <w:pPr>
              <w:spacing w:before="0" w:after="0"/>
              <w:jc w:val="left"/>
              <w:rPr>
                <w:rFonts w:eastAsia="Times New Roman"/>
                <w:lang w:val="en-GB" w:eastAsia="en-GB"/>
              </w:rPr>
            </w:pPr>
            <w:r w:rsidRPr="00935D8E">
              <w:rPr>
                <w:rFonts w:eastAsia="Times New Roman"/>
                <w:lang w:val="en-GB" w:eastAsia="en-GB"/>
              </w:rPr>
              <w:t>Soil</w:t>
            </w:r>
            <w:r w:rsidR="00357DBA" w:rsidRPr="00935D8E">
              <w:rPr>
                <w:rFonts w:eastAsia="Times New Roman"/>
                <w:lang w:val="en-GB" w:eastAsia="en-GB"/>
              </w:rPr>
              <w:t xml:space="preserve"> data</w:t>
            </w:r>
          </w:p>
        </w:tc>
        <w:tc>
          <w:tcPr>
            <w:tcW w:w="2541" w:type="pct"/>
            <w:tcBorders>
              <w:top w:val="nil"/>
              <w:left w:val="nil"/>
              <w:bottom w:val="nil"/>
              <w:right w:val="nil"/>
            </w:tcBorders>
            <w:shd w:val="clear" w:color="auto" w:fill="auto"/>
          </w:tcPr>
          <w:p w:rsidR="00A15DBB" w:rsidRPr="00935D8E" w:rsidRDefault="00A15DBB" w:rsidP="00EC2A61">
            <w:pPr>
              <w:spacing w:before="0" w:after="0"/>
              <w:jc w:val="left"/>
              <w:rPr>
                <w:rFonts w:eastAsia="Times New Roman"/>
                <w:lang w:val="en-GB" w:eastAsia="en-GB"/>
              </w:rPr>
            </w:pPr>
            <w:r w:rsidRPr="00935D8E">
              <w:rPr>
                <w:rFonts w:eastAsia="Times New Roman"/>
                <w:lang w:val="en-GB" w:eastAsia="en-GB"/>
              </w:rPr>
              <w:t>MoWIE</w:t>
            </w:r>
          </w:p>
        </w:tc>
      </w:tr>
      <w:tr w:rsidR="00456014" w:rsidRPr="00935D8E" w:rsidTr="00A15DBB">
        <w:trPr>
          <w:jc w:val="center"/>
        </w:trPr>
        <w:tc>
          <w:tcPr>
            <w:tcW w:w="524" w:type="pct"/>
            <w:tcBorders>
              <w:top w:val="nil"/>
              <w:left w:val="nil"/>
              <w:bottom w:val="nil"/>
              <w:right w:val="nil"/>
            </w:tcBorders>
            <w:shd w:val="clear" w:color="auto" w:fill="auto"/>
          </w:tcPr>
          <w:p w:rsidR="00A15DBB" w:rsidRPr="00935D8E" w:rsidRDefault="00A15DBB" w:rsidP="00EC2A61">
            <w:pPr>
              <w:spacing w:before="0" w:after="0"/>
              <w:jc w:val="left"/>
              <w:rPr>
                <w:rFonts w:eastAsia="Times New Roman"/>
                <w:lang w:val="en-GB" w:eastAsia="en-GB"/>
              </w:rPr>
            </w:pPr>
            <w:r w:rsidRPr="00935D8E">
              <w:rPr>
                <w:rFonts w:eastAsia="Times New Roman"/>
                <w:lang w:val="en-GB" w:eastAsia="en-GB"/>
              </w:rPr>
              <w:t>4</w:t>
            </w:r>
          </w:p>
        </w:tc>
        <w:tc>
          <w:tcPr>
            <w:tcW w:w="1935" w:type="pct"/>
            <w:tcBorders>
              <w:top w:val="nil"/>
              <w:left w:val="nil"/>
              <w:bottom w:val="nil"/>
              <w:right w:val="nil"/>
            </w:tcBorders>
            <w:shd w:val="clear" w:color="auto" w:fill="auto"/>
          </w:tcPr>
          <w:p w:rsidR="00A15DBB" w:rsidRPr="00935D8E" w:rsidRDefault="004D4415" w:rsidP="00EC2A61">
            <w:pPr>
              <w:spacing w:before="0" w:after="0"/>
              <w:jc w:val="left"/>
              <w:rPr>
                <w:rFonts w:eastAsia="Times New Roman"/>
                <w:lang w:val="en-GB" w:eastAsia="en-GB"/>
              </w:rPr>
            </w:pPr>
            <w:r w:rsidRPr="00935D8E">
              <w:rPr>
                <w:rFonts w:eastAsia="Times New Roman"/>
                <w:lang w:val="en-GB" w:eastAsia="en-GB"/>
              </w:rPr>
              <w:t xml:space="preserve">DEM and </w:t>
            </w:r>
            <w:r w:rsidR="00A15DBB" w:rsidRPr="00935D8E">
              <w:rPr>
                <w:rFonts w:eastAsia="Times New Roman"/>
                <w:lang w:val="en-GB" w:eastAsia="en-GB"/>
              </w:rPr>
              <w:t>Landsat (Landsat 8 OLI/TIRS multi-spectral) images (30*30m)</w:t>
            </w:r>
          </w:p>
        </w:tc>
        <w:tc>
          <w:tcPr>
            <w:tcW w:w="2541" w:type="pct"/>
            <w:tcBorders>
              <w:top w:val="nil"/>
              <w:left w:val="nil"/>
              <w:bottom w:val="nil"/>
              <w:right w:val="nil"/>
            </w:tcBorders>
            <w:shd w:val="clear" w:color="auto" w:fill="auto"/>
          </w:tcPr>
          <w:p w:rsidR="00A15DBB" w:rsidRPr="00935D8E" w:rsidRDefault="00A15DBB" w:rsidP="00EC2A61">
            <w:pPr>
              <w:spacing w:before="0" w:after="0"/>
              <w:jc w:val="left"/>
              <w:rPr>
                <w:rFonts w:eastAsia="Times New Roman"/>
                <w:lang w:val="en-GB" w:eastAsia="en-GB"/>
              </w:rPr>
            </w:pPr>
            <w:r w:rsidRPr="00935D8E">
              <w:t>Earth explorer USGS</w:t>
            </w:r>
            <w:r w:rsidRPr="00935D8E">
              <w:rPr>
                <w:rFonts w:eastAsia="Times New Roman"/>
                <w:lang w:val="en-GB" w:eastAsia="en-GB"/>
              </w:rPr>
              <w:t xml:space="preserve"> website</w:t>
            </w:r>
          </w:p>
          <w:p w:rsidR="00A15DBB" w:rsidRPr="00935D8E" w:rsidRDefault="00A15DBB" w:rsidP="00EC2A61">
            <w:pPr>
              <w:spacing w:before="0" w:after="0"/>
              <w:jc w:val="left"/>
              <w:rPr>
                <w:rFonts w:eastAsia="Times New Roman"/>
                <w:lang w:val="en-GB" w:eastAsia="en-GB"/>
              </w:rPr>
            </w:pPr>
            <w:r w:rsidRPr="00935D8E">
              <w:rPr>
                <w:rFonts w:eastAsia="Times New Roman"/>
                <w:lang w:val="en-GB" w:eastAsia="en-GB"/>
              </w:rPr>
              <w:t>(</w:t>
            </w:r>
            <w:hyperlink r:id="rId54" w:history="1">
              <w:r w:rsidRPr="00935D8E">
                <w:rPr>
                  <w:rStyle w:val="Hyperlink"/>
                  <w:rFonts w:eastAsia="Times New Roman"/>
                  <w:color w:val="auto"/>
                  <w:lang w:val="en-GB" w:eastAsia="en-GB"/>
                </w:rPr>
                <w:t>www.earthexplorer.usgs.gov</w:t>
              </w:r>
            </w:hyperlink>
            <w:r w:rsidRPr="00935D8E">
              <w:rPr>
                <w:rFonts w:eastAsia="Times New Roman"/>
                <w:lang w:val="en-GB" w:eastAsia="en-GB"/>
              </w:rPr>
              <w:t>).</w:t>
            </w:r>
          </w:p>
        </w:tc>
      </w:tr>
      <w:tr w:rsidR="00456014" w:rsidRPr="00935D8E" w:rsidTr="00A15DBB">
        <w:trPr>
          <w:jc w:val="center"/>
        </w:trPr>
        <w:tc>
          <w:tcPr>
            <w:tcW w:w="524" w:type="pct"/>
            <w:tcBorders>
              <w:top w:val="nil"/>
              <w:left w:val="nil"/>
              <w:bottom w:val="nil"/>
              <w:right w:val="nil"/>
            </w:tcBorders>
            <w:shd w:val="clear" w:color="auto" w:fill="auto"/>
          </w:tcPr>
          <w:p w:rsidR="00A15DBB" w:rsidRPr="00935D8E" w:rsidRDefault="00A15DBB" w:rsidP="00EC2A61">
            <w:pPr>
              <w:spacing w:before="0" w:after="0"/>
              <w:jc w:val="left"/>
              <w:rPr>
                <w:rFonts w:eastAsia="Times New Roman"/>
                <w:lang w:val="en-GB" w:eastAsia="en-GB"/>
              </w:rPr>
            </w:pPr>
            <w:r w:rsidRPr="00935D8E">
              <w:rPr>
                <w:rFonts w:eastAsia="Times New Roman"/>
                <w:lang w:val="en-GB" w:eastAsia="en-GB"/>
              </w:rPr>
              <w:t>5</w:t>
            </w:r>
          </w:p>
        </w:tc>
        <w:tc>
          <w:tcPr>
            <w:tcW w:w="1935" w:type="pct"/>
            <w:tcBorders>
              <w:top w:val="nil"/>
              <w:left w:val="nil"/>
              <w:bottom w:val="nil"/>
              <w:right w:val="nil"/>
            </w:tcBorders>
            <w:shd w:val="clear" w:color="auto" w:fill="auto"/>
          </w:tcPr>
          <w:p w:rsidR="00A15DBB" w:rsidRPr="00935D8E" w:rsidRDefault="00A15DBB" w:rsidP="00EC2A61">
            <w:pPr>
              <w:spacing w:before="0" w:after="0"/>
              <w:jc w:val="left"/>
              <w:rPr>
                <w:rFonts w:eastAsia="Times New Roman"/>
                <w:lang w:val="en-GB" w:eastAsia="en-GB"/>
              </w:rPr>
            </w:pPr>
            <w:r w:rsidRPr="00935D8E">
              <w:rPr>
                <w:rFonts w:eastAsia="Times New Roman"/>
                <w:lang w:val="en-GB" w:eastAsia="en-GB"/>
              </w:rPr>
              <w:t>Geology (1:250,000)</w:t>
            </w:r>
          </w:p>
        </w:tc>
        <w:tc>
          <w:tcPr>
            <w:tcW w:w="2541" w:type="pct"/>
            <w:tcBorders>
              <w:top w:val="nil"/>
              <w:left w:val="nil"/>
              <w:bottom w:val="nil"/>
              <w:right w:val="nil"/>
            </w:tcBorders>
            <w:shd w:val="clear" w:color="auto" w:fill="auto"/>
          </w:tcPr>
          <w:p w:rsidR="00A15DBB" w:rsidRPr="00935D8E" w:rsidRDefault="00A15DBB" w:rsidP="00EC2A61">
            <w:pPr>
              <w:spacing w:before="0" w:after="0"/>
              <w:jc w:val="left"/>
              <w:rPr>
                <w:rFonts w:eastAsia="Times New Roman"/>
                <w:lang w:val="en-GB" w:eastAsia="en-GB"/>
              </w:rPr>
            </w:pPr>
            <w:r w:rsidRPr="00935D8E">
              <w:rPr>
                <w:rFonts w:eastAsia="Times New Roman"/>
                <w:lang w:val="en-GB" w:eastAsia="en-GB"/>
              </w:rPr>
              <w:t>Geological survey of Ethiopia and MoWIE</w:t>
            </w:r>
          </w:p>
        </w:tc>
      </w:tr>
      <w:tr w:rsidR="00456014" w:rsidRPr="00935D8E" w:rsidTr="00A15DBB">
        <w:trPr>
          <w:trHeight w:val="74"/>
          <w:jc w:val="center"/>
        </w:trPr>
        <w:tc>
          <w:tcPr>
            <w:tcW w:w="524" w:type="pct"/>
            <w:tcBorders>
              <w:top w:val="nil"/>
              <w:left w:val="nil"/>
              <w:bottom w:val="nil"/>
              <w:right w:val="nil"/>
            </w:tcBorders>
            <w:shd w:val="clear" w:color="auto" w:fill="auto"/>
          </w:tcPr>
          <w:p w:rsidR="00A15DBB" w:rsidRPr="00935D8E" w:rsidRDefault="00A15DBB" w:rsidP="00EC2A61">
            <w:pPr>
              <w:spacing w:before="0" w:after="0"/>
              <w:jc w:val="left"/>
              <w:rPr>
                <w:rFonts w:eastAsia="Times New Roman"/>
                <w:lang w:val="en-GB" w:eastAsia="en-GB"/>
              </w:rPr>
            </w:pPr>
            <w:r w:rsidRPr="00935D8E">
              <w:rPr>
                <w:rFonts w:eastAsia="Times New Roman"/>
                <w:lang w:val="en-GB" w:eastAsia="en-GB"/>
              </w:rPr>
              <w:t>6</w:t>
            </w:r>
          </w:p>
        </w:tc>
        <w:tc>
          <w:tcPr>
            <w:tcW w:w="1935" w:type="pct"/>
            <w:tcBorders>
              <w:top w:val="nil"/>
              <w:left w:val="nil"/>
              <w:bottom w:val="nil"/>
              <w:right w:val="nil"/>
            </w:tcBorders>
            <w:shd w:val="clear" w:color="auto" w:fill="auto"/>
          </w:tcPr>
          <w:p w:rsidR="00A15DBB" w:rsidRPr="00935D8E" w:rsidRDefault="00706F11" w:rsidP="00EC2A61">
            <w:pPr>
              <w:spacing w:before="0" w:after="0"/>
              <w:jc w:val="left"/>
              <w:rPr>
                <w:rFonts w:eastAsia="Times New Roman"/>
                <w:lang w:val="en-GB" w:eastAsia="en-GB"/>
              </w:rPr>
            </w:pPr>
            <w:r w:rsidRPr="00935D8E">
              <w:rPr>
                <w:rFonts w:eastAsia="Times New Roman"/>
                <w:lang w:val="en-GB" w:eastAsia="en-GB"/>
              </w:rPr>
              <w:t>Borehole and</w:t>
            </w:r>
            <w:r w:rsidR="00A15DBB" w:rsidRPr="00935D8E">
              <w:rPr>
                <w:rFonts w:eastAsia="Times New Roman"/>
                <w:lang w:val="en-GB" w:eastAsia="en-GB"/>
              </w:rPr>
              <w:t xml:space="preserve"> spring </w:t>
            </w:r>
          </w:p>
        </w:tc>
        <w:tc>
          <w:tcPr>
            <w:tcW w:w="2541" w:type="pct"/>
            <w:tcBorders>
              <w:top w:val="nil"/>
              <w:left w:val="nil"/>
              <w:bottom w:val="nil"/>
              <w:right w:val="nil"/>
            </w:tcBorders>
            <w:shd w:val="clear" w:color="auto" w:fill="auto"/>
          </w:tcPr>
          <w:p w:rsidR="00A15DBB" w:rsidRPr="00935D8E" w:rsidRDefault="00A15DBB" w:rsidP="00EC2A61">
            <w:pPr>
              <w:spacing w:before="0" w:after="0"/>
              <w:jc w:val="left"/>
              <w:rPr>
                <w:rFonts w:eastAsia="Times New Roman"/>
                <w:lang w:val="en-GB" w:eastAsia="en-GB"/>
              </w:rPr>
            </w:pPr>
            <w:r w:rsidRPr="00935D8E">
              <w:rPr>
                <w:rFonts w:eastAsia="Times New Roman"/>
                <w:lang w:val="en-GB" w:eastAsia="en-GB"/>
              </w:rPr>
              <w:t xml:space="preserve">MoWIE and </w:t>
            </w:r>
            <w:r w:rsidR="00422A37" w:rsidRPr="00422A37">
              <w:t>Bale zone water resources development and energy</w:t>
            </w:r>
          </w:p>
        </w:tc>
      </w:tr>
      <w:tr w:rsidR="00456014" w:rsidRPr="00935D8E" w:rsidTr="00A15DBB">
        <w:trPr>
          <w:trHeight w:val="74"/>
          <w:jc w:val="center"/>
        </w:trPr>
        <w:tc>
          <w:tcPr>
            <w:tcW w:w="524" w:type="pct"/>
            <w:tcBorders>
              <w:top w:val="nil"/>
              <w:left w:val="nil"/>
              <w:bottom w:val="single" w:sz="4" w:space="0" w:color="auto"/>
              <w:right w:val="nil"/>
            </w:tcBorders>
            <w:shd w:val="clear" w:color="auto" w:fill="auto"/>
          </w:tcPr>
          <w:p w:rsidR="00A15DBB" w:rsidRPr="00935D8E" w:rsidRDefault="00A15DBB" w:rsidP="00EC2A61">
            <w:pPr>
              <w:spacing w:before="0" w:after="0"/>
              <w:jc w:val="left"/>
              <w:rPr>
                <w:rFonts w:eastAsia="Times New Roman"/>
                <w:lang w:val="en-GB" w:eastAsia="en-GB"/>
              </w:rPr>
            </w:pPr>
            <w:r w:rsidRPr="00935D8E">
              <w:rPr>
                <w:rFonts w:eastAsia="Times New Roman"/>
                <w:lang w:val="en-GB" w:eastAsia="en-GB"/>
              </w:rPr>
              <w:t>7</w:t>
            </w:r>
          </w:p>
        </w:tc>
        <w:tc>
          <w:tcPr>
            <w:tcW w:w="1935" w:type="pct"/>
            <w:tcBorders>
              <w:top w:val="nil"/>
              <w:left w:val="nil"/>
              <w:bottom w:val="single" w:sz="4" w:space="0" w:color="auto"/>
              <w:right w:val="nil"/>
            </w:tcBorders>
            <w:shd w:val="clear" w:color="auto" w:fill="auto"/>
          </w:tcPr>
          <w:p w:rsidR="00A15DBB" w:rsidRPr="00935D8E" w:rsidRDefault="00A15DBB" w:rsidP="00EC2A61">
            <w:pPr>
              <w:spacing w:before="0" w:after="0"/>
              <w:jc w:val="left"/>
              <w:rPr>
                <w:rFonts w:eastAsia="Times New Roman"/>
                <w:lang w:val="en-GB" w:eastAsia="en-GB"/>
              </w:rPr>
            </w:pPr>
            <w:r w:rsidRPr="00935D8E">
              <w:rPr>
                <w:rFonts w:eastAsia="Times New Roman"/>
                <w:lang w:val="en-GB" w:eastAsia="en-GB"/>
              </w:rPr>
              <w:t>Topographic map (1:50,000)</w:t>
            </w:r>
          </w:p>
        </w:tc>
        <w:tc>
          <w:tcPr>
            <w:tcW w:w="2541" w:type="pct"/>
            <w:tcBorders>
              <w:top w:val="nil"/>
              <w:left w:val="nil"/>
              <w:bottom w:val="single" w:sz="4" w:space="0" w:color="auto"/>
              <w:right w:val="nil"/>
            </w:tcBorders>
            <w:shd w:val="clear" w:color="auto" w:fill="auto"/>
          </w:tcPr>
          <w:p w:rsidR="00A15DBB" w:rsidRPr="00935D8E" w:rsidRDefault="00A15DBB" w:rsidP="00EC2A61">
            <w:pPr>
              <w:spacing w:before="0" w:after="0"/>
              <w:jc w:val="left"/>
              <w:rPr>
                <w:rFonts w:eastAsia="Times New Roman"/>
                <w:lang w:val="en-GB" w:eastAsia="en-GB"/>
              </w:rPr>
            </w:pPr>
            <w:r w:rsidRPr="00935D8E">
              <w:t>Ethiopian map authority</w:t>
            </w:r>
          </w:p>
        </w:tc>
      </w:tr>
    </w:tbl>
    <w:p w:rsidR="00F301FB" w:rsidRPr="00935D8E" w:rsidRDefault="008060D5" w:rsidP="00EC2A61">
      <w:pPr>
        <w:pStyle w:val="Caption"/>
        <w:spacing w:before="120" w:after="120" w:line="360" w:lineRule="auto"/>
        <w:rPr>
          <w:i w:val="0"/>
          <w:color w:val="auto"/>
          <w:sz w:val="24"/>
          <w:szCs w:val="24"/>
        </w:rPr>
      </w:pPr>
      <w:bookmarkStart w:id="257" w:name="_Toc68761653"/>
      <w:r w:rsidRPr="00935D8E">
        <w:rPr>
          <w:i w:val="0"/>
          <w:color w:val="auto"/>
          <w:sz w:val="24"/>
        </w:rPr>
        <w:t xml:space="preserve">Appendix table </w:t>
      </w:r>
      <w:r w:rsidRPr="00935D8E">
        <w:rPr>
          <w:i w:val="0"/>
          <w:color w:val="auto"/>
          <w:sz w:val="24"/>
        </w:rPr>
        <w:fldChar w:fldCharType="begin"/>
      </w:r>
      <w:r w:rsidRPr="00935D8E">
        <w:rPr>
          <w:i w:val="0"/>
          <w:color w:val="auto"/>
          <w:sz w:val="24"/>
        </w:rPr>
        <w:instrText xml:space="preserve"> SEQ Appendix_table \* ARABIC </w:instrText>
      </w:r>
      <w:r w:rsidRPr="00935D8E">
        <w:rPr>
          <w:i w:val="0"/>
          <w:color w:val="auto"/>
          <w:sz w:val="24"/>
        </w:rPr>
        <w:fldChar w:fldCharType="separate"/>
      </w:r>
      <w:r w:rsidR="00BD510E">
        <w:rPr>
          <w:i w:val="0"/>
          <w:noProof/>
          <w:color w:val="auto"/>
          <w:sz w:val="24"/>
        </w:rPr>
        <w:t>4</w:t>
      </w:r>
      <w:r w:rsidRPr="00935D8E">
        <w:rPr>
          <w:i w:val="0"/>
          <w:color w:val="auto"/>
          <w:sz w:val="24"/>
        </w:rPr>
        <w:fldChar w:fldCharType="end"/>
      </w:r>
      <w:r w:rsidRPr="00935D8E">
        <w:rPr>
          <w:i w:val="0"/>
          <w:color w:val="auto"/>
          <w:sz w:val="24"/>
        </w:rPr>
        <w:t xml:space="preserve">: </w:t>
      </w:r>
      <w:r w:rsidR="00656DED">
        <w:rPr>
          <w:i w:val="0"/>
          <w:color w:val="auto"/>
          <w:sz w:val="24"/>
        </w:rPr>
        <w:t xml:space="preserve">The </w:t>
      </w:r>
      <w:r w:rsidR="00B33C07" w:rsidRPr="00935D8E">
        <w:rPr>
          <w:i w:val="0"/>
          <w:color w:val="auto"/>
          <w:sz w:val="24"/>
          <w:szCs w:val="24"/>
        </w:rPr>
        <w:t>a</w:t>
      </w:r>
      <w:r w:rsidR="00340DBD" w:rsidRPr="00935D8E">
        <w:rPr>
          <w:i w:val="0"/>
          <w:color w:val="auto"/>
          <w:sz w:val="24"/>
          <w:szCs w:val="24"/>
        </w:rPr>
        <w:t>verage</w:t>
      </w:r>
      <w:r w:rsidR="00B33C07" w:rsidRPr="00935D8E">
        <w:rPr>
          <w:i w:val="0"/>
          <w:color w:val="auto"/>
          <w:sz w:val="24"/>
          <w:szCs w:val="24"/>
        </w:rPr>
        <w:t xml:space="preserve"> </w:t>
      </w:r>
      <w:r w:rsidR="00656DED">
        <w:rPr>
          <w:i w:val="0"/>
          <w:color w:val="auto"/>
          <w:sz w:val="24"/>
          <w:szCs w:val="24"/>
        </w:rPr>
        <w:t>a</w:t>
      </w:r>
      <w:r w:rsidR="00656DED" w:rsidRPr="00935D8E">
        <w:rPr>
          <w:i w:val="0"/>
          <w:color w:val="auto"/>
          <w:sz w:val="24"/>
          <w:szCs w:val="24"/>
        </w:rPr>
        <w:t xml:space="preserve">nnual </w:t>
      </w:r>
      <w:r w:rsidR="00340DBD" w:rsidRPr="00935D8E">
        <w:rPr>
          <w:i w:val="0"/>
          <w:color w:val="auto"/>
          <w:sz w:val="24"/>
          <w:szCs w:val="24"/>
        </w:rPr>
        <w:t xml:space="preserve">rainfall </w:t>
      </w:r>
      <w:r w:rsidR="004D3C67" w:rsidRPr="00935D8E">
        <w:rPr>
          <w:i w:val="0"/>
          <w:color w:val="auto"/>
          <w:sz w:val="24"/>
          <w:szCs w:val="24"/>
        </w:rPr>
        <w:t xml:space="preserve">of </w:t>
      </w:r>
      <w:r w:rsidR="00B33C07" w:rsidRPr="00935D8E">
        <w:rPr>
          <w:i w:val="0"/>
          <w:color w:val="auto"/>
          <w:sz w:val="24"/>
          <w:szCs w:val="24"/>
        </w:rPr>
        <w:t>study area</w:t>
      </w:r>
      <w:bookmarkEnd w:id="257"/>
    </w:p>
    <w:tbl>
      <w:tblPr>
        <w:tblStyle w:val="TableGrid"/>
        <w:tblW w:w="5000" w:type="pct"/>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1884"/>
        <w:gridCol w:w="670"/>
        <w:gridCol w:w="824"/>
        <w:gridCol w:w="754"/>
        <w:gridCol w:w="1408"/>
        <w:gridCol w:w="1732"/>
        <w:gridCol w:w="887"/>
        <w:gridCol w:w="841"/>
      </w:tblGrid>
      <w:tr w:rsidR="004830E6" w:rsidRPr="00935D8E" w:rsidTr="007005D2">
        <w:trPr>
          <w:trHeight w:val="295"/>
        </w:trPr>
        <w:tc>
          <w:tcPr>
            <w:tcW w:w="1047" w:type="pct"/>
            <w:tcBorders>
              <w:top w:val="single" w:sz="4" w:space="0" w:color="auto"/>
              <w:bottom w:val="single" w:sz="4" w:space="0" w:color="auto"/>
            </w:tcBorders>
            <w:noWrap/>
            <w:hideMark/>
          </w:tcPr>
          <w:p w:rsidR="0000731E" w:rsidRPr="00935D8E" w:rsidRDefault="0000731E" w:rsidP="00EC2A61">
            <w:pPr>
              <w:spacing w:before="0" w:after="0"/>
            </w:pPr>
            <w:r w:rsidRPr="00935D8E">
              <w:t>Stations</w:t>
            </w:r>
          </w:p>
        </w:tc>
        <w:tc>
          <w:tcPr>
            <w:tcW w:w="372" w:type="pct"/>
            <w:tcBorders>
              <w:top w:val="single" w:sz="4" w:space="0" w:color="auto"/>
              <w:bottom w:val="single" w:sz="4" w:space="0" w:color="auto"/>
            </w:tcBorders>
            <w:noWrap/>
            <w:hideMark/>
          </w:tcPr>
          <w:p w:rsidR="0000731E" w:rsidRPr="00935D8E" w:rsidRDefault="0000731E" w:rsidP="00EC2A61">
            <w:pPr>
              <w:spacing w:before="0" w:after="0"/>
            </w:pPr>
            <w:r w:rsidRPr="00935D8E">
              <w:t>Lat.</w:t>
            </w:r>
          </w:p>
        </w:tc>
        <w:tc>
          <w:tcPr>
            <w:tcW w:w="458" w:type="pct"/>
            <w:tcBorders>
              <w:top w:val="single" w:sz="4" w:space="0" w:color="auto"/>
              <w:bottom w:val="single" w:sz="4" w:space="0" w:color="auto"/>
            </w:tcBorders>
            <w:noWrap/>
            <w:hideMark/>
          </w:tcPr>
          <w:p w:rsidR="0000731E" w:rsidRPr="00935D8E" w:rsidRDefault="0000731E" w:rsidP="00EC2A61">
            <w:pPr>
              <w:spacing w:before="0" w:after="0"/>
            </w:pPr>
            <w:r w:rsidRPr="00935D8E">
              <w:t>Long.</w:t>
            </w:r>
          </w:p>
        </w:tc>
        <w:tc>
          <w:tcPr>
            <w:tcW w:w="419" w:type="pct"/>
            <w:tcBorders>
              <w:top w:val="single" w:sz="4" w:space="0" w:color="auto"/>
              <w:bottom w:val="single" w:sz="4" w:space="0" w:color="auto"/>
            </w:tcBorders>
            <w:noWrap/>
            <w:hideMark/>
          </w:tcPr>
          <w:p w:rsidR="0000731E" w:rsidRPr="00935D8E" w:rsidRDefault="0000731E" w:rsidP="00EC2A61">
            <w:pPr>
              <w:spacing w:before="0" w:after="0"/>
            </w:pPr>
            <w:r w:rsidRPr="00935D8E">
              <w:t>Elev.</w:t>
            </w:r>
          </w:p>
        </w:tc>
        <w:tc>
          <w:tcPr>
            <w:tcW w:w="782" w:type="pct"/>
            <w:tcBorders>
              <w:top w:val="single" w:sz="4" w:space="0" w:color="auto"/>
              <w:bottom w:val="single" w:sz="4" w:space="0" w:color="auto"/>
            </w:tcBorders>
            <w:noWrap/>
            <w:hideMark/>
          </w:tcPr>
          <w:p w:rsidR="0000731E" w:rsidRPr="00935D8E" w:rsidRDefault="0000731E" w:rsidP="00EC2A61">
            <w:pPr>
              <w:spacing w:before="0" w:after="0"/>
            </w:pPr>
            <w:r w:rsidRPr="00935D8E">
              <w:rPr>
                <w:bCs/>
              </w:rPr>
              <w:t>Pi (mm/yr.)</w:t>
            </w:r>
          </w:p>
        </w:tc>
        <w:tc>
          <w:tcPr>
            <w:tcW w:w="962" w:type="pct"/>
            <w:tcBorders>
              <w:top w:val="single" w:sz="4" w:space="0" w:color="auto"/>
              <w:bottom w:val="single" w:sz="4" w:space="0" w:color="auto"/>
            </w:tcBorders>
            <w:noWrap/>
            <w:hideMark/>
          </w:tcPr>
          <w:p w:rsidR="0000731E" w:rsidRPr="00935D8E" w:rsidRDefault="005C4B5E" w:rsidP="00EC2A61">
            <w:pPr>
              <w:spacing w:before="0" w:after="0"/>
            </w:pPr>
            <w:r w:rsidRPr="00935D8E">
              <w:rPr>
                <w:bCs/>
              </w:rPr>
              <w:t>Area_</w:t>
            </w:r>
            <w:r w:rsidR="00BA7674" w:rsidRPr="00935D8E">
              <w:rPr>
                <w:bCs/>
              </w:rPr>
              <w:t>k</w:t>
            </w:r>
            <w:r w:rsidR="0000731E" w:rsidRPr="00935D8E">
              <w:rPr>
                <w:bCs/>
              </w:rPr>
              <w:t>m</w:t>
            </w:r>
            <w:r w:rsidR="0000731E" w:rsidRPr="00935D8E">
              <w:rPr>
                <w:bCs/>
                <w:vertAlign w:val="superscript"/>
              </w:rPr>
              <w:t>2</w:t>
            </w:r>
            <w:r w:rsidRPr="00935D8E">
              <w:rPr>
                <w:bCs/>
              </w:rPr>
              <w:t>(Ai)</w:t>
            </w:r>
          </w:p>
        </w:tc>
        <w:tc>
          <w:tcPr>
            <w:tcW w:w="493" w:type="pct"/>
            <w:tcBorders>
              <w:top w:val="single" w:sz="4" w:space="0" w:color="auto"/>
              <w:bottom w:val="single" w:sz="4" w:space="0" w:color="auto"/>
            </w:tcBorders>
            <w:noWrap/>
            <w:hideMark/>
          </w:tcPr>
          <w:p w:rsidR="0000731E" w:rsidRPr="00935D8E" w:rsidRDefault="0000731E" w:rsidP="00EC2A61">
            <w:pPr>
              <w:spacing w:before="0" w:after="0"/>
            </w:pPr>
            <w:r w:rsidRPr="00935D8E">
              <w:t>WF</w:t>
            </w:r>
          </w:p>
        </w:tc>
        <w:tc>
          <w:tcPr>
            <w:tcW w:w="467" w:type="pct"/>
            <w:tcBorders>
              <w:top w:val="single" w:sz="4" w:space="0" w:color="auto"/>
              <w:bottom w:val="single" w:sz="4" w:space="0" w:color="auto"/>
            </w:tcBorders>
            <w:noWrap/>
            <w:hideMark/>
          </w:tcPr>
          <w:p w:rsidR="0000731E" w:rsidRPr="00935D8E" w:rsidRDefault="00B24F7C" w:rsidP="00EC2A61">
            <w:pPr>
              <w:spacing w:before="0" w:after="0"/>
            </w:pPr>
            <m:oMathPara>
              <m:oMath>
                <m:bar>
                  <m:barPr>
                    <m:pos m:val="top"/>
                    <m:ctrlPr>
                      <w:rPr>
                        <w:rFonts w:ascii="Cambria Math" w:hAnsi="Cambria Math"/>
                        <w:caps/>
                      </w:rPr>
                    </m:ctrlPr>
                  </m:barPr>
                  <m:e>
                    <m:r>
                      <m:rPr>
                        <m:sty m:val="p"/>
                      </m:rPr>
                      <w:rPr>
                        <w:rFonts w:ascii="Cambria Math" w:hAnsi="Cambria Math"/>
                        <w:caps/>
                      </w:rPr>
                      <m:t>P</m:t>
                    </m:r>
                  </m:e>
                </m:bar>
              </m:oMath>
            </m:oMathPara>
          </w:p>
        </w:tc>
      </w:tr>
      <w:tr w:rsidR="004830E6" w:rsidRPr="00935D8E" w:rsidTr="007005D2">
        <w:trPr>
          <w:trHeight w:val="295"/>
        </w:trPr>
        <w:tc>
          <w:tcPr>
            <w:tcW w:w="1047" w:type="pct"/>
            <w:tcBorders>
              <w:top w:val="single" w:sz="4" w:space="0" w:color="auto"/>
            </w:tcBorders>
            <w:noWrap/>
            <w:hideMark/>
          </w:tcPr>
          <w:p w:rsidR="0000731E" w:rsidRPr="00935D8E" w:rsidRDefault="0000731E" w:rsidP="00EC2A61">
            <w:pPr>
              <w:spacing w:before="0" w:after="0"/>
            </w:pPr>
            <w:r w:rsidRPr="00935D8E">
              <w:t>Agarfa</w:t>
            </w:r>
          </w:p>
        </w:tc>
        <w:tc>
          <w:tcPr>
            <w:tcW w:w="372" w:type="pct"/>
            <w:tcBorders>
              <w:top w:val="single" w:sz="4" w:space="0" w:color="auto"/>
            </w:tcBorders>
            <w:noWrap/>
            <w:hideMark/>
          </w:tcPr>
          <w:p w:rsidR="0000731E" w:rsidRPr="00935D8E" w:rsidRDefault="0000731E" w:rsidP="00EC2A61">
            <w:pPr>
              <w:spacing w:before="0" w:after="0"/>
            </w:pPr>
            <w:r w:rsidRPr="00935D8E">
              <w:rPr>
                <w:bCs/>
              </w:rPr>
              <w:t>7.06</w:t>
            </w:r>
          </w:p>
        </w:tc>
        <w:tc>
          <w:tcPr>
            <w:tcW w:w="458" w:type="pct"/>
            <w:tcBorders>
              <w:top w:val="single" w:sz="4" w:space="0" w:color="auto"/>
            </w:tcBorders>
            <w:noWrap/>
            <w:hideMark/>
          </w:tcPr>
          <w:p w:rsidR="0000731E" w:rsidRPr="00935D8E" w:rsidRDefault="0000731E" w:rsidP="00EC2A61">
            <w:pPr>
              <w:spacing w:before="0" w:after="0"/>
            </w:pPr>
            <w:r w:rsidRPr="00935D8E">
              <w:rPr>
                <w:bCs/>
              </w:rPr>
              <w:t>40.21</w:t>
            </w:r>
          </w:p>
        </w:tc>
        <w:tc>
          <w:tcPr>
            <w:tcW w:w="419" w:type="pct"/>
            <w:tcBorders>
              <w:top w:val="single" w:sz="4" w:space="0" w:color="auto"/>
            </w:tcBorders>
            <w:noWrap/>
            <w:hideMark/>
          </w:tcPr>
          <w:p w:rsidR="0000731E" w:rsidRPr="00935D8E" w:rsidRDefault="0000731E" w:rsidP="00EC2A61">
            <w:pPr>
              <w:spacing w:before="0" w:after="0"/>
            </w:pPr>
            <w:r w:rsidRPr="00935D8E">
              <w:rPr>
                <w:bCs/>
              </w:rPr>
              <w:t>2400</w:t>
            </w:r>
          </w:p>
        </w:tc>
        <w:tc>
          <w:tcPr>
            <w:tcW w:w="782" w:type="pct"/>
            <w:tcBorders>
              <w:top w:val="single" w:sz="4" w:space="0" w:color="auto"/>
            </w:tcBorders>
            <w:noWrap/>
            <w:hideMark/>
          </w:tcPr>
          <w:p w:rsidR="0000731E" w:rsidRPr="00935D8E" w:rsidRDefault="0000731E" w:rsidP="00EC2A61">
            <w:pPr>
              <w:spacing w:before="0" w:after="0"/>
            </w:pPr>
            <w:r w:rsidRPr="00935D8E">
              <w:t>1004</w:t>
            </w:r>
          </w:p>
        </w:tc>
        <w:tc>
          <w:tcPr>
            <w:tcW w:w="962" w:type="pct"/>
            <w:tcBorders>
              <w:top w:val="single" w:sz="4" w:space="0" w:color="auto"/>
            </w:tcBorders>
            <w:noWrap/>
            <w:hideMark/>
          </w:tcPr>
          <w:p w:rsidR="0000731E" w:rsidRPr="00935D8E" w:rsidRDefault="0000731E" w:rsidP="00EC2A61">
            <w:pPr>
              <w:spacing w:before="0" w:after="0"/>
            </w:pPr>
            <w:r w:rsidRPr="00935D8E">
              <w:t>362.1404</w:t>
            </w:r>
          </w:p>
        </w:tc>
        <w:tc>
          <w:tcPr>
            <w:tcW w:w="493" w:type="pct"/>
            <w:tcBorders>
              <w:top w:val="single" w:sz="4" w:space="0" w:color="auto"/>
            </w:tcBorders>
            <w:noWrap/>
            <w:hideMark/>
          </w:tcPr>
          <w:p w:rsidR="0000731E" w:rsidRPr="00935D8E" w:rsidRDefault="004830E6" w:rsidP="00EC2A61">
            <w:pPr>
              <w:spacing w:before="0" w:after="0"/>
            </w:pPr>
            <w:r w:rsidRPr="00935D8E">
              <w:t>0.082</w:t>
            </w:r>
          </w:p>
        </w:tc>
        <w:tc>
          <w:tcPr>
            <w:tcW w:w="467" w:type="pct"/>
            <w:tcBorders>
              <w:top w:val="single" w:sz="4" w:space="0" w:color="auto"/>
            </w:tcBorders>
            <w:noWrap/>
            <w:hideMark/>
          </w:tcPr>
          <w:p w:rsidR="0000731E" w:rsidRPr="00935D8E" w:rsidRDefault="0000731E" w:rsidP="00EC2A61">
            <w:pPr>
              <w:spacing w:before="0" w:after="0"/>
            </w:pPr>
            <w:r w:rsidRPr="00935D8E">
              <w:t>82.4</w:t>
            </w:r>
          </w:p>
        </w:tc>
      </w:tr>
      <w:tr w:rsidR="004830E6" w:rsidRPr="00935D8E" w:rsidTr="007005D2">
        <w:trPr>
          <w:trHeight w:val="295"/>
        </w:trPr>
        <w:tc>
          <w:tcPr>
            <w:tcW w:w="1047" w:type="pct"/>
            <w:noWrap/>
            <w:hideMark/>
          </w:tcPr>
          <w:p w:rsidR="0000731E" w:rsidRPr="00935D8E" w:rsidRDefault="0000731E" w:rsidP="00EC2A61">
            <w:pPr>
              <w:spacing w:before="0" w:after="0"/>
            </w:pPr>
            <w:r w:rsidRPr="00935D8E">
              <w:t>Dinsho</w:t>
            </w:r>
          </w:p>
        </w:tc>
        <w:tc>
          <w:tcPr>
            <w:tcW w:w="372" w:type="pct"/>
            <w:noWrap/>
            <w:hideMark/>
          </w:tcPr>
          <w:p w:rsidR="0000731E" w:rsidRPr="00935D8E" w:rsidRDefault="0000731E" w:rsidP="00EC2A61">
            <w:pPr>
              <w:spacing w:before="0" w:after="0"/>
            </w:pPr>
            <w:r w:rsidRPr="00935D8E">
              <w:rPr>
                <w:bCs/>
              </w:rPr>
              <w:t>7.13</w:t>
            </w:r>
          </w:p>
        </w:tc>
        <w:tc>
          <w:tcPr>
            <w:tcW w:w="458" w:type="pct"/>
            <w:noWrap/>
            <w:hideMark/>
          </w:tcPr>
          <w:p w:rsidR="0000731E" w:rsidRPr="00935D8E" w:rsidRDefault="0000731E" w:rsidP="00EC2A61">
            <w:pPr>
              <w:spacing w:before="0" w:after="0"/>
            </w:pPr>
            <w:r w:rsidRPr="00935D8E">
              <w:rPr>
                <w:bCs/>
              </w:rPr>
              <w:t>40.05</w:t>
            </w:r>
          </w:p>
        </w:tc>
        <w:tc>
          <w:tcPr>
            <w:tcW w:w="419" w:type="pct"/>
            <w:noWrap/>
            <w:hideMark/>
          </w:tcPr>
          <w:p w:rsidR="0000731E" w:rsidRPr="00935D8E" w:rsidRDefault="0000731E" w:rsidP="00EC2A61">
            <w:pPr>
              <w:spacing w:before="0" w:after="0"/>
            </w:pPr>
            <w:r w:rsidRPr="00935D8E">
              <w:t>3072</w:t>
            </w:r>
          </w:p>
        </w:tc>
        <w:tc>
          <w:tcPr>
            <w:tcW w:w="782" w:type="pct"/>
            <w:noWrap/>
            <w:hideMark/>
          </w:tcPr>
          <w:p w:rsidR="0000731E" w:rsidRPr="00935D8E" w:rsidRDefault="0000731E" w:rsidP="00EC2A61">
            <w:pPr>
              <w:spacing w:before="0" w:after="0"/>
            </w:pPr>
            <w:r w:rsidRPr="00935D8E">
              <w:t>1352</w:t>
            </w:r>
          </w:p>
        </w:tc>
        <w:tc>
          <w:tcPr>
            <w:tcW w:w="962" w:type="pct"/>
            <w:noWrap/>
            <w:hideMark/>
          </w:tcPr>
          <w:p w:rsidR="0000731E" w:rsidRPr="00935D8E" w:rsidRDefault="0000731E" w:rsidP="00EC2A61">
            <w:pPr>
              <w:spacing w:before="0" w:after="0"/>
            </w:pPr>
            <w:r w:rsidRPr="00935D8E">
              <w:t>568.4828</w:t>
            </w:r>
          </w:p>
        </w:tc>
        <w:tc>
          <w:tcPr>
            <w:tcW w:w="493" w:type="pct"/>
            <w:noWrap/>
            <w:hideMark/>
          </w:tcPr>
          <w:p w:rsidR="0000731E" w:rsidRPr="00935D8E" w:rsidRDefault="0000731E" w:rsidP="00EC2A61">
            <w:pPr>
              <w:spacing w:before="0" w:after="0"/>
            </w:pPr>
            <w:r w:rsidRPr="00935D8E">
              <w:t>0.128</w:t>
            </w:r>
          </w:p>
        </w:tc>
        <w:tc>
          <w:tcPr>
            <w:tcW w:w="467" w:type="pct"/>
            <w:noWrap/>
            <w:hideMark/>
          </w:tcPr>
          <w:p w:rsidR="0000731E" w:rsidRPr="00935D8E" w:rsidRDefault="0000731E" w:rsidP="00EC2A61">
            <w:pPr>
              <w:spacing w:before="0" w:after="0"/>
            </w:pPr>
            <w:r w:rsidRPr="00935D8E">
              <w:t>174.2</w:t>
            </w:r>
          </w:p>
        </w:tc>
      </w:tr>
      <w:tr w:rsidR="004830E6" w:rsidRPr="00935D8E" w:rsidTr="007005D2">
        <w:trPr>
          <w:trHeight w:val="295"/>
        </w:trPr>
        <w:tc>
          <w:tcPr>
            <w:tcW w:w="1047" w:type="pct"/>
            <w:noWrap/>
            <w:hideMark/>
          </w:tcPr>
          <w:p w:rsidR="0000731E" w:rsidRPr="00935D8E" w:rsidRDefault="0000731E" w:rsidP="00EC2A61">
            <w:pPr>
              <w:spacing w:before="0" w:after="0"/>
            </w:pPr>
            <w:r w:rsidRPr="00935D8E">
              <w:t>Ginir</w:t>
            </w:r>
          </w:p>
        </w:tc>
        <w:tc>
          <w:tcPr>
            <w:tcW w:w="372" w:type="pct"/>
            <w:noWrap/>
            <w:hideMark/>
          </w:tcPr>
          <w:p w:rsidR="0000731E" w:rsidRPr="00935D8E" w:rsidRDefault="0000731E" w:rsidP="00EC2A61">
            <w:pPr>
              <w:spacing w:before="0" w:after="0"/>
            </w:pPr>
            <w:r w:rsidRPr="00935D8E">
              <w:rPr>
                <w:bCs/>
              </w:rPr>
              <w:t>7.10</w:t>
            </w:r>
          </w:p>
        </w:tc>
        <w:tc>
          <w:tcPr>
            <w:tcW w:w="458" w:type="pct"/>
            <w:noWrap/>
            <w:hideMark/>
          </w:tcPr>
          <w:p w:rsidR="0000731E" w:rsidRPr="00935D8E" w:rsidRDefault="0000731E" w:rsidP="00EC2A61">
            <w:pPr>
              <w:spacing w:before="0" w:after="0"/>
            </w:pPr>
            <w:r w:rsidRPr="00935D8E">
              <w:rPr>
                <w:bCs/>
              </w:rPr>
              <w:t>39.76</w:t>
            </w:r>
          </w:p>
        </w:tc>
        <w:tc>
          <w:tcPr>
            <w:tcW w:w="419" w:type="pct"/>
            <w:noWrap/>
            <w:hideMark/>
          </w:tcPr>
          <w:p w:rsidR="0000731E" w:rsidRPr="00935D8E" w:rsidRDefault="0000731E" w:rsidP="00EC2A61">
            <w:pPr>
              <w:spacing w:before="0" w:after="0"/>
            </w:pPr>
            <w:r w:rsidRPr="00935D8E">
              <w:t>1750</w:t>
            </w:r>
          </w:p>
        </w:tc>
        <w:tc>
          <w:tcPr>
            <w:tcW w:w="782" w:type="pct"/>
            <w:noWrap/>
            <w:hideMark/>
          </w:tcPr>
          <w:p w:rsidR="0000731E" w:rsidRPr="00935D8E" w:rsidRDefault="0000731E" w:rsidP="00EC2A61">
            <w:pPr>
              <w:spacing w:before="0" w:after="0"/>
            </w:pPr>
            <w:r w:rsidRPr="00935D8E">
              <w:t>1050</w:t>
            </w:r>
          </w:p>
        </w:tc>
        <w:tc>
          <w:tcPr>
            <w:tcW w:w="962" w:type="pct"/>
            <w:noWrap/>
            <w:hideMark/>
          </w:tcPr>
          <w:p w:rsidR="0000731E" w:rsidRPr="00935D8E" w:rsidRDefault="0000731E" w:rsidP="00EC2A61">
            <w:pPr>
              <w:spacing w:before="0" w:after="0"/>
            </w:pPr>
            <w:r w:rsidRPr="00935D8E">
              <w:t>160.8711</w:t>
            </w:r>
          </w:p>
        </w:tc>
        <w:tc>
          <w:tcPr>
            <w:tcW w:w="493" w:type="pct"/>
            <w:noWrap/>
            <w:hideMark/>
          </w:tcPr>
          <w:p w:rsidR="0000731E" w:rsidRPr="00935D8E" w:rsidRDefault="0000731E" w:rsidP="00EC2A61">
            <w:pPr>
              <w:spacing w:before="0" w:after="0"/>
            </w:pPr>
            <w:r w:rsidRPr="00935D8E">
              <w:t>0.036</w:t>
            </w:r>
          </w:p>
        </w:tc>
        <w:tc>
          <w:tcPr>
            <w:tcW w:w="467" w:type="pct"/>
            <w:noWrap/>
            <w:hideMark/>
          </w:tcPr>
          <w:p w:rsidR="0000731E" w:rsidRPr="00935D8E" w:rsidRDefault="0000731E" w:rsidP="00EC2A61">
            <w:pPr>
              <w:spacing w:before="0" w:after="0"/>
            </w:pPr>
            <w:r w:rsidRPr="00935D8E">
              <w:t>38.3</w:t>
            </w:r>
          </w:p>
        </w:tc>
      </w:tr>
      <w:tr w:rsidR="004830E6" w:rsidRPr="00935D8E" w:rsidTr="007005D2">
        <w:trPr>
          <w:trHeight w:val="295"/>
        </w:trPr>
        <w:tc>
          <w:tcPr>
            <w:tcW w:w="1047" w:type="pct"/>
            <w:noWrap/>
            <w:hideMark/>
          </w:tcPr>
          <w:p w:rsidR="0000731E" w:rsidRPr="00935D8E" w:rsidRDefault="0000731E" w:rsidP="00EC2A61">
            <w:pPr>
              <w:spacing w:before="0" w:after="0"/>
            </w:pPr>
            <w:r w:rsidRPr="00935D8E">
              <w:t>Robe</w:t>
            </w:r>
          </w:p>
        </w:tc>
        <w:tc>
          <w:tcPr>
            <w:tcW w:w="372" w:type="pct"/>
            <w:noWrap/>
            <w:hideMark/>
          </w:tcPr>
          <w:p w:rsidR="0000731E" w:rsidRPr="00935D8E" w:rsidRDefault="0000731E" w:rsidP="00EC2A61">
            <w:pPr>
              <w:spacing w:before="0" w:after="0"/>
            </w:pPr>
            <w:r w:rsidRPr="00935D8E">
              <w:rPr>
                <w:bCs/>
              </w:rPr>
              <w:t>7.13</w:t>
            </w:r>
          </w:p>
        </w:tc>
        <w:tc>
          <w:tcPr>
            <w:tcW w:w="458" w:type="pct"/>
            <w:noWrap/>
            <w:hideMark/>
          </w:tcPr>
          <w:p w:rsidR="0000731E" w:rsidRPr="00935D8E" w:rsidRDefault="0000731E" w:rsidP="00EC2A61">
            <w:pPr>
              <w:spacing w:before="0" w:after="0"/>
            </w:pPr>
            <w:r w:rsidRPr="00935D8E">
              <w:rPr>
                <w:bCs/>
              </w:rPr>
              <w:t>40.70</w:t>
            </w:r>
          </w:p>
        </w:tc>
        <w:tc>
          <w:tcPr>
            <w:tcW w:w="419" w:type="pct"/>
            <w:noWrap/>
            <w:hideMark/>
          </w:tcPr>
          <w:p w:rsidR="0000731E" w:rsidRPr="00935D8E" w:rsidRDefault="0000731E" w:rsidP="00EC2A61">
            <w:pPr>
              <w:spacing w:before="0" w:after="0"/>
            </w:pPr>
            <w:r w:rsidRPr="00935D8E">
              <w:rPr>
                <w:bCs/>
              </w:rPr>
              <w:t>1750</w:t>
            </w:r>
          </w:p>
        </w:tc>
        <w:tc>
          <w:tcPr>
            <w:tcW w:w="782" w:type="pct"/>
            <w:noWrap/>
            <w:hideMark/>
          </w:tcPr>
          <w:p w:rsidR="0000731E" w:rsidRPr="00935D8E" w:rsidRDefault="0000731E" w:rsidP="00EC2A61">
            <w:pPr>
              <w:spacing w:before="0" w:after="0"/>
            </w:pPr>
            <w:r w:rsidRPr="00935D8E">
              <w:t>840</w:t>
            </w:r>
          </w:p>
        </w:tc>
        <w:tc>
          <w:tcPr>
            <w:tcW w:w="962" w:type="pct"/>
            <w:noWrap/>
            <w:hideMark/>
          </w:tcPr>
          <w:p w:rsidR="0000731E" w:rsidRPr="00935D8E" w:rsidRDefault="0000731E" w:rsidP="00EC2A61">
            <w:pPr>
              <w:spacing w:before="0" w:after="0"/>
            </w:pPr>
            <w:r w:rsidRPr="00935D8E">
              <w:t>328.101</w:t>
            </w:r>
          </w:p>
        </w:tc>
        <w:tc>
          <w:tcPr>
            <w:tcW w:w="493" w:type="pct"/>
            <w:noWrap/>
            <w:hideMark/>
          </w:tcPr>
          <w:p w:rsidR="0000731E" w:rsidRPr="00935D8E" w:rsidRDefault="0000731E" w:rsidP="00EC2A61">
            <w:pPr>
              <w:spacing w:before="0" w:after="0"/>
            </w:pPr>
            <w:r w:rsidRPr="00935D8E">
              <w:t>0.074</w:t>
            </w:r>
          </w:p>
        </w:tc>
        <w:tc>
          <w:tcPr>
            <w:tcW w:w="467" w:type="pct"/>
            <w:noWrap/>
            <w:hideMark/>
          </w:tcPr>
          <w:p w:rsidR="0000731E" w:rsidRPr="00935D8E" w:rsidRDefault="0000731E" w:rsidP="00EC2A61">
            <w:pPr>
              <w:spacing w:before="0" w:after="0"/>
            </w:pPr>
            <w:r w:rsidRPr="00935D8E">
              <w:t>62.5</w:t>
            </w:r>
          </w:p>
        </w:tc>
      </w:tr>
      <w:tr w:rsidR="004830E6" w:rsidRPr="00935D8E" w:rsidTr="007005D2">
        <w:trPr>
          <w:trHeight w:val="295"/>
        </w:trPr>
        <w:tc>
          <w:tcPr>
            <w:tcW w:w="1047" w:type="pct"/>
            <w:noWrap/>
            <w:hideMark/>
          </w:tcPr>
          <w:p w:rsidR="0000731E" w:rsidRPr="00935D8E" w:rsidRDefault="0000731E" w:rsidP="00EC2A61">
            <w:pPr>
              <w:spacing w:before="0" w:after="0"/>
            </w:pPr>
            <w:r w:rsidRPr="00935D8E">
              <w:t>Sinana</w:t>
            </w:r>
          </w:p>
        </w:tc>
        <w:tc>
          <w:tcPr>
            <w:tcW w:w="372" w:type="pct"/>
            <w:noWrap/>
            <w:hideMark/>
          </w:tcPr>
          <w:p w:rsidR="0000731E" w:rsidRPr="00935D8E" w:rsidRDefault="0000731E" w:rsidP="00EC2A61">
            <w:pPr>
              <w:spacing w:before="0" w:after="0"/>
            </w:pPr>
            <w:r w:rsidRPr="00935D8E">
              <w:rPr>
                <w:bCs/>
              </w:rPr>
              <w:t>7.26</w:t>
            </w:r>
          </w:p>
        </w:tc>
        <w:tc>
          <w:tcPr>
            <w:tcW w:w="458" w:type="pct"/>
            <w:noWrap/>
            <w:hideMark/>
          </w:tcPr>
          <w:p w:rsidR="0000731E" w:rsidRPr="00935D8E" w:rsidRDefault="0000731E" w:rsidP="00EC2A61">
            <w:pPr>
              <w:spacing w:before="0" w:after="0"/>
            </w:pPr>
            <w:r w:rsidRPr="00935D8E">
              <w:rPr>
                <w:bCs/>
              </w:rPr>
              <w:t>39.81</w:t>
            </w:r>
          </w:p>
        </w:tc>
        <w:tc>
          <w:tcPr>
            <w:tcW w:w="419" w:type="pct"/>
            <w:noWrap/>
            <w:hideMark/>
          </w:tcPr>
          <w:p w:rsidR="0000731E" w:rsidRPr="00935D8E" w:rsidRDefault="0000731E" w:rsidP="00EC2A61">
            <w:pPr>
              <w:spacing w:before="0" w:after="0"/>
            </w:pPr>
            <w:r w:rsidRPr="00935D8E">
              <w:rPr>
                <w:bCs/>
              </w:rPr>
              <w:t>2550</w:t>
            </w:r>
          </w:p>
        </w:tc>
        <w:tc>
          <w:tcPr>
            <w:tcW w:w="782" w:type="pct"/>
            <w:noWrap/>
            <w:hideMark/>
          </w:tcPr>
          <w:p w:rsidR="0000731E" w:rsidRPr="00935D8E" w:rsidRDefault="0000731E" w:rsidP="00EC2A61">
            <w:pPr>
              <w:spacing w:before="0" w:after="0"/>
            </w:pPr>
            <w:r w:rsidRPr="00935D8E">
              <w:t>889</w:t>
            </w:r>
          </w:p>
        </w:tc>
        <w:tc>
          <w:tcPr>
            <w:tcW w:w="962" w:type="pct"/>
            <w:noWrap/>
            <w:hideMark/>
          </w:tcPr>
          <w:p w:rsidR="0000731E" w:rsidRPr="00935D8E" w:rsidRDefault="0000731E" w:rsidP="00EC2A61">
            <w:pPr>
              <w:spacing w:before="0" w:after="0"/>
            </w:pPr>
            <w:r w:rsidRPr="00935D8E">
              <w:t>500.3906</w:t>
            </w:r>
          </w:p>
        </w:tc>
        <w:tc>
          <w:tcPr>
            <w:tcW w:w="493" w:type="pct"/>
            <w:noWrap/>
            <w:hideMark/>
          </w:tcPr>
          <w:p w:rsidR="0000731E" w:rsidRPr="00935D8E" w:rsidRDefault="0000731E" w:rsidP="00EC2A61">
            <w:pPr>
              <w:spacing w:before="0" w:after="0"/>
            </w:pPr>
            <w:r w:rsidRPr="00935D8E">
              <w:t>0.113</w:t>
            </w:r>
          </w:p>
        </w:tc>
        <w:tc>
          <w:tcPr>
            <w:tcW w:w="467" w:type="pct"/>
            <w:noWrap/>
            <w:hideMark/>
          </w:tcPr>
          <w:p w:rsidR="0000731E" w:rsidRPr="00935D8E" w:rsidRDefault="0000731E" w:rsidP="00EC2A61">
            <w:pPr>
              <w:spacing w:before="0" w:after="0"/>
            </w:pPr>
            <w:r w:rsidRPr="00935D8E">
              <w:t>100.8</w:t>
            </w:r>
          </w:p>
        </w:tc>
      </w:tr>
      <w:tr w:rsidR="004830E6" w:rsidRPr="00935D8E" w:rsidTr="007005D2">
        <w:trPr>
          <w:trHeight w:val="295"/>
        </w:trPr>
        <w:tc>
          <w:tcPr>
            <w:tcW w:w="1047" w:type="pct"/>
            <w:noWrap/>
            <w:hideMark/>
          </w:tcPr>
          <w:p w:rsidR="0000731E" w:rsidRPr="00935D8E" w:rsidRDefault="0000731E" w:rsidP="00EC2A61">
            <w:pPr>
              <w:spacing w:before="0" w:after="0"/>
            </w:pPr>
            <w:r w:rsidRPr="00935D8E">
              <w:t>Dinkiti</w:t>
            </w:r>
          </w:p>
        </w:tc>
        <w:tc>
          <w:tcPr>
            <w:tcW w:w="372" w:type="pct"/>
            <w:noWrap/>
            <w:hideMark/>
          </w:tcPr>
          <w:p w:rsidR="0000731E" w:rsidRPr="00935D8E" w:rsidRDefault="0000731E" w:rsidP="00EC2A61">
            <w:pPr>
              <w:spacing w:before="0" w:after="0"/>
            </w:pPr>
            <w:r w:rsidRPr="00935D8E">
              <w:t>7.32</w:t>
            </w:r>
          </w:p>
        </w:tc>
        <w:tc>
          <w:tcPr>
            <w:tcW w:w="458" w:type="pct"/>
            <w:noWrap/>
            <w:hideMark/>
          </w:tcPr>
          <w:p w:rsidR="0000731E" w:rsidRPr="00935D8E" w:rsidRDefault="0000731E" w:rsidP="00EC2A61">
            <w:pPr>
              <w:spacing w:before="0" w:after="0"/>
            </w:pPr>
            <w:r w:rsidRPr="00935D8E">
              <w:t>40.05</w:t>
            </w:r>
          </w:p>
        </w:tc>
        <w:tc>
          <w:tcPr>
            <w:tcW w:w="419" w:type="pct"/>
            <w:noWrap/>
            <w:hideMark/>
          </w:tcPr>
          <w:p w:rsidR="0000731E" w:rsidRPr="00935D8E" w:rsidRDefault="0000731E" w:rsidP="00EC2A61">
            <w:pPr>
              <w:spacing w:before="0" w:after="0"/>
            </w:pPr>
            <w:r w:rsidRPr="00935D8E">
              <w:t>2350</w:t>
            </w:r>
          </w:p>
        </w:tc>
        <w:tc>
          <w:tcPr>
            <w:tcW w:w="782" w:type="pct"/>
            <w:noWrap/>
            <w:hideMark/>
          </w:tcPr>
          <w:p w:rsidR="0000731E" w:rsidRPr="00935D8E" w:rsidRDefault="0000731E" w:rsidP="00EC2A61">
            <w:pPr>
              <w:spacing w:before="0" w:after="0"/>
            </w:pPr>
            <w:r w:rsidRPr="00935D8E">
              <w:t>893</w:t>
            </w:r>
          </w:p>
        </w:tc>
        <w:tc>
          <w:tcPr>
            <w:tcW w:w="962" w:type="pct"/>
            <w:noWrap/>
            <w:hideMark/>
          </w:tcPr>
          <w:p w:rsidR="0000731E" w:rsidRPr="00935D8E" w:rsidRDefault="0000731E" w:rsidP="00EC2A61">
            <w:pPr>
              <w:spacing w:before="0" w:after="0"/>
            </w:pPr>
            <w:r w:rsidRPr="00935D8E">
              <w:t>521.825</w:t>
            </w:r>
          </w:p>
        </w:tc>
        <w:tc>
          <w:tcPr>
            <w:tcW w:w="493" w:type="pct"/>
            <w:noWrap/>
            <w:hideMark/>
          </w:tcPr>
          <w:p w:rsidR="0000731E" w:rsidRPr="00935D8E" w:rsidRDefault="0000731E" w:rsidP="00EC2A61">
            <w:pPr>
              <w:spacing w:before="0" w:after="0"/>
            </w:pPr>
            <w:r w:rsidRPr="00935D8E">
              <w:t>0.118</w:t>
            </w:r>
          </w:p>
        </w:tc>
        <w:tc>
          <w:tcPr>
            <w:tcW w:w="467" w:type="pct"/>
            <w:noWrap/>
            <w:hideMark/>
          </w:tcPr>
          <w:p w:rsidR="0000731E" w:rsidRPr="00935D8E" w:rsidRDefault="0000731E" w:rsidP="00EC2A61">
            <w:pPr>
              <w:spacing w:before="0" w:after="0"/>
            </w:pPr>
            <w:r w:rsidRPr="00935D8E">
              <w:t>105.6</w:t>
            </w:r>
          </w:p>
        </w:tc>
      </w:tr>
      <w:tr w:rsidR="004830E6" w:rsidRPr="00935D8E" w:rsidTr="007005D2">
        <w:trPr>
          <w:trHeight w:val="295"/>
        </w:trPr>
        <w:tc>
          <w:tcPr>
            <w:tcW w:w="1047" w:type="pct"/>
            <w:noWrap/>
            <w:hideMark/>
          </w:tcPr>
          <w:p w:rsidR="0000731E" w:rsidRPr="00935D8E" w:rsidRDefault="0000731E" w:rsidP="00EC2A61">
            <w:pPr>
              <w:spacing w:before="0" w:after="0"/>
            </w:pPr>
            <w:r w:rsidRPr="00935D8E">
              <w:t>Goba</w:t>
            </w:r>
          </w:p>
        </w:tc>
        <w:tc>
          <w:tcPr>
            <w:tcW w:w="372" w:type="pct"/>
            <w:noWrap/>
            <w:hideMark/>
          </w:tcPr>
          <w:p w:rsidR="0000731E" w:rsidRPr="00935D8E" w:rsidRDefault="0000731E" w:rsidP="00EC2A61">
            <w:pPr>
              <w:spacing w:before="0" w:after="0"/>
            </w:pPr>
            <w:r w:rsidRPr="00935D8E">
              <w:t>7.02</w:t>
            </w:r>
          </w:p>
        </w:tc>
        <w:tc>
          <w:tcPr>
            <w:tcW w:w="458" w:type="pct"/>
            <w:noWrap/>
            <w:hideMark/>
          </w:tcPr>
          <w:p w:rsidR="0000731E" w:rsidRPr="00935D8E" w:rsidRDefault="0000731E" w:rsidP="00EC2A61">
            <w:pPr>
              <w:spacing w:before="0" w:after="0"/>
            </w:pPr>
            <w:r w:rsidRPr="00935D8E">
              <w:t>40.00</w:t>
            </w:r>
          </w:p>
        </w:tc>
        <w:tc>
          <w:tcPr>
            <w:tcW w:w="419" w:type="pct"/>
            <w:noWrap/>
            <w:hideMark/>
          </w:tcPr>
          <w:p w:rsidR="0000731E" w:rsidRPr="00935D8E" w:rsidRDefault="0000731E" w:rsidP="00EC2A61">
            <w:pPr>
              <w:spacing w:before="0" w:after="0"/>
            </w:pPr>
            <w:r w:rsidRPr="00935D8E">
              <w:t>2545</w:t>
            </w:r>
          </w:p>
        </w:tc>
        <w:tc>
          <w:tcPr>
            <w:tcW w:w="782" w:type="pct"/>
            <w:noWrap/>
            <w:hideMark/>
          </w:tcPr>
          <w:p w:rsidR="0000731E" w:rsidRPr="00935D8E" w:rsidRDefault="0000731E" w:rsidP="00EC2A61">
            <w:pPr>
              <w:spacing w:before="0" w:after="0"/>
            </w:pPr>
            <w:r w:rsidRPr="00935D8E">
              <w:t>921</w:t>
            </w:r>
          </w:p>
        </w:tc>
        <w:tc>
          <w:tcPr>
            <w:tcW w:w="962" w:type="pct"/>
            <w:noWrap/>
            <w:hideMark/>
          </w:tcPr>
          <w:p w:rsidR="0000731E" w:rsidRPr="00935D8E" w:rsidRDefault="0000731E" w:rsidP="00EC2A61">
            <w:pPr>
              <w:spacing w:before="0" w:after="0"/>
            </w:pPr>
            <w:r w:rsidRPr="00935D8E">
              <w:t>573.8071</w:t>
            </w:r>
          </w:p>
        </w:tc>
        <w:tc>
          <w:tcPr>
            <w:tcW w:w="493" w:type="pct"/>
            <w:noWrap/>
            <w:hideMark/>
          </w:tcPr>
          <w:p w:rsidR="0000731E" w:rsidRPr="00935D8E" w:rsidRDefault="0000731E" w:rsidP="00EC2A61">
            <w:pPr>
              <w:spacing w:before="0" w:after="0"/>
            </w:pPr>
            <w:r w:rsidRPr="00935D8E">
              <w:t>0.130</w:t>
            </w:r>
          </w:p>
        </w:tc>
        <w:tc>
          <w:tcPr>
            <w:tcW w:w="467" w:type="pct"/>
            <w:noWrap/>
            <w:hideMark/>
          </w:tcPr>
          <w:p w:rsidR="0000731E" w:rsidRPr="00935D8E" w:rsidRDefault="0000731E" w:rsidP="00EC2A61">
            <w:pPr>
              <w:spacing w:before="0" w:after="0"/>
            </w:pPr>
            <w:r w:rsidRPr="00935D8E">
              <w:t>119.7</w:t>
            </w:r>
          </w:p>
        </w:tc>
      </w:tr>
      <w:tr w:rsidR="004830E6" w:rsidRPr="00935D8E" w:rsidTr="007005D2">
        <w:trPr>
          <w:trHeight w:val="295"/>
        </w:trPr>
        <w:tc>
          <w:tcPr>
            <w:tcW w:w="1047" w:type="pct"/>
            <w:noWrap/>
            <w:hideMark/>
          </w:tcPr>
          <w:p w:rsidR="0000731E" w:rsidRPr="00935D8E" w:rsidRDefault="0000731E" w:rsidP="00EC2A61">
            <w:pPr>
              <w:spacing w:before="0" w:after="0"/>
            </w:pPr>
            <w:r w:rsidRPr="00935D8E">
              <w:t>Sheneka</w:t>
            </w:r>
          </w:p>
        </w:tc>
        <w:tc>
          <w:tcPr>
            <w:tcW w:w="372" w:type="pct"/>
            <w:noWrap/>
            <w:hideMark/>
          </w:tcPr>
          <w:p w:rsidR="0000731E" w:rsidRPr="00935D8E" w:rsidRDefault="0000731E" w:rsidP="00EC2A61">
            <w:pPr>
              <w:spacing w:before="0" w:after="0"/>
            </w:pPr>
            <w:r w:rsidRPr="00935D8E">
              <w:t>7.25</w:t>
            </w:r>
          </w:p>
        </w:tc>
        <w:tc>
          <w:tcPr>
            <w:tcW w:w="458" w:type="pct"/>
            <w:noWrap/>
            <w:hideMark/>
          </w:tcPr>
          <w:p w:rsidR="0000731E" w:rsidRPr="00935D8E" w:rsidRDefault="0000731E" w:rsidP="00EC2A61">
            <w:pPr>
              <w:spacing w:before="0" w:after="0"/>
            </w:pPr>
            <w:r w:rsidRPr="00935D8E">
              <w:t>40.00</w:t>
            </w:r>
          </w:p>
        </w:tc>
        <w:tc>
          <w:tcPr>
            <w:tcW w:w="419" w:type="pct"/>
            <w:noWrap/>
            <w:hideMark/>
          </w:tcPr>
          <w:p w:rsidR="0000731E" w:rsidRPr="00935D8E" w:rsidRDefault="0000731E" w:rsidP="00EC2A61">
            <w:pPr>
              <w:spacing w:before="0" w:after="0"/>
            </w:pPr>
            <w:r w:rsidRPr="00935D8E">
              <w:t>2280</w:t>
            </w:r>
          </w:p>
        </w:tc>
        <w:tc>
          <w:tcPr>
            <w:tcW w:w="782" w:type="pct"/>
            <w:noWrap/>
            <w:hideMark/>
          </w:tcPr>
          <w:p w:rsidR="0000731E" w:rsidRPr="00935D8E" w:rsidRDefault="0000731E" w:rsidP="00EC2A61">
            <w:pPr>
              <w:spacing w:before="0" w:after="0"/>
            </w:pPr>
            <w:r w:rsidRPr="00935D8E">
              <w:t>734.4</w:t>
            </w:r>
          </w:p>
        </w:tc>
        <w:tc>
          <w:tcPr>
            <w:tcW w:w="962" w:type="pct"/>
            <w:noWrap/>
            <w:hideMark/>
          </w:tcPr>
          <w:p w:rsidR="0000731E" w:rsidRPr="00935D8E" w:rsidRDefault="0000731E" w:rsidP="00EC2A61">
            <w:pPr>
              <w:spacing w:before="0" w:after="0"/>
            </w:pPr>
            <w:r w:rsidRPr="00935D8E">
              <w:t>355.7336</w:t>
            </w:r>
          </w:p>
        </w:tc>
        <w:tc>
          <w:tcPr>
            <w:tcW w:w="493" w:type="pct"/>
            <w:noWrap/>
            <w:hideMark/>
          </w:tcPr>
          <w:p w:rsidR="0000731E" w:rsidRPr="00935D8E" w:rsidRDefault="0000731E" w:rsidP="00EC2A61">
            <w:pPr>
              <w:spacing w:before="0" w:after="0"/>
            </w:pPr>
            <w:r w:rsidRPr="00935D8E">
              <w:t>0.080</w:t>
            </w:r>
          </w:p>
        </w:tc>
        <w:tc>
          <w:tcPr>
            <w:tcW w:w="467" w:type="pct"/>
            <w:noWrap/>
            <w:hideMark/>
          </w:tcPr>
          <w:p w:rsidR="0000731E" w:rsidRPr="00935D8E" w:rsidRDefault="0000731E" w:rsidP="00EC2A61">
            <w:pPr>
              <w:spacing w:before="0" w:after="0"/>
            </w:pPr>
            <w:r w:rsidRPr="00935D8E">
              <w:t>59.2</w:t>
            </w:r>
          </w:p>
        </w:tc>
      </w:tr>
      <w:tr w:rsidR="004830E6" w:rsidRPr="00935D8E" w:rsidTr="007005D2">
        <w:trPr>
          <w:trHeight w:val="295"/>
        </w:trPr>
        <w:tc>
          <w:tcPr>
            <w:tcW w:w="1047" w:type="pct"/>
            <w:noWrap/>
            <w:hideMark/>
          </w:tcPr>
          <w:p w:rsidR="0000731E" w:rsidRPr="00935D8E" w:rsidRDefault="0000731E" w:rsidP="00EC2A61">
            <w:pPr>
              <w:spacing w:before="0" w:after="0"/>
            </w:pPr>
            <w:r w:rsidRPr="00935D8E">
              <w:t>Delo Sobro</w:t>
            </w:r>
          </w:p>
        </w:tc>
        <w:tc>
          <w:tcPr>
            <w:tcW w:w="372" w:type="pct"/>
            <w:noWrap/>
            <w:hideMark/>
          </w:tcPr>
          <w:p w:rsidR="0000731E" w:rsidRPr="00935D8E" w:rsidRDefault="0000731E" w:rsidP="00EC2A61">
            <w:pPr>
              <w:spacing w:before="0" w:after="0"/>
            </w:pPr>
            <w:r w:rsidRPr="00935D8E">
              <w:t>7.25</w:t>
            </w:r>
          </w:p>
        </w:tc>
        <w:tc>
          <w:tcPr>
            <w:tcW w:w="458" w:type="pct"/>
            <w:noWrap/>
            <w:hideMark/>
          </w:tcPr>
          <w:p w:rsidR="0000731E" w:rsidRPr="00935D8E" w:rsidRDefault="0000731E" w:rsidP="00EC2A61">
            <w:pPr>
              <w:spacing w:before="0" w:after="0"/>
            </w:pPr>
            <w:r w:rsidRPr="00935D8E">
              <w:t>40.47</w:t>
            </w:r>
          </w:p>
        </w:tc>
        <w:tc>
          <w:tcPr>
            <w:tcW w:w="419" w:type="pct"/>
            <w:noWrap/>
            <w:hideMark/>
          </w:tcPr>
          <w:p w:rsidR="0000731E" w:rsidRPr="00935D8E" w:rsidRDefault="0000731E" w:rsidP="00EC2A61">
            <w:pPr>
              <w:spacing w:before="0" w:after="0"/>
            </w:pPr>
            <w:r w:rsidRPr="00935D8E">
              <w:t>2205</w:t>
            </w:r>
          </w:p>
        </w:tc>
        <w:tc>
          <w:tcPr>
            <w:tcW w:w="782" w:type="pct"/>
            <w:noWrap/>
            <w:hideMark/>
          </w:tcPr>
          <w:p w:rsidR="0000731E" w:rsidRPr="00935D8E" w:rsidRDefault="0000731E" w:rsidP="00EC2A61">
            <w:pPr>
              <w:spacing w:before="0" w:after="0"/>
            </w:pPr>
            <w:r w:rsidRPr="00935D8E">
              <w:t>1147</w:t>
            </w:r>
          </w:p>
        </w:tc>
        <w:tc>
          <w:tcPr>
            <w:tcW w:w="962" w:type="pct"/>
            <w:noWrap/>
            <w:hideMark/>
          </w:tcPr>
          <w:p w:rsidR="0000731E" w:rsidRPr="00935D8E" w:rsidRDefault="0000731E" w:rsidP="00EC2A61">
            <w:pPr>
              <w:spacing w:before="0" w:after="0"/>
            </w:pPr>
            <w:r w:rsidRPr="00935D8E">
              <w:t>324.7039</w:t>
            </w:r>
          </w:p>
        </w:tc>
        <w:tc>
          <w:tcPr>
            <w:tcW w:w="493" w:type="pct"/>
            <w:noWrap/>
            <w:hideMark/>
          </w:tcPr>
          <w:p w:rsidR="0000731E" w:rsidRPr="00935D8E" w:rsidRDefault="0000731E" w:rsidP="00EC2A61">
            <w:pPr>
              <w:spacing w:before="0" w:after="0"/>
            </w:pPr>
            <w:r w:rsidRPr="00935D8E">
              <w:t>0.073</w:t>
            </w:r>
          </w:p>
        </w:tc>
        <w:tc>
          <w:tcPr>
            <w:tcW w:w="467" w:type="pct"/>
            <w:noWrap/>
            <w:hideMark/>
          </w:tcPr>
          <w:p w:rsidR="0000731E" w:rsidRPr="00935D8E" w:rsidRDefault="0000731E" w:rsidP="00EC2A61">
            <w:pPr>
              <w:spacing w:before="0" w:after="0"/>
            </w:pPr>
            <w:r w:rsidRPr="00935D8E">
              <w:t>84.4</w:t>
            </w:r>
          </w:p>
        </w:tc>
      </w:tr>
      <w:tr w:rsidR="004830E6" w:rsidRPr="00935D8E" w:rsidTr="007005D2">
        <w:trPr>
          <w:trHeight w:val="295"/>
        </w:trPr>
        <w:tc>
          <w:tcPr>
            <w:tcW w:w="1047" w:type="pct"/>
            <w:noWrap/>
            <w:hideMark/>
          </w:tcPr>
          <w:p w:rsidR="0000731E" w:rsidRPr="00935D8E" w:rsidRDefault="0000731E" w:rsidP="00EC2A61">
            <w:pPr>
              <w:spacing w:before="0" w:after="0"/>
            </w:pPr>
            <w:r w:rsidRPr="00935D8E">
              <w:t>Meskel Darkina</w:t>
            </w:r>
          </w:p>
        </w:tc>
        <w:tc>
          <w:tcPr>
            <w:tcW w:w="372" w:type="pct"/>
            <w:noWrap/>
            <w:hideMark/>
          </w:tcPr>
          <w:p w:rsidR="0000731E" w:rsidRPr="00935D8E" w:rsidRDefault="0000731E" w:rsidP="00EC2A61">
            <w:pPr>
              <w:spacing w:before="0" w:after="0"/>
            </w:pPr>
            <w:r w:rsidRPr="00935D8E">
              <w:t>7.03</w:t>
            </w:r>
          </w:p>
        </w:tc>
        <w:tc>
          <w:tcPr>
            <w:tcW w:w="458" w:type="pct"/>
            <w:noWrap/>
            <w:hideMark/>
          </w:tcPr>
          <w:p w:rsidR="0000731E" w:rsidRPr="00935D8E" w:rsidRDefault="0000731E" w:rsidP="00EC2A61">
            <w:pPr>
              <w:spacing w:before="0" w:after="0"/>
            </w:pPr>
            <w:r w:rsidRPr="00935D8E">
              <w:t>39.58</w:t>
            </w:r>
          </w:p>
        </w:tc>
        <w:tc>
          <w:tcPr>
            <w:tcW w:w="419" w:type="pct"/>
            <w:noWrap/>
            <w:hideMark/>
          </w:tcPr>
          <w:p w:rsidR="0000731E" w:rsidRPr="00935D8E" w:rsidRDefault="0000731E" w:rsidP="00EC2A61">
            <w:pPr>
              <w:spacing w:before="0" w:after="0"/>
            </w:pPr>
            <w:r w:rsidRPr="00935D8E">
              <w:t>3250</w:t>
            </w:r>
          </w:p>
        </w:tc>
        <w:tc>
          <w:tcPr>
            <w:tcW w:w="782" w:type="pct"/>
            <w:noWrap/>
            <w:hideMark/>
          </w:tcPr>
          <w:p w:rsidR="0000731E" w:rsidRPr="00935D8E" w:rsidRDefault="0000731E" w:rsidP="00EC2A61">
            <w:pPr>
              <w:spacing w:before="0" w:after="0"/>
            </w:pPr>
            <w:r w:rsidRPr="00935D8E">
              <w:t>1335</w:t>
            </w:r>
          </w:p>
        </w:tc>
        <w:tc>
          <w:tcPr>
            <w:tcW w:w="962" w:type="pct"/>
            <w:noWrap/>
            <w:hideMark/>
          </w:tcPr>
          <w:p w:rsidR="0000731E" w:rsidRPr="00935D8E" w:rsidRDefault="0000731E" w:rsidP="00EC2A61">
            <w:pPr>
              <w:spacing w:before="0" w:after="0"/>
            </w:pPr>
            <w:r w:rsidRPr="00935D8E">
              <w:t>219.4237</w:t>
            </w:r>
          </w:p>
        </w:tc>
        <w:tc>
          <w:tcPr>
            <w:tcW w:w="493" w:type="pct"/>
            <w:noWrap/>
            <w:hideMark/>
          </w:tcPr>
          <w:p w:rsidR="0000731E" w:rsidRPr="00935D8E" w:rsidRDefault="0000731E" w:rsidP="00EC2A61">
            <w:pPr>
              <w:spacing w:before="0" w:after="0"/>
            </w:pPr>
            <w:r w:rsidRPr="00935D8E">
              <w:t>0.049</w:t>
            </w:r>
          </w:p>
        </w:tc>
        <w:tc>
          <w:tcPr>
            <w:tcW w:w="467" w:type="pct"/>
            <w:noWrap/>
            <w:hideMark/>
          </w:tcPr>
          <w:p w:rsidR="0000731E" w:rsidRPr="00935D8E" w:rsidRDefault="0000731E" w:rsidP="00EC2A61">
            <w:pPr>
              <w:spacing w:before="0" w:after="0"/>
            </w:pPr>
            <w:r w:rsidRPr="00935D8E">
              <w:t>66.4</w:t>
            </w:r>
          </w:p>
        </w:tc>
      </w:tr>
      <w:tr w:rsidR="004830E6" w:rsidRPr="00935D8E" w:rsidTr="007005D2">
        <w:trPr>
          <w:trHeight w:val="295"/>
        </w:trPr>
        <w:tc>
          <w:tcPr>
            <w:tcW w:w="1047" w:type="pct"/>
            <w:noWrap/>
            <w:hideMark/>
          </w:tcPr>
          <w:p w:rsidR="0000731E" w:rsidRPr="00935D8E" w:rsidRDefault="0000731E" w:rsidP="00EC2A61">
            <w:pPr>
              <w:spacing w:before="0" w:after="0"/>
            </w:pPr>
            <w:r w:rsidRPr="00935D8E">
              <w:t>Goro</w:t>
            </w:r>
          </w:p>
        </w:tc>
        <w:tc>
          <w:tcPr>
            <w:tcW w:w="372" w:type="pct"/>
            <w:noWrap/>
            <w:hideMark/>
          </w:tcPr>
          <w:p w:rsidR="0000731E" w:rsidRPr="00935D8E" w:rsidRDefault="0000731E" w:rsidP="00EC2A61">
            <w:pPr>
              <w:spacing w:before="0" w:after="0"/>
            </w:pPr>
            <w:r w:rsidRPr="00935D8E">
              <w:t>7.00</w:t>
            </w:r>
          </w:p>
        </w:tc>
        <w:tc>
          <w:tcPr>
            <w:tcW w:w="458" w:type="pct"/>
            <w:noWrap/>
            <w:hideMark/>
          </w:tcPr>
          <w:p w:rsidR="0000731E" w:rsidRPr="00935D8E" w:rsidRDefault="0000731E" w:rsidP="00EC2A61">
            <w:pPr>
              <w:spacing w:before="0" w:after="0"/>
            </w:pPr>
            <w:r w:rsidRPr="00935D8E">
              <w:t>40.47</w:t>
            </w:r>
          </w:p>
        </w:tc>
        <w:tc>
          <w:tcPr>
            <w:tcW w:w="419" w:type="pct"/>
            <w:noWrap/>
            <w:hideMark/>
          </w:tcPr>
          <w:p w:rsidR="0000731E" w:rsidRPr="00935D8E" w:rsidRDefault="0000731E" w:rsidP="00EC2A61">
            <w:pPr>
              <w:spacing w:before="0" w:after="0"/>
            </w:pPr>
            <w:r w:rsidRPr="00935D8E">
              <w:t>1760</w:t>
            </w:r>
          </w:p>
        </w:tc>
        <w:tc>
          <w:tcPr>
            <w:tcW w:w="782" w:type="pct"/>
            <w:noWrap/>
            <w:hideMark/>
          </w:tcPr>
          <w:p w:rsidR="0000731E" w:rsidRPr="00935D8E" w:rsidRDefault="0000731E" w:rsidP="00EC2A61">
            <w:pPr>
              <w:spacing w:before="0" w:after="0"/>
            </w:pPr>
            <w:r w:rsidRPr="00935D8E">
              <w:t>924</w:t>
            </w:r>
          </w:p>
        </w:tc>
        <w:tc>
          <w:tcPr>
            <w:tcW w:w="962" w:type="pct"/>
            <w:noWrap/>
            <w:hideMark/>
          </w:tcPr>
          <w:p w:rsidR="0000731E" w:rsidRPr="00935D8E" w:rsidRDefault="0000731E" w:rsidP="00EC2A61">
            <w:pPr>
              <w:spacing w:before="0" w:after="0"/>
            </w:pPr>
            <w:r w:rsidRPr="00935D8E">
              <w:t>219.3866</w:t>
            </w:r>
          </w:p>
        </w:tc>
        <w:tc>
          <w:tcPr>
            <w:tcW w:w="493" w:type="pct"/>
            <w:noWrap/>
            <w:hideMark/>
          </w:tcPr>
          <w:p w:rsidR="0000731E" w:rsidRPr="00935D8E" w:rsidRDefault="0000731E" w:rsidP="00EC2A61">
            <w:pPr>
              <w:spacing w:before="0" w:after="0"/>
            </w:pPr>
            <w:r w:rsidRPr="00935D8E">
              <w:t>0.049</w:t>
            </w:r>
          </w:p>
        </w:tc>
        <w:tc>
          <w:tcPr>
            <w:tcW w:w="467" w:type="pct"/>
            <w:noWrap/>
            <w:hideMark/>
          </w:tcPr>
          <w:p w:rsidR="0000731E" w:rsidRPr="00935D8E" w:rsidRDefault="0000731E" w:rsidP="00EC2A61">
            <w:pPr>
              <w:spacing w:before="0" w:after="0"/>
            </w:pPr>
            <w:r w:rsidRPr="00935D8E">
              <w:t>45.9</w:t>
            </w:r>
          </w:p>
        </w:tc>
      </w:tr>
      <w:tr w:rsidR="004830E6" w:rsidRPr="00935D8E" w:rsidTr="007005D2">
        <w:trPr>
          <w:trHeight w:val="310"/>
        </w:trPr>
        <w:tc>
          <w:tcPr>
            <w:tcW w:w="1047" w:type="pct"/>
            <w:noWrap/>
            <w:hideMark/>
          </w:tcPr>
          <w:p w:rsidR="0000731E" w:rsidRPr="00935D8E" w:rsidRDefault="0000731E" w:rsidP="00EC2A61">
            <w:pPr>
              <w:spacing w:before="0" w:after="0"/>
            </w:pPr>
            <w:r w:rsidRPr="00935D8E">
              <w:t>Sofumer</w:t>
            </w:r>
          </w:p>
        </w:tc>
        <w:tc>
          <w:tcPr>
            <w:tcW w:w="372" w:type="pct"/>
            <w:noWrap/>
            <w:hideMark/>
          </w:tcPr>
          <w:p w:rsidR="0000731E" w:rsidRPr="00935D8E" w:rsidRDefault="0000731E" w:rsidP="00EC2A61">
            <w:pPr>
              <w:spacing w:before="0" w:after="0"/>
            </w:pPr>
            <w:r w:rsidRPr="00935D8E">
              <w:t>6.90</w:t>
            </w:r>
          </w:p>
        </w:tc>
        <w:tc>
          <w:tcPr>
            <w:tcW w:w="458" w:type="pct"/>
            <w:noWrap/>
            <w:hideMark/>
          </w:tcPr>
          <w:p w:rsidR="0000731E" w:rsidRPr="00935D8E" w:rsidRDefault="0000731E" w:rsidP="00EC2A61">
            <w:pPr>
              <w:spacing w:before="0" w:after="0"/>
            </w:pPr>
            <w:r w:rsidRPr="00935D8E">
              <w:t>40.83</w:t>
            </w:r>
          </w:p>
        </w:tc>
        <w:tc>
          <w:tcPr>
            <w:tcW w:w="419" w:type="pct"/>
            <w:noWrap/>
            <w:hideMark/>
          </w:tcPr>
          <w:p w:rsidR="0000731E" w:rsidRPr="00935D8E" w:rsidRDefault="0000731E" w:rsidP="00EC2A61">
            <w:pPr>
              <w:spacing w:before="0" w:after="0"/>
            </w:pPr>
            <w:r w:rsidRPr="00935D8E">
              <w:t>1180</w:t>
            </w:r>
          </w:p>
        </w:tc>
        <w:tc>
          <w:tcPr>
            <w:tcW w:w="782" w:type="pct"/>
            <w:noWrap/>
            <w:hideMark/>
          </w:tcPr>
          <w:p w:rsidR="0000731E" w:rsidRPr="00935D8E" w:rsidRDefault="0000731E" w:rsidP="00EC2A61">
            <w:pPr>
              <w:spacing w:before="0" w:after="0"/>
            </w:pPr>
            <w:r w:rsidRPr="00935D8E">
              <w:t>546</w:t>
            </w:r>
          </w:p>
        </w:tc>
        <w:tc>
          <w:tcPr>
            <w:tcW w:w="962" w:type="pct"/>
            <w:noWrap/>
            <w:hideMark/>
          </w:tcPr>
          <w:p w:rsidR="0000731E" w:rsidRPr="00935D8E" w:rsidRDefault="0000731E" w:rsidP="00EC2A61">
            <w:pPr>
              <w:spacing w:before="0" w:after="0"/>
            </w:pPr>
            <w:r w:rsidRPr="00935D8E">
              <w:t>84.54011</w:t>
            </w:r>
          </w:p>
        </w:tc>
        <w:tc>
          <w:tcPr>
            <w:tcW w:w="493" w:type="pct"/>
            <w:noWrap/>
            <w:hideMark/>
          </w:tcPr>
          <w:p w:rsidR="0000731E" w:rsidRPr="00935D8E" w:rsidRDefault="0000731E" w:rsidP="00EC2A61">
            <w:pPr>
              <w:spacing w:before="0" w:after="0"/>
            </w:pPr>
            <w:r w:rsidRPr="00935D8E">
              <w:t>0.019</w:t>
            </w:r>
          </w:p>
        </w:tc>
        <w:tc>
          <w:tcPr>
            <w:tcW w:w="467" w:type="pct"/>
            <w:noWrap/>
            <w:hideMark/>
          </w:tcPr>
          <w:p w:rsidR="0000731E" w:rsidRPr="00935D8E" w:rsidRDefault="0000731E" w:rsidP="00EC2A61">
            <w:pPr>
              <w:spacing w:before="0" w:after="0"/>
            </w:pPr>
            <w:r w:rsidRPr="00935D8E">
              <w:t>10.5</w:t>
            </w:r>
          </w:p>
        </w:tc>
      </w:tr>
      <w:tr w:rsidR="004830E6" w:rsidRPr="00935D8E" w:rsidTr="007005D2">
        <w:trPr>
          <w:trHeight w:val="295"/>
        </w:trPr>
        <w:tc>
          <w:tcPr>
            <w:tcW w:w="1047" w:type="pct"/>
            <w:noWrap/>
            <w:hideMark/>
          </w:tcPr>
          <w:p w:rsidR="0000731E" w:rsidRPr="00935D8E" w:rsidRDefault="0000731E" w:rsidP="00EC2A61">
            <w:pPr>
              <w:spacing w:before="0" w:after="0"/>
            </w:pPr>
            <w:r w:rsidRPr="00935D8E">
              <w:t>Melka Buta</w:t>
            </w:r>
          </w:p>
        </w:tc>
        <w:tc>
          <w:tcPr>
            <w:tcW w:w="372" w:type="pct"/>
            <w:noWrap/>
            <w:hideMark/>
          </w:tcPr>
          <w:p w:rsidR="0000731E" w:rsidRPr="00935D8E" w:rsidRDefault="0000731E" w:rsidP="00EC2A61">
            <w:pPr>
              <w:spacing w:before="0" w:after="0"/>
            </w:pPr>
            <w:r w:rsidRPr="00935D8E">
              <w:t>6.93</w:t>
            </w:r>
          </w:p>
        </w:tc>
        <w:tc>
          <w:tcPr>
            <w:tcW w:w="458" w:type="pct"/>
            <w:noWrap/>
            <w:hideMark/>
          </w:tcPr>
          <w:p w:rsidR="0000731E" w:rsidRPr="00935D8E" w:rsidRDefault="0000731E" w:rsidP="00EC2A61">
            <w:pPr>
              <w:spacing w:before="0" w:after="0"/>
            </w:pPr>
            <w:r w:rsidRPr="00935D8E">
              <w:t>40.62</w:t>
            </w:r>
          </w:p>
        </w:tc>
        <w:tc>
          <w:tcPr>
            <w:tcW w:w="419" w:type="pct"/>
            <w:noWrap/>
            <w:hideMark/>
          </w:tcPr>
          <w:p w:rsidR="0000731E" w:rsidRPr="00935D8E" w:rsidRDefault="0000731E" w:rsidP="00EC2A61">
            <w:pPr>
              <w:spacing w:before="0" w:after="0"/>
            </w:pPr>
            <w:r w:rsidRPr="00935D8E">
              <w:t>1580</w:t>
            </w:r>
          </w:p>
        </w:tc>
        <w:tc>
          <w:tcPr>
            <w:tcW w:w="782" w:type="pct"/>
            <w:noWrap/>
            <w:hideMark/>
          </w:tcPr>
          <w:p w:rsidR="0000731E" w:rsidRPr="00935D8E" w:rsidRDefault="0000731E" w:rsidP="00EC2A61">
            <w:pPr>
              <w:spacing w:before="0" w:after="0"/>
            </w:pPr>
            <w:r w:rsidRPr="00935D8E">
              <w:t>606</w:t>
            </w:r>
          </w:p>
        </w:tc>
        <w:tc>
          <w:tcPr>
            <w:tcW w:w="962" w:type="pct"/>
            <w:noWrap/>
            <w:hideMark/>
          </w:tcPr>
          <w:p w:rsidR="0000731E" w:rsidRPr="00935D8E" w:rsidRDefault="0000731E" w:rsidP="00EC2A61">
            <w:pPr>
              <w:spacing w:before="0" w:after="0"/>
            </w:pPr>
            <w:r w:rsidRPr="00935D8E">
              <w:t>137.9329</w:t>
            </w:r>
          </w:p>
        </w:tc>
        <w:tc>
          <w:tcPr>
            <w:tcW w:w="493" w:type="pct"/>
            <w:noWrap/>
            <w:hideMark/>
          </w:tcPr>
          <w:p w:rsidR="0000731E" w:rsidRPr="00935D8E" w:rsidRDefault="0000731E" w:rsidP="00EC2A61">
            <w:pPr>
              <w:spacing w:before="0" w:after="0"/>
            </w:pPr>
            <w:r w:rsidRPr="00935D8E">
              <w:t>0.031</w:t>
            </w:r>
          </w:p>
        </w:tc>
        <w:tc>
          <w:tcPr>
            <w:tcW w:w="467" w:type="pct"/>
            <w:noWrap/>
            <w:hideMark/>
          </w:tcPr>
          <w:p w:rsidR="0000731E" w:rsidRPr="00935D8E" w:rsidRDefault="0000731E" w:rsidP="00EC2A61">
            <w:pPr>
              <w:spacing w:before="0" w:after="0"/>
            </w:pPr>
            <w:r w:rsidRPr="00935D8E">
              <w:t>18.9</w:t>
            </w:r>
          </w:p>
        </w:tc>
      </w:tr>
      <w:tr w:rsidR="004830E6" w:rsidRPr="00935D8E" w:rsidTr="007005D2">
        <w:trPr>
          <w:trHeight w:val="295"/>
        </w:trPr>
        <w:tc>
          <w:tcPr>
            <w:tcW w:w="1047" w:type="pct"/>
            <w:noWrap/>
            <w:hideMark/>
          </w:tcPr>
          <w:p w:rsidR="0000731E" w:rsidRPr="00935D8E" w:rsidRDefault="0000731E" w:rsidP="00EC2A61">
            <w:pPr>
              <w:spacing w:before="0" w:after="0"/>
            </w:pPr>
            <w:r w:rsidRPr="00935D8E">
              <w:t>Ardatere</w:t>
            </w:r>
          </w:p>
        </w:tc>
        <w:tc>
          <w:tcPr>
            <w:tcW w:w="372" w:type="pct"/>
            <w:noWrap/>
            <w:hideMark/>
          </w:tcPr>
          <w:p w:rsidR="0000731E" w:rsidRPr="00935D8E" w:rsidRDefault="0000731E" w:rsidP="00EC2A61">
            <w:pPr>
              <w:spacing w:before="0" w:after="0"/>
            </w:pPr>
            <w:r w:rsidRPr="00935D8E">
              <w:t>7.08</w:t>
            </w:r>
          </w:p>
        </w:tc>
        <w:tc>
          <w:tcPr>
            <w:tcW w:w="458" w:type="pct"/>
            <w:noWrap/>
            <w:hideMark/>
          </w:tcPr>
          <w:p w:rsidR="0000731E" w:rsidRPr="00935D8E" w:rsidRDefault="0000731E" w:rsidP="00EC2A61">
            <w:pPr>
              <w:spacing w:before="0" w:after="0"/>
            </w:pPr>
            <w:r w:rsidRPr="00935D8E">
              <w:t>40.82</w:t>
            </w:r>
          </w:p>
        </w:tc>
        <w:tc>
          <w:tcPr>
            <w:tcW w:w="419" w:type="pct"/>
            <w:noWrap/>
            <w:hideMark/>
          </w:tcPr>
          <w:p w:rsidR="0000731E" w:rsidRPr="00935D8E" w:rsidRDefault="0000731E" w:rsidP="00EC2A61">
            <w:pPr>
              <w:spacing w:before="0" w:after="0"/>
            </w:pPr>
            <w:r w:rsidRPr="00935D8E">
              <w:t>1560</w:t>
            </w:r>
          </w:p>
        </w:tc>
        <w:tc>
          <w:tcPr>
            <w:tcW w:w="782" w:type="pct"/>
            <w:noWrap/>
            <w:hideMark/>
          </w:tcPr>
          <w:p w:rsidR="0000731E" w:rsidRPr="00935D8E" w:rsidRDefault="0000731E" w:rsidP="00EC2A61">
            <w:pPr>
              <w:spacing w:before="0" w:after="0"/>
            </w:pPr>
            <w:r w:rsidRPr="00935D8E">
              <w:t>805</w:t>
            </w:r>
          </w:p>
        </w:tc>
        <w:tc>
          <w:tcPr>
            <w:tcW w:w="962" w:type="pct"/>
            <w:noWrap/>
            <w:hideMark/>
          </w:tcPr>
          <w:p w:rsidR="0000731E" w:rsidRPr="00935D8E" w:rsidRDefault="0000731E" w:rsidP="00EC2A61">
            <w:pPr>
              <w:spacing w:before="0" w:after="0"/>
            </w:pPr>
            <w:r w:rsidRPr="00935D8E">
              <w:t>55.76962</w:t>
            </w:r>
          </w:p>
        </w:tc>
        <w:tc>
          <w:tcPr>
            <w:tcW w:w="493" w:type="pct"/>
            <w:noWrap/>
            <w:hideMark/>
          </w:tcPr>
          <w:p w:rsidR="0000731E" w:rsidRPr="00935D8E" w:rsidRDefault="0000731E" w:rsidP="00EC2A61">
            <w:pPr>
              <w:spacing w:before="0" w:after="0"/>
            </w:pPr>
            <w:r w:rsidRPr="00935D8E">
              <w:t>0.012</w:t>
            </w:r>
          </w:p>
        </w:tc>
        <w:tc>
          <w:tcPr>
            <w:tcW w:w="467" w:type="pct"/>
            <w:noWrap/>
            <w:hideMark/>
          </w:tcPr>
          <w:p w:rsidR="0000731E" w:rsidRPr="00935D8E" w:rsidRDefault="0000731E" w:rsidP="00EC2A61">
            <w:pPr>
              <w:spacing w:before="0" w:after="0"/>
            </w:pPr>
            <w:r w:rsidRPr="00935D8E">
              <w:t>10.2</w:t>
            </w:r>
          </w:p>
        </w:tc>
      </w:tr>
    </w:tbl>
    <w:p w:rsidR="00EE7DF1" w:rsidRPr="00935D8E" w:rsidRDefault="00193207" w:rsidP="00EC2A61">
      <w:r w:rsidRPr="00935D8E">
        <w:lastRenderedPageBreak/>
        <w:t>The abbreviation; Pi, WF, Lon</w:t>
      </w:r>
      <w:r w:rsidR="00B6301F" w:rsidRPr="00935D8E">
        <w:t>g</w:t>
      </w:r>
      <w:r w:rsidRPr="00935D8E">
        <w:t>.</w:t>
      </w:r>
      <w:r w:rsidR="00B6301F" w:rsidRPr="00935D8E">
        <w:t>, Lat.,</w:t>
      </w:r>
      <w:r w:rsidRPr="00935D8E">
        <w:t xml:space="preserve"> </w:t>
      </w:r>
      <w:r w:rsidR="00B6301F" w:rsidRPr="00935D8E">
        <w:t xml:space="preserve">and </w:t>
      </w:r>
      <w:r w:rsidRPr="00935D8E">
        <w:t>A represents</w:t>
      </w:r>
      <w:r w:rsidR="008D1638">
        <w:t>;</w:t>
      </w:r>
      <w:r w:rsidRPr="00935D8E">
        <w:t xml:space="preserve"> annual rainfall, weightage factor, longitude, latitude, and total area.</w:t>
      </w:r>
    </w:p>
    <w:p w:rsidR="003E31A6" w:rsidRPr="00935D8E" w:rsidRDefault="008D68E3" w:rsidP="00EC2A61">
      <w:pPr>
        <w:pStyle w:val="Caption"/>
        <w:spacing w:before="120" w:after="120" w:line="360" w:lineRule="auto"/>
        <w:rPr>
          <w:i w:val="0"/>
          <w:color w:val="auto"/>
          <w:sz w:val="24"/>
          <w:szCs w:val="24"/>
        </w:rPr>
      </w:pPr>
      <w:bookmarkStart w:id="258" w:name="_Toc68761654"/>
      <w:r w:rsidRPr="00935D8E">
        <w:rPr>
          <w:i w:val="0"/>
          <w:color w:val="auto"/>
          <w:sz w:val="24"/>
          <w:szCs w:val="24"/>
        </w:rPr>
        <w:t xml:space="preserve">Appendix table </w:t>
      </w:r>
      <w:r w:rsidRPr="00935D8E">
        <w:rPr>
          <w:i w:val="0"/>
          <w:color w:val="auto"/>
          <w:sz w:val="24"/>
          <w:szCs w:val="24"/>
        </w:rPr>
        <w:fldChar w:fldCharType="begin"/>
      </w:r>
      <w:r w:rsidRPr="00935D8E">
        <w:rPr>
          <w:i w:val="0"/>
          <w:color w:val="auto"/>
          <w:sz w:val="24"/>
          <w:szCs w:val="24"/>
        </w:rPr>
        <w:instrText xml:space="preserve"> SEQ Appendix_table \* ARABIC </w:instrText>
      </w:r>
      <w:r w:rsidRPr="00935D8E">
        <w:rPr>
          <w:i w:val="0"/>
          <w:color w:val="auto"/>
          <w:sz w:val="24"/>
          <w:szCs w:val="24"/>
        </w:rPr>
        <w:fldChar w:fldCharType="separate"/>
      </w:r>
      <w:r w:rsidR="00BD510E">
        <w:rPr>
          <w:i w:val="0"/>
          <w:noProof/>
          <w:color w:val="auto"/>
          <w:sz w:val="24"/>
          <w:szCs w:val="24"/>
        </w:rPr>
        <w:t>5</w:t>
      </w:r>
      <w:r w:rsidRPr="00935D8E">
        <w:rPr>
          <w:i w:val="0"/>
          <w:color w:val="auto"/>
          <w:sz w:val="24"/>
          <w:szCs w:val="24"/>
        </w:rPr>
        <w:fldChar w:fldCharType="end"/>
      </w:r>
      <w:r w:rsidRPr="00935D8E">
        <w:rPr>
          <w:i w:val="0"/>
          <w:color w:val="auto"/>
          <w:sz w:val="24"/>
          <w:szCs w:val="24"/>
        </w:rPr>
        <w:t xml:space="preserve">: </w:t>
      </w:r>
      <w:r w:rsidR="001312A8">
        <w:rPr>
          <w:i w:val="0"/>
          <w:color w:val="auto"/>
          <w:sz w:val="24"/>
          <w:szCs w:val="24"/>
        </w:rPr>
        <w:t>Soil types, coverage area</w:t>
      </w:r>
      <w:r w:rsidR="003E31A6" w:rsidRPr="00935D8E">
        <w:rPr>
          <w:i w:val="0"/>
          <w:color w:val="auto"/>
          <w:sz w:val="24"/>
          <w:szCs w:val="24"/>
        </w:rPr>
        <w:t xml:space="preserve"> and their constituents in percentage</w:t>
      </w:r>
      <w:bookmarkEnd w:id="258"/>
    </w:p>
    <w:tbl>
      <w:tblPr>
        <w:tblW w:w="5000" w:type="pct"/>
        <w:tblBorders>
          <w:top w:val="single" w:sz="4" w:space="0" w:color="auto"/>
          <w:bottom w:val="single" w:sz="4" w:space="0" w:color="auto"/>
        </w:tblBorders>
        <w:tblLook w:val="04A0" w:firstRow="1" w:lastRow="0" w:firstColumn="1" w:lastColumn="0" w:noHBand="0" w:noVBand="1"/>
      </w:tblPr>
      <w:tblGrid>
        <w:gridCol w:w="2177"/>
        <w:gridCol w:w="810"/>
        <w:gridCol w:w="900"/>
        <w:gridCol w:w="974"/>
        <w:gridCol w:w="707"/>
        <w:gridCol w:w="1535"/>
        <w:gridCol w:w="1897"/>
      </w:tblGrid>
      <w:tr w:rsidR="00456014" w:rsidRPr="00935D8E" w:rsidTr="00FB0F2F">
        <w:trPr>
          <w:trHeight w:val="548"/>
        </w:trPr>
        <w:tc>
          <w:tcPr>
            <w:tcW w:w="1209" w:type="pct"/>
            <w:tcBorders>
              <w:top w:val="single" w:sz="4" w:space="0" w:color="auto"/>
              <w:bottom w:val="single" w:sz="4" w:space="0" w:color="auto"/>
            </w:tcBorders>
            <w:shd w:val="clear" w:color="auto" w:fill="auto"/>
            <w:vAlign w:val="center"/>
          </w:tcPr>
          <w:p w:rsidR="003E31A6" w:rsidRPr="00935D8E" w:rsidRDefault="003E31A6" w:rsidP="00EC2A61">
            <w:pPr>
              <w:spacing w:before="0" w:after="0"/>
              <w:jc w:val="center"/>
              <w:rPr>
                <w:bCs/>
              </w:rPr>
            </w:pPr>
            <w:r w:rsidRPr="00935D8E">
              <w:rPr>
                <w:rFonts w:eastAsia="Times New Roman"/>
                <w:b/>
                <w:bCs/>
                <w:lang w:val="en-GB"/>
              </w:rPr>
              <w:t>Soil classes</w:t>
            </w:r>
          </w:p>
        </w:tc>
        <w:tc>
          <w:tcPr>
            <w:tcW w:w="450" w:type="pct"/>
            <w:tcBorders>
              <w:top w:val="single" w:sz="4" w:space="0" w:color="auto"/>
              <w:bottom w:val="single" w:sz="4" w:space="0" w:color="auto"/>
            </w:tcBorders>
            <w:shd w:val="clear" w:color="auto" w:fill="auto"/>
            <w:noWrap/>
            <w:vAlign w:val="center"/>
          </w:tcPr>
          <w:p w:rsidR="003E31A6" w:rsidRPr="00935D8E" w:rsidRDefault="003E31A6" w:rsidP="00EC2A61">
            <w:pPr>
              <w:spacing w:before="0" w:after="0"/>
              <w:jc w:val="center"/>
              <w:rPr>
                <w:b/>
                <w:bCs/>
              </w:rPr>
            </w:pPr>
            <w:r w:rsidRPr="00935D8E">
              <w:rPr>
                <w:b/>
                <w:bCs/>
              </w:rPr>
              <w:t>Area</w:t>
            </w:r>
          </w:p>
          <w:p w:rsidR="003E31A6" w:rsidRPr="00935D8E" w:rsidRDefault="003E31A6" w:rsidP="00EC2A61">
            <w:pPr>
              <w:spacing w:before="0" w:after="0"/>
              <w:jc w:val="center"/>
              <w:rPr>
                <w:b/>
                <w:bCs/>
              </w:rPr>
            </w:pPr>
            <w:r w:rsidRPr="00935D8E">
              <w:rPr>
                <w:b/>
                <w:bCs/>
              </w:rPr>
              <w:t>(km</w:t>
            </w:r>
            <w:r w:rsidRPr="00935D8E">
              <w:rPr>
                <w:b/>
                <w:bCs/>
                <w:vertAlign w:val="superscript"/>
              </w:rPr>
              <w:t>2</w:t>
            </w:r>
            <w:r w:rsidRPr="00935D8E">
              <w:rPr>
                <w:b/>
                <w:bCs/>
              </w:rPr>
              <w:t>)</w:t>
            </w:r>
          </w:p>
        </w:tc>
        <w:tc>
          <w:tcPr>
            <w:tcW w:w="500" w:type="pct"/>
            <w:tcBorders>
              <w:top w:val="single" w:sz="4" w:space="0" w:color="auto"/>
              <w:bottom w:val="single" w:sz="4" w:space="0" w:color="auto"/>
            </w:tcBorders>
            <w:shd w:val="clear" w:color="auto" w:fill="auto"/>
            <w:vAlign w:val="center"/>
          </w:tcPr>
          <w:p w:rsidR="003E31A6" w:rsidRPr="00935D8E" w:rsidRDefault="003E31A6" w:rsidP="00EC2A61">
            <w:pPr>
              <w:spacing w:before="0" w:after="0"/>
              <w:jc w:val="center"/>
              <w:rPr>
                <w:rFonts w:eastAsia="Times New Roman"/>
                <w:b/>
                <w:bCs/>
              </w:rPr>
            </w:pPr>
            <w:r w:rsidRPr="00935D8E">
              <w:rPr>
                <w:rFonts w:eastAsia="Times New Roman"/>
                <w:b/>
                <w:bCs/>
                <w:lang w:val="en-GB"/>
              </w:rPr>
              <w:t>Area (%)</w:t>
            </w:r>
          </w:p>
        </w:tc>
        <w:tc>
          <w:tcPr>
            <w:tcW w:w="541" w:type="pct"/>
            <w:tcBorders>
              <w:top w:val="single" w:sz="4" w:space="0" w:color="auto"/>
              <w:bottom w:val="single" w:sz="4" w:space="0" w:color="auto"/>
            </w:tcBorders>
            <w:shd w:val="clear" w:color="auto" w:fill="auto"/>
            <w:vAlign w:val="center"/>
          </w:tcPr>
          <w:p w:rsidR="003E31A6" w:rsidRPr="00935D8E" w:rsidRDefault="003E31A6" w:rsidP="00EC2A61">
            <w:pPr>
              <w:spacing w:before="0" w:after="0"/>
              <w:jc w:val="center"/>
              <w:rPr>
                <w:rFonts w:eastAsia="Times New Roman"/>
                <w:b/>
                <w:bCs/>
                <w:lang w:val="en-GB"/>
              </w:rPr>
            </w:pPr>
            <w:r w:rsidRPr="00935D8E">
              <w:rPr>
                <w:rFonts w:eastAsia="Times New Roman"/>
                <w:b/>
                <w:bCs/>
                <w:lang w:val="en-GB"/>
              </w:rPr>
              <w:t>Sand (%)</w:t>
            </w:r>
          </w:p>
        </w:tc>
        <w:tc>
          <w:tcPr>
            <w:tcW w:w="393" w:type="pct"/>
            <w:tcBorders>
              <w:top w:val="single" w:sz="4" w:space="0" w:color="auto"/>
              <w:bottom w:val="single" w:sz="4" w:space="0" w:color="auto"/>
            </w:tcBorders>
            <w:shd w:val="clear" w:color="auto" w:fill="auto"/>
            <w:vAlign w:val="center"/>
          </w:tcPr>
          <w:p w:rsidR="003E31A6" w:rsidRPr="00935D8E" w:rsidRDefault="003E31A6" w:rsidP="00EC2A61">
            <w:pPr>
              <w:spacing w:before="0" w:after="0"/>
              <w:jc w:val="center"/>
              <w:rPr>
                <w:rFonts w:eastAsia="Times New Roman"/>
                <w:b/>
                <w:bCs/>
                <w:lang w:val="en-GB"/>
              </w:rPr>
            </w:pPr>
            <w:r w:rsidRPr="00935D8E">
              <w:rPr>
                <w:rFonts w:eastAsia="Times New Roman"/>
                <w:b/>
                <w:bCs/>
                <w:lang w:val="en-GB"/>
              </w:rPr>
              <w:t>Silt (%)</w:t>
            </w:r>
          </w:p>
        </w:tc>
        <w:tc>
          <w:tcPr>
            <w:tcW w:w="853" w:type="pct"/>
            <w:tcBorders>
              <w:top w:val="single" w:sz="4" w:space="0" w:color="auto"/>
              <w:bottom w:val="single" w:sz="4" w:space="0" w:color="auto"/>
            </w:tcBorders>
            <w:shd w:val="clear" w:color="auto" w:fill="auto"/>
            <w:vAlign w:val="center"/>
          </w:tcPr>
          <w:p w:rsidR="003E31A6" w:rsidRPr="00935D8E" w:rsidRDefault="003E31A6" w:rsidP="00EC2A61">
            <w:pPr>
              <w:spacing w:before="0" w:after="0"/>
              <w:jc w:val="center"/>
              <w:rPr>
                <w:rFonts w:eastAsia="Times New Roman"/>
                <w:b/>
                <w:bCs/>
                <w:lang w:val="en-GB"/>
              </w:rPr>
            </w:pPr>
            <w:r w:rsidRPr="00935D8E">
              <w:rPr>
                <w:rFonts w:eastAsia="Times New Roman"/>
                <w:b/>
                <w:bCs/>
                <w:lang w:val="en-GB"/>
              </w:rPr>
              <w:t>Clay (%)</w:t>
            </w:r>
          </w:p>
        </w:tc>
        <w:tc>
          <w:tcPr>
            <w:tcW w:w="1054" w:type="pct"/>
            <w:tcBorders>
              <w:top w:val="single" w:sz="4" w:space="0" w:color="auto"/>
              <w:bottom w:val="single" w:sz="4" w:space="0" w:color="auto"/>
            </w:tcBorders>
            <w:shd w:val="clear" w:color="auto" w:fill="auto"/>
            <w:vAlign w:val="center"/>
          </w:tcPr>
          <w:p w:rsidR="003E31A6" w:rsidRPr="00935D8E" w:rsidRDefault="003E31A6" w:rsidP="00EC2A61">
            <w:pPr>
              <w:spacing w:before="0" w:after="0"/>
              <w:jc w:val="center"/>
              <w:rPr>
                <w:rFonts w:eastAsia="Times New Roman"/>
                <w:b/>
                <w:bCs/>
                <w:lang w:val="en-GB"/>
              </w:rPr>
            </w:pPr>
            <w:r w:rsidRPr="00935D8E">
              <w:rPr>
                <w:rFonts w:eastAsia="Times New Roman"/>
                <w:b/>
                <w:bCs/>
                <w:lang w:val="en-GB"/>
              </w:rPr>
              <w:t>Soil texture</w:t>
            </w:r>
          </w:p>
        </w:tc>
      </w:tr>
      <w:tr w:rsidR="00456014" w:rsidRPr="00935D8E" w:rsidTr="00FB0F2F">
        <w:trPr>
          <w:trHeight w:val="19"/>
        </w:trPr>
        <w:tc>
          <w:tcPr>
            <w:tcW w:w="1209" w:type="pct"/>
            <w:tcBorders>
              <w:top w:val="single" w:sz="4" w:space="0" w:color="auto"/>
            </w:tcBorders>
            <w:shd w:val="clear" w:color="auto" w:fill="auto"/>
            <w:vAlign w:val="center"/>
          </w:tcPr>
          <w:p w:rsidR="003E31A6" w:rsidRPr="00935D8E" w:rsidRDefault="003E31A6" w:rsidP="00EC2A61">
            <w:pPr>
              <w:spacing w:before="0" w:after="0"/>
              <w:jc w:val="left"/>
              <w:rPr>
                <w:bCs/>
              </w:rPr>
            </w:pPr>
            <w:r w:rsidRPr="00935D8E">
              <w:rPr>
                <w:bCs/>
              </w:rPr>
              <w:t>Haplic Arenosol</w:t>
            </w:r>
          </w:p>
        </w:tc>
        <w:tc>
          <w:tcPr>
            <w:tcW w:w="450" w:type="pct"/>
            <w:tcBorders>
              <w:top w:val="single" w:sz="4" w:space="0" w:color="auto"/>
            </w:tcBorders>
            <w:shd w:val="clear" w:color="auto" w:fill="auto"/>
            <w:noWrap/>
            <w:vAlign w:val="center"/>
          </w:tcPr>
          <w:p w:rsidR="003E31A6" w:rsidRPr="00935D8E" w:rsidRDefault="003E31A6" w:rsidP="00EC2A61">
            <w:pPr>
              <w:spacing w:before="0" w:after="0"/>
              <w:jc w:val="center"/>
            </w:pPr>
            <w:r w:rsidRPr="00935D8E">
              <w:t>0.5</w:t>
            </w:r>
          </w:p>
        </w:tc>
        <w:tc>
          <w:tcPr>
            <w:tcW w:w="500" w:type="pct"/>
            <w:tcBorders>
              <w:top w:val="single" w:sz="4" w:space="0" w:color="auto"/>
            </w:tcBorders>
            <w:shd w:val="clear" w:color="auto" w:fill="auto"/>
            <w:vAlign w:val="center"/>
          </w:tcPr>
          <w:p w:rsidR="003E31A6" w:rsidRPr="00935D8E" w:rsidRDefault="003E31A6" w:rsidP="00EC2A61">
            <w:pPr>
              <w:spacing w:before="0" w:after="0"/>
              <w:jc w:val="center"/>
            </w:pPr>
            <w:r w:rsidRPr="00935D8E">
              <w:t>0.01</w:t>
            </w:r>
          </w:p>
        </w:tc>
        <w:tc>
          <w:tcPr>
            <w:tcW w:w="541" w:type="pct"/>
            <w:tcBorders>
              <w:top w:val="single" w:sz="4" w:space="0" w:color="auto"/>
            </w:tcBorders>
            <w:shd w:val="clear" w:color="auto" w:fill="auto"/>
            <w:vAlign w:val="center"/>
          </w:tcPr>
          <w:p w:rsidR="003E31A6" w:rsidRPr="00935D8E" w:rsidRDefault="003E31A6" w:rsidP="00EC2A61">
            <w:pPr>
              <w:spacing w:before="0" w:after="0"/>
              <w:jc w:val="center"/>
              <w:rPr>
                <w:rFonts w:eastAsia="Times New Roman"/>
              </w:rPr>
            </w:pPr>
            <w:r w:rsidRPr="00935D8E">
              <w:rPr>
                <w:rFonts w:eastAsia="Times New Roman"/>
              </w:rPr>
              <w:t>91.9</w:t>
            </w:r>
          </w:p>
        </w:tc>
        <w:tc>
          <w:tcPr>
            <w:tcW w:w="393" w:type="pct"/>
            <w:tcBorders>
              <w:top w:val="single" w:sz="4" w:space="0" w:color="auto"/>
            </w:tcBorders>
            <w:shd w:val="clear" w:color="auto" w:fill="auto"/>
            <w:vAlign w:val="center"/>
          </w:tcPr>
          <w:p w:rsidR="003E31A6" w:rsidRPr="00935D8E" w:rsidRDefault="003E31A6" w:rsidP="00EC2A61">
            <w:pPr>
              <w:spacing w:before="0" w:after="0"/>
              <w:jc w:val="center"/>
              <w:rPr>
                <w:rFonts w:eastAsia="Times New Roman"/>
              </w:rPr>
            </w:pPr>
            <w:r w:rsidRPr="00935D8E">
              <w:rPr>
                <w:rFonts w:eastAsia="Times New Roman"/>
              </w:rPr>
              <w:t>3.1</w:t>
            </w:r>
          </w:p>
        </w:tc>
        <w:tc>
          <w:tcPr>
            <w:tcW w:w="853" w:type="pct"/>
            <w:tcBorders>
              <w:top w:val="single" w:sz="4" w:space="0" w:color="auto"/>
            </w:tcBorders>
            <w:shd w:val="clear" w:color="auto" w:fill="auto"/>
            <w:vAlign w:val="center"/>
          </w:tcPr>
          <w:p w:rsidR="003E31A6" w:rsidRPr="00935D8E" w:rsidRDefault="003E31A6" w:rsidP="00EC2A61">
            <w:pPr>
              <w:spacing w:before="0" w:after="0"/>
              <w:jc w:val="center"/>
              <w:rPr>
                <w:rFonts w:eastAsia="Times New Roman"/>
              </w:rPr>
            </w:pPr>
            <w:r w:rsidRPr="00935D8E">
              <w:rPr>
                <w:rFonts w:eastAsia="Times New Roman"/>
              </w:rPr>
              <w:t>5</w:t>
            </w:r>
          </w:p>
        </w:tc>
        <w:tc>
          <w:tcPr>
            <w:tcW w:w="1054" w:type="pct"/>
            <w:tcBorders>
              <w:top w:val="single" w:sz="4" w:space="0" w:color="auto"/>
            </w:tcBorders>
            <w:shd w:val="clear" w:color="auto" w:fill="auto"/>
            <w:vAlign w:val="center"/>
          </w:tcPr>
          <w:p w:rsidR="003E31A6" w:rsidRPr="00935D8E" w:rsidRDefault="003E31A6" w:rsidP="00EC2A61">
            <w:pPr>
              <w:spacing w:before="0" w:after="0"/>
              <w:jc w:val="center"/>
              <w:rPr>
                <w:rFonts w:eastAsia="Times New Roman"/>
              </w:rPr>
            </w:pPr>
            <w:r w:rsidRPr="00935D8E">
              <w:rPr>
                <w:rFonts w:eastAsia="Times New Roman"/>
              </w:rPr>
              <w:t>Sand</w:t>
            </w:r>
          </w:p>
        </w:tc>
      </w:tr>
      <w:tr w:rsidR="00456014" w:rsidRPr="00935D8E" w:rsidTr="00FB0F2F">
        <w:trPr>
          <w:trHeight w:val="19"/>
        </w:trPr>
        <w:tc>
          <w:tcPr>
            <w:tcW w:w="1209" w:type="pct"/>
            <w:shd w:val="clear" w:color="auto" w:fill="auto"/>
            <w:vAlign w:val="center"/>
          </w:tcPr>
          <w:p w:rsidR="003E31A6" w:rsidRPr="00935D8E" w:rsidRDefault="003E31A6" w:rsidP="00EC2A61">
            <w:pPr>
              <w:spacing w:before="0" w:after="0"/>
              <w:jc w:val="left"/>
              <w:rPr>
                <w:bCs/>
              </w:rPr>
            </w:pPr>
            <w:r w:rsidRPr="00935D8E">
              <w:rPr>
                <w:bCs/>
              </w:rPr>
              <w:t>Calcaric Cambisol</w:t>
            </w:r>
          </w:p>
        </w:tc>
        <w:tc>
          <w:tcPr>
            <w:tcW w:w="450" w:type="pct"/>
            <w:shd w:val="clear" w:color="auto" w:fill="auto"/>
            <w:noWrap/>
            <w:vAlign w:val="center"/>
          </w:tcPr>
          <w:p w:rsidR="003E31A6" w:rsidRPr="00935D8E" w:rsidRDefault="003E31A6" w:rsidP="00EC2A61">
            <w:pPr>
              <w:spacing w:before="0" w:after="0"/>
              <w:jc w:val="center"/>
            </w:pPr>
            <w:r w:rsidRPr="00935D8E">
              <w:t>149.7</w:t>
            </w:r>
          </w:p>
        </w:tc>
        <w:tc>
          <w:tcPr>
            <w:tcW w:w="500" w:type="pct"/>
            <w:shd w:val="clear" w:color="auto" w:fill="auto"/>
            <w:vAlign w:val="center"/>
          </w:tcPr>
          <w:p w:rsidR="003E31A6" w:rsidRPr="00935D8E" w:rsidRDefault="003E31A6" w:rsidP="00EC2A61">
            <w:pPr>
              <w:spacing w:before="0" w:after="0"/>
              <w:jc w:val="center"/>
            </w:pPr>
            <w:r w:rsidRPr="00935D8E">
              <w:t>3.4</w:t>
            </w:r>
          </w:p>
        </w:tc>
        <w:tc>
          <w:tcPr>
            <w:tcW w:w="541" w:type="pct"/>
            <w:shd w:val="clear" w:color="auto" w:fill="auto"/>
            <w:vAlign w:val="center"/>
          </w:tcPr>
          <w:p w:rsidR="003E31A6" w:rsidRPr="00935D8E" w:rsidRDefault="003E31A6" w:rsidP="00EC2A61">
            <w:pPr>
              <w:spacing w:before="0" w:after="0"/>
              <w:jc w:val="center"/>
              <w:rPr>
                <w:rFonts w:eastAsia="Times New Roman"/>
              </w:rPr>
            </w:pPr>
            <w:r w:rsidRPr="00935D8E">
              <w:rPr>
                <w:rFonts w:eastAsia="Times New Roman"/>
              </w:rPr>
              <w:t>60.4</w:t>
            </w:r>
          </w:p>
        </w:tc>
        <w:tc>
          <w:tcPr>
            <w:tcW w:w="393" w:type="pct"/>
            <w:shd w:val="clear" w:color="auto" w:fill="auto"/>
            <w:vAlign w:val="center"/>
          </w:tcPr>
          <w:p w:rsidR="003E31A6" w:rsidRPr="00935D8E" w:rsidRDefault="003E31A6" w:rsidP="00EC2A61">
            <w:pPr>
              <w:spacing w:before="0" w:after="0"/>
              <w:jc w:val="center"/>
              <w:rPr>
                <w:rFonts w:eastAsia="Times New Roman"/>
              </w:rPr>
            </w:pPr>
            <w:r w:rsidRPr="00935D8E">
              <w:rPr>
                <w:rFonts w:eastAsia="Times New Roman"/>
              </w:rPr>
              <w:t>17.1</w:t>
            </w:r>
          </w:p>
        </w:tc>
        <w:tc>
          <w:tcPr>
            <w:tcW w:w="853" w:type="pct"/>
            <w:shd w:val="clear" w:color="auto" w:fill="auto"/>
            <w:vAlign w:val="center"/>
          </w:tcPr>
          <w:p w:rsidR="003E31A6" w:rsidRPr="00935D8E" w:rsidRDefault="003E31A6" w:rsidP="00EC2A61">
            <w:pPr>
              <w:spacing w:before="0" w:after="0"/>
              <w:jc w:val="center"/>
              <w:rPr>
                <w:rFonts w:eastAsia="Times New Roman"/>
              </w:rPr>
            </w:pPr>
            <w:r w:rsidRPr="00935D8E">
              <w:rPr>
                <w:rFonts w:eastAsia="Times New Roman"/>
              </w:rPr>
              <w:t>22.5</w:t>
            </w:r>
          </w:p>
        </w:tc>
        <w:tc>
          <w:tcPr>
            <w:tcW w:w="1054" w:type="pct"/>
            <w:shd w:val="clear" w:color="auto" w:fill="auto"/>
            <w:vAlign w:val="center"/>
          </w:tcPr>
          <w:p w:rsidR="003E31A6" w:rsidRPr="00935D8E" w:rsidRDefault="003E31A6" w:rsidP="00EC2A61">
            <w:pPr>
              <w:spacing w:before="0" w:after="0"/>
              <w:jc w:val="center"/>
              <w:rPr>
                <w:rFonts w:eastAsia="Times New Roman"/>
              </w:rPr>
            </w:pPr>
            <w:r w:rsidRPr="00935D8E">
              <w:rPr>
                <w:rFonts w:eastAsia="Times New Roman"/>
              </w:rPr>
              <w:t>Sandy clay loam</w:t>
            </w:r>
          </w:p>
        </w:tc>
      </w:tr>
      <w:tr w:rsidR="00456014" w:rsidRPr="00935D8E" w:rsidTr="00FB0F2F">
        <w:trPr>
          <w:trHeight w:val="19"/>
        </w:trPr>
        <w:tc>
          <w:tcPr>
            <w:tcW w:w="1209" w:type="pct"/>
            <w:shd w:val="clear" w:color="auto" w:fill="auto"/>
            <w:vAlign w:val="center"/>
          </w:tcPr>
          <w:p w:rsidR="003E31A6" w:rsidRPr="00935D8E" w:rsidRDefault="003E31A6" w:rsidP="00EC2A61">
            <w:pPr>
              <w:spacing w:before="0" w:after="0"/>
              <w:jc w:val="left"/>
              <w:rPr>
                <w:bCs/>
              </w:rPr>
            </w:pPr>
            <w:r w:rsidRPr="00935D8E">
              <w:rPr>
                <w:bCs/>
              </w:rPr>
              <w:t>Dystric Cambisol</w:t>
            </w:r>
          </w:p>
        </w:tc>
        <w:tc>
          <w:tcPr>
            <w:tcW w:w="450" w:type="pct"/>
            <w:shd w:val="clear" w:color="auto" w:fill="auto"/>
            <w:noWrap/>
            <w:vAlign w:val="center"/>
          </w:tcPr>
          <w:p w:rsidR="003E31A6" w:rsidRPr="00935D8E" w:rsidRDefault="003E31A6" w:rsidP="00EC2A61">
            <w:pPr>
              <w:spacing w:before="0" w:after="0"/>
              <w:jc w:val="center"/>
            </w:pPr>
            <w:r w:rsidRPr="00935D8E">
              <w:t>559.8</w:t>
            </w:r>
          </w:p>
        </w:tc>
        <w:tc>
          <w:tcPr>
            <w:tcW w:w="500" w:type="pct"/>
            <w:shd w:val="clear" w:color="auto" w:fill="auto"/>
            <w:vAlign w:val="center"/>
          </w:tcPr>
          <w:p w:rsidR="003E31A6" w:rsidRPr="00935D8E" w:rsidRDefault="003E31A6" w:rsidP="00EC2A61">
            <w:pPr>
              <w:spacing w:before="0" w:after="0"/>
              <w:jc w:val="center"/>
            </w:pPr>
            <w:r w:rsidRPr="00935D8E">
              <w:t>12.7</w:t>
            </w:r>
          </w:p>
        </w:tc>
        <w:tc>
          <w:tcPr>
            <w:tcW w:w="541" w:type="pct"/>
            <w:shd w:val="clear" w:color="auto" w:fill="auto"/>
            <w:vAlign w:val="center"/>
          </w:tcPr>
          <w:p w:rsidR="003E31A6" w:rsidRPr="00935D8E" w:rsidRDefault="003E31A6" w:rsidP="00EC2A61">
            <w:pPr>
              <w:spacing w:before="0" w:after="0"/>
              <w:jc w:val="center"/>
              <w:rPr>
                <w:rFonts w:eastAsia="Times New Roman"/>
              </w:rPr>
            </w:pPr>
            <w:r w:rsidRPr="00935D8E">
              <w:rPr>
                <w:rFonts w:eastAsia="Times New Roman"/>
              </w:rPr>
              <w:t>32.7</w:t>
            </w:r>
          </w:p>
        </w:tc>
        <w:tc>
          <w:tcPr>
            <w:tcW w:w="393" w:type="pct"/>
            <w:shd w:val="clear" w:color="auto" w:fill="auto"/>
            <w:vAlign w:val="center"/>
          </w:tcPr>
          <w:p w:rsidR="003E31A6" w:rsidRPr="00935D8E" w:rsidRDefault="003E31A6" w:rsidP="00EC2A61">
            <w:pPr>
              <w:spacing w:before="0" w:after="0"/>
              <w:jc w:val="center"/>
              <w:rPr>
                <w:rFonts w:eastAsia="Times New Roman"/>
              </w:rPr>
            </w:pPr>
            <w:r w:rsidRPr="00935D8E">
              <w:rPr>
                <w:rFonts w:eastAsia="Times New Roman"/>
              </w:rPr>
              <w:t>30.2</w:t>
            </w:r>
          </w:p>
        </w:tc>
        <w:tc>
          <w:tcPr>
            <w:tcW w:w="853" w:type="pct"/>
            <w:shd w:val="clear" w:color="auto" w:fill="auto"/>
            <w:vAlign w:val="center"/>
          </w:tcPr>
          <w:p w:rsidR="003E31A6" w:rsidRPr="00935D8E" w:rsidRDefault="003E31A6" w:rsidP="00EC2A61">
            <w:pPr>
              <w:spacing w:before="0" w:after="0"/>
              <w:jc w:val="center"/>
              <w:rPr>
                <w:rFonts w:eastAsia="Times New Roman"/>
              </w:rPr>
            </w:pPr>
            <w:r w:rsidRPr="00935D8E">
              <w:rPr>
                <w:rFonts w:eastAsia="Times New Roman"/>
              </w:rPr>
              <w:t>37.1</w:t>
            </w:r>
          </w:p>
        </w:tc>
        <w:tc>
          <w:tcPr>
            <w:tcW w:w="1054" w:type="pct"/>
            <w:shd w:val="clear" w:color="auto" w:fill="auto"/>
            <w:vAlign w:val="center"/>
          </w:tcPr>
          <w:p w:rsidR="003E31A6" w:rsidRPr="00935D8E" w:rsidRDefault="003E31A6" w:rsidP="00EC2A61">
            <w:pPr>
              <w:spacing w:before="0" w:after="0"/>
              <w:jc w:val="center"/>
              <w:rPr>
                <w:rFonts w:eastAsia="Times New Roman"/>
              </w:rPr>
            </w:pPr>
            <w:r w:rsidRPr="00935D8E">
              <w:rPr>
                <w:rFonts w:eastAsia="Times New Roman"/>
              </w:rPr>
              <w:t>Clay loam</w:t>
            </w:r>
          </w:p>
        </w:tc>
      </w:tr>
      <w:tr w:rsidR="00456014" w:rsidRPr="00935D8E" w:rsidTr="00FB0F2F">
        <w:trPr>
          <w:trHeight w:val="19"/>
        </w:trPr>
        <w:tc>
          <w:tcPr>
            <w:tcW w:w="1209" w:type="pct"/>
            <w:shd w:val="clear" w:color="auto" w:fill="auto"/>
            <w:vAlign w:val="center"/>
          </w:tcPr>
          <w:p w:rsidR="003E31A6" w:rsidRPr="00935D8E" w:rsidRDefault="003E31A6" w:rsidP="00EC2A61">
            <w:pPr>
              <w:spacing w:before="0" w:after="0"/>
              <w:jc w:val="left"/>
              <w:rPr>
                <w:bCs/>
              </w:rPr>
            </w:pPr>
            <w:r w:rsidRPr="00935D8E">
              <w:rPr>
                <w:bCs/>
              </w:rPr>
              <w:t>Eutric Cambisol</w:t>
            </w:r>
          </w:p>
        </w:tc>
        <w:tc>
          <w:tcPr>
            <w:tcW w:w="450" w:type="pct"/>
            <w:shd w:val="clear" w:color="auto" w:fill="auto"/>
            <w:noWrap/>
            <w:vAlign w:val="center"/>
          </w:tcPr>
          <w:p w:rsidR="003E31A6" w:rsidRPr="00935D8E" w:rsidRDefault="003E31A6" w:rsidP="00EC2A61">
            <w:pPr>
              <w:spacing w:before="0" w:after="0"/>
              <w:jc w:val="center"/>
            </w:pPr>
            <w:r w:rsidRPr="00935D8E">
              <w:t>228.8</w:t>
            </w:r>
          </w:p>
        </w:tc>
        <w:tc>
          <w:tcPr>
            <w:tcW w:w="500" w:type="pct"/>
            <w:shd w:val="clear" w:color="auto" w:fill="auto"/>
            <w:vAlign w:val="center"/>
          </w:tcPr>
          <w:p w:rsidR="003E31A6" w:rsidRPr="00935D8E" w:rsidRDefault="003E31A6" w:rsidP="00EC2A61">
            <w:pPr>
              <w:spacing w:before="0" w:after="0"/>
              <w:jc w:val="center"/>
            </w:pPr>
            <w:r w:rsidRPr="00935D8E">
              <w:t>5.2</w:t>
            </w:r>
          </w:p>
        </w:tc>
        <w:tc>
          <w:tcPr>
            <w:tcW w:w="541" w:type="pct"/>
            <w:shd w:val="clear" w:color="auto" w:fill="auto"/>
            <w:vAlign w:val="center"/>
          </w:tcPr>
          <w:p w:rsidR="003E31A6" w:rsidRPr="00935D8E" w:rsidRDefault="003E31A6" w:rsidP="00EC2A61">
            <w:pPr>
              <w:spacing w:before="0" w:after="0"/>
              <w:jc w:val="center"/>
              <w:rPr>
                <w:rFonts w:eastAsia="Times New Roman"/>
              </w:rPr>
            </w:pPr>
            <w:r w:rsidRPr="00935D8E">
              <w:rPr>
                <w:rFonts w:eastAsia="Times New Roman"/>
              </w:rPr>
              <w:t>36.4</w:t>
            </w:r>
          </w:p>
        </w:tc>
        <w:tc>
          <w:tcPr>
            <w:tcW w:w="393" w:type="pct"/>
            <w:shd w:val="clear" w:color="auto" w:fill="auto"/>
            <w:vAlign w:val="center"/>
          </w:tcPr>
          <w:p w:rsidR="003E31A6" w:rsidRPr="00935D8E" w:rsidRDefault="003E31A6" w:rsidP="00EC2A61">
            <w:pPr>
              <w:spacing w:before="0" w:after="0"/>
              <w:jc w:val="center"/>
              <w:rPr>
                <w:rFonts w:eastAsia="Times New Roman"/>
              </w:rPr>
            </w:pPr>
            <w:r w:rsidRPr="00935D8E">
              <w:rPr>
                <w:rFonts w:eastAsia="Times New Roman"/>
              </w:rPr>
              <w:t>37.2</w:t>
            </w:r>
          </w:p>
        </w:tc>
        <w:tc>
          <w:tcPr>
            <w:tcW w:w="853" w:type="pct"/>
            <w:shd w:val="clear" w:color="auto" w:fill="auto"/>
            <w:vAlign w:val="center"/>
          </w:tcPr>
          <w:p w:rsidR="003E31A6" w:rsidRPr="00935D8E" w:rsidRDefault="003E31A6" w:rsidP="00EC2A61">
            <w:pPr>
              <w:spacing w:before="0" w:after="0"/>
              <w:jc w:val="center"/>
              <w:rPr>
                <w:rFonts w:eastAsia="Times New Roman"/>
              </w:rPr>
            </w:pPr>
            <w:r w:rsidRPr="00935D8E">
              <w:rPr>
                <w:rFonts w:eastAsia="Times New Roman"/>
              </w:rPr>
              <w:t>26.4</w:t>
            </w:r>
          </w:p>
        </w:tc>
        <w:tc>
          <w:tcPr>
            <w:tcW w:w="1054" w:type="pct"/>
            <w:shd w:val="clear" w:color="auto" w:fill="auto"/>
            <w:vAlign w:val="center"/>
          </w:tcPr>
          <w:p w:rsidR="003E31A6" w:rsidRPr="00935D8E" w:rsidRDefault="003E31A6" w:rsidP="00EC2A61">
            <w:pPr>
              <w:spacing w:before="0" w:after="0"/>
              <w:jc w:val="center"/>
              <w:rPr>
                <w:rFonts w:eastAsia="Times New Roman"/>
              </w:rPr>
            </w:pPr>
            <w:r w:rsidRPr="00935D8E">
              <w:rPr>
                <w:rFonts w:eastAsia="Times New Roman"/>
              </w:rPr>
              <w:t>Loam</w:t>
            </w:r>
          </w:p>
        </w:tc>
      </w:tr>
      <w:tr w:rsidR="00456014" w:rsidRPr="00935D8E" w:rsidTr="00FB0F2F">
        <w:trPr>
          <w:trHeight w:val="19"/>
        </w:trPr>
        <w:tc>
          <w:tcPr>
            <w:tcW w:w="1209" w:type="pct"/>
            <w:shd w:val="clear" w:color="auto" w:fill="auto"/>
            <w:vAlign w:val="center"/>
          </w:tcPr>
          <w:p w:rsidR="003E31A6" w:rsidRPr="00935D8E" w:rsidRDefault="003E31A6" w:rsidP="00EC2A61">
            <w:pPr>
              <w:spacing w:before="0" w:after="0"/>
              <w:jc w:val="left"/>
              <w:rPr>
                <w:bCs/>
              </w:rPr>
            </w:pPr>
            <w:r w:rsidRPr="00935D8E">
              <w:rPr>
                <w:bCs/>
              </w:rPr>
              <w:t>Chromic Cambisol</w:t>
            </w:r>
          </w:p>
        </w:tc>
        <w:tc>
          <w:tcPr>
            <w:tcW w:w="450" w:type="pct"/>
            <w:shd w:val="clear" w:color="auto" w:fill="auto"/>
            <w:noWrap/>
            <w:vAlign w:val="center"/>
          </w:tcPr>
          <w:p w:rsidR="003E31A6" w:rsidRPr="00935D8E" w:rsidRDefault="003E31A6" w:rsidP="00EC2A61">
            <w:pPr>
              <w:spacing w:before="0" w:after="0"/>
              <w:jc w:val="center"/>
            </w:pPr>
            <w:r w:rsidRPr="00935D8E">
              <w:t>426.8</w:t>
            </w:r>
          </w:p>
        </w:tc>
        <w:tc>
          <w:tcPr>
            <w:tcW w:w="500" w:type="pct"/>
            <w:shd w:val="clear" w:color="auto" w:fill="auto"/>
            <w:vAlign w:val="center"/>
          </w:tcPr>
          <w:p w:rsidR="003E31A6" w:rsidRPr="00935D8E" w:rsidRDefault="003E31A6" w:rsidP="00EC2A61">
            <w:pPr>
              <w:spacing w:before="0" w:after="0"/>
              <w:jc w:val="center"/>
            </w:pPr>
            <w:r w:rsidRPr="00935D8E">
              <w:t>9.7</w:t>
            </w:r>
          </w:p>
        </w:tc>
        <w:tc>
          <w:tcPr>
            <w:tcW w:w="541" w:type="pct"/>
            <w:shd w:val="clear" w:color="auto" w:fill="auto"/>
            <w:vAlign w:val="center"/>
          </w:tcPr>
          <w:p w:rsidR="003E31A6" w:rsidRPr="00935D8E" w:rsidRDefault="003E31A6" w:rsidP="00EC2A61">
            <w:pPr>
              <w:spacing w:before="0" w:after="0"/>
              <w:jc w:val="center"/>
              <w:rPr>
                <w:rFonts w:eastAsia="Times New Roman"/>
              </w:rPr>
            </w:pPr>
            <w:r w:rsidRPr="00935D8E">
              <w:rPr>
                <w:rFonts w:eastAsia="Times New Roman"/>
              </w:rPr>
              <w:t>40.1</w:t>
            </w:r>
          </w:p>
        </w:tc>
        <w:tc>
          <w:tcPr>
            <w:tcW w:w="393" w:type="pct"/>
            <w:shd w:val="clear" w:color="auto" w:fill="auto"/>
            <w:vAlign w:val="center"/>
          </w:tcPr>
          <w:p w:rsidR="003E31A6" w:rsidRPr="00935D8E" w:rsidRDefault="003E31A6" w:rsidP="00EC2A61">
            <w:pPr>
              <w:spacing w:before="0" w:after="0"/>
              <w:jc w:val="center"/>
              <w:rPr>
                <w:rFonts w:eastAsia="Times New Roman"/>
              </w:rPr>
            </w:pPr>
            <w:r w:rsidRPr="00935D8E">
              <w:rPr>
                <w:rFonts w:eastAsia="Times New Roman"/>
              </w:rPr>
              <w:t>21.5</w:t>
            </w:r>
          </w:p>
        </w:tc>
        <w:tc>
          <w:tcPr>
            <w:tcW w:w="853" w:type="pct"/>
            <w:shd w:val="clear" w:color="auto" w:fill="auto"/>
            <w:vAlign w:val="center"/>
          </w:tcPr>
          <w:p w:rsidR="003E31A6" w:rsidRPr="00935D8E" w:rsidRDefault="003E31A6" w:rsidP="00EC2A61">
            <w:pPr>
              <w:spacing w:before="0" w:after="0"/>
              <w:jc w:val="center"/>
              <w:rPr>
                <w:rFonts w:eastAsia="Times New Roman"/>
              </w:rPr>
            </w:pPr>
            <w:r w:rsidRPr="00935D8E">
              <w:rPr>
                <w:rFonts w:eastAsia="Times New Roman"/>
              </w:rPr>
              <w:t>38.4</w:t>
            </w:r>
          </w:p>
        </w:tc>
        <w:tc>
          <w:tcPr>
            <w:tcW w:w="1054" w:type="pct"/>
            <w:shd w:val="clear" w:color="auto" w:fill="auto"/>
            <w:vAlign w:val="center"/>
          </w:tcPr>
          <w:p w:rsidR="003E31A6" w:rsidRPr="00935D8E" w:rsidRDefault="003E31A6" w:rsidP="00EC2A61">
            <w:pPr>
              <w:spacing w:before="0" w:after="0"/>
              <w:jc w:val="center"/>
              <w:rPr>
                <w:rFonts w:eastAsia="Times New Roman"/>
              </w:rPr>
            </w:pPr>
            <w:r w:rsidRPr="00935D8E">
              <w:rPr>
                <w:rFonts w:eastAsia="Times New Roman"/>
              </w:rPr>
              <w:t>Clay loam</w:t>
            </w:r>
          </w:p>
        </w:tc>
      </w:tr>
      <w:tr w:rsidR="00456014" w:rsidRPr="00935D8E" w:rsidTr="00FB0F2F">
        <w:trPr>
          <w:trHeight w:val="19"/>
        </w:trPr>
        <w:tc>
          <w:tcPr>
            <w:tcW w:w="1209" w:type="pct"/>
            <w:shd w:val="clear" w:color="auto" w:fill="auto"/>
            <w:vAlign w:val="center"/>
          </w:tcPr>
          <w:p w:rsidR="003E31A6" w:rsidRPr="00935D8E" w:rsidRDefault="003E31A6" w:rsidP="00EC2A61">
            <w:pPr>
              <w:spacing w:before="0" w:after="0"/>
              <w:jc w:val="left"/>
              <w:rPr>
                <w:bCs/>
              </w:rPr>
            </w:pPr>
            <w:r w:rsidRPr="00935D8E">
              <w:rPr>
                <w:bCs/>
              </w:rPr>
              <w:t>Leptosol</w:t>
            </w:r>
          </w:p>
        </w:tc>
        <w:tc>
          <w:tcPr>
            <w:tcW w:w="450" w:type="pct"/>
            <w:shd w:val="clear" w:color="auto" w:fill="auto"/>
            <w:noWrap/>
            <w:vAlign w:val="center"/>
          </w:tcPr>
          <w:p w:rsidR="003E31A6" w:rsidRPr="00935D8E" w:rsidRDefault="003E31A6" w:rsidP="00EC2A61">
            <w:pPr>
              <w:spacing w:before="0" w:after="0"/>
              <w:jc w:val="center"/>
            </w:pPr>
            <w:r w:rsidRPr="00935D8E">
              <w:t>338.3</w:t>
            </w:r>
          </w:p>
        </w:tc>
        <w:tc>
          <w:tcPr>
            <w:tcW w:w="500" w:type="pct"/>
            <w:shd w:val="clear" w:color="auto" w:fill="auto"/>
            <w:vAlign w:val="center"/>
          </w:tcPr>
          <w:p w:rsidR="003E31A6" w:rsidRPr="00935D8E" w:rsidRDefault="003E31A6" w:rsidP="00EC2A61">
            <w:pPr>
              <w:spacing w:before="0" w:after="0"/>
              <w:jc w:val="center"/>
            </w:pPr>
            <w:r w:rsidRPr="00935D8E">
              <w:t>7.7</w:t>
            </w:r>
          </w:p>
        </w:tc>
        <w:tc>
          <w:tcPr>
            <w:tcW w:w="541" w:type="pct"/>
            <w:shd w:val="clear" w:color="auto" w:fill="auto"/>
            <w:vAlign w:val="center"/>
          </w:tcPr>
          <w:p w:rsidR="003E31A6" w:rsidRPr="00935D8E" w:rsidRDefault="003E31A6" w:rsidP="00EC2A61">
            <w:pPr>
              <w:spacing w:before="0" w:after="0"/>
              <w:jc w:val="center"/>
              <w:rPr>
                <w:rFonts w:eastAsia="Times New Roman"/>
              </w:rPr>
            </w:pPr>
            <w:r w:rsidRPr="00935D8E">
              <w:rPr>
                <w:rFonts w:eastAsia="Times New Roman"/>
              </w:rPr>
              <w:t>57.7</w:t>
            </w:r>
          </w:p>
        </w:tc>
        <w:tc>
          <w:tcPr>
            <w:tcW w:w="393" w:type="pct"/>
            <w:shd w:val="clear" w:color="auto" w:fill="auto"/>
            <w:vAlign w:val="center"/>
          </w:tcPr>
          <w:p w:rsidR="003E31A6" w:rsidRPr="00935D8E" w:rsidRDefault="003E31A6" w:rsidP="00EC2A61">
            <w:pPr>
              <w:spacing w:before="0" w:after="0"/>
              <w:jc w:val="center"/>
              <w:rPr>
                <w:rFonts w:eastAsia="Times New Roman"/>
              </w:rPr>
            </w:pPr>
            <w:r w:rsidRPr="00935D8E">
              <w:rPr>
                <w:rFonts w:eastAsia="Times New Roman"/>
              </w:rPr>
              <w:t>5.8</w:t>
            </w:r>
          </w:p>
        </w:tc>
        <w:tc>
          <w:tcPr>
            <w:tcW w:w="853" w:type="pct"/>
            <w:shd w:val="clear" w:color="auto" w:fill="auto"/>
            <w:vAlign w:val="center"/>
          </w:tcPr>
          <w:p w:rsidR="003E31A6" w:rsidRPr="00935D8E" w:rsidRDefault="003E31A6" w:rsidP="00EC2A61">
            <w:pPr>
              <w:spacing w:before="0" w:after="0"/>
              <w:jc w:val="center"/>
              <w:rPr>
                <w:rFonts w:eastAsia="Times New Roman"/>
              </w:rPr>
            </w:pPr>
            <w:r w:rsidRPr="00935D8E">
              <w:rPr>
                <w:rFonts w:eastAsia="Times New Roman"/>
              </w:rPr>
              <w:t>36.5</w:t>
            </w:r>
          </w:p>
        </w:tc>
        <w:tc>
          <w:tcPr>
            <w:tcW w:w="1054" w:type="pct"/>
            <w:shd w:val="clear" w:color="auto" w:fill="auto"/>
            <w:vAlign w:val="center"/>
          </w:tcPr>
          <w:p w:rsidR="003E31A6" w:rsidRPr="00935D8E" w:rsidRDefault="003E31A6" w:rsidP="00EC2A61">
            <w:pPr>
              <w:spacing w:before="0" w:after="0"/>
              <w:jc w:val="center"/>
              <w:rPr>
                <w:rFonts w:eastAsia="Times New Roman"/>
              </w:rPr>
            </w:pPr>
            <w:r w:rsidRPr="00935D8E">
              <w:rPr>
                <w:rFonts w:eastAsia="Times New Roman"/>
              </w:rPr>
              <w:t>Sandy clay</w:t>
            </w:r>
          </w:p>
        </w:tc>
      </w:tr>
      <w:tr w:rsidR="00456014" w:rsidRPr="00935D8E" w:rsidTr="00FB0F2F">
        <w:trPr>
          <w:trHeight w:val="19"/>
        </w:trPr>
        <w:tc>
          <w:tcPr>
            <w:tcW w:w="1209" w:type="pct"/>
            <w:shd w:val="clear" w:color="auto" w:fill="auto"/>
            <w:vAlign w:val="center"/>
          </w:tcPr>
          <w:p w:rsidR="003E31A6" w:rsidRPr="00935D8E" w:rsidRDefault="003E31A6" w:rsidP="00EC2A61">
            <w:pPr>
              <w:spacing w:before="0" w:after="0"/>
              <w:jc w:val="left"/>
              <w:rPr>
                <w:bCs/>
              </w:rPr>
            </w:pPr>
            <w:r w:rsidRPr="00935D8E">
              <w:rPr>
                <w:bCs/>
              </w:rPr>
              <w:t>Haplic Luvisol</w:t>
            </w:r>
          </w:p>
        </w:tc>
        <w:tc>
          <w:tcPr>
            <w:tcW w:w="450" w:type="pct"/>
            <w:shd w:val="clear" w:color="auto" w:fill="auto"/>
            <w:noWrap/>
            <w:vAlign w:val="center"/>
          </w:tcPr>
          <w:p w:rsidR="003E31A6" w:rsidRPr="00935D8E" w:rsidRDefault="003E31A6" w:rsidP="00EC2A61">
            <w:pPr>
              <w:spacing w:before="0" w:after="0"/>
              <w:jc w:val="center"/>
            </w:pPr>
            <w:r w:rsidRPr="00935D8E">
              <w:t>764.0</w:t>
            </w:r>
          </w:p>
        </w:tc>
        <w:tc>
          <w:tcPr>
            <w:tcW w:w="500" w:type="pct"/>
            <w:shd w:val="clear" w:color="auto" w:fill="auto"/>
            <w:vAlign w:val="center"/>
          </w:tcPr>
          <w:p w:rsidR="003E31A6" w:rsidRPr="00935D8E" w:rsidRDefault="003E31A6" w:rsidP="00EC2A61">
            <w:pPr>
              <w:spacing w:before="0" w:after="0"/>
              <w:jc w:val="center"/>
            </w:pPr>
            <w:r w:rsidRPr="00935D8E">
              <w:t>17.3</w:t>
            </w:r>
          </w:p>
        </w:tc>
        <w:tc>
          <w:tcPr>
            <w:tcW w:w="541" w:type="pct"/>
            <w:shd w:val="clear" w:color="auto" w:fill="auto"/>
            <w:vAlign w:val="center"/>
          </w:tcPr>
          <w:p w:rsidR="003E31A6" w:rsidRPr="00935D8E" w:rsidRDefault="003E31A6" w:rsidP="00EC2A61">
            <w:pPr>
              <w:spacing w:before="0" w:after="0"/>
              <w:jc w:val="center"/>
              <w:rPr>
                <w:rFonts w:eastAsia="Times New Roman"/>
              </w:rPr>
            </w:pPr>
            <w:r w:rsidRPr="00935D8E">
              <w:rPr>
                <w:rFonts w:eastAsia="Times New Roman"/>
              </w:rPr>
              <w:t>70.4</w:t>
            </w:r>
          </w:p>
        </w:tc>
        <w:tc>
          <w:tcPr>
            <w:tcW w:w="393" w:type="pct"/>
            <w:shd w:val="clear" w:color="auto" w:fill="auto"/>
            <w:vAlign w:val="center"/>
          </w:tcPr>
          <w:p w:rsidR="003E31A6" w:rsidRPr="00935D8E" w:rsidRDefault="003E31A6" w:rsidP="00EC2A61">
            <w:pPr>
              <w:spacing w:before="0" w:after="0"/>
              <w:jc w:val="center"/>
              <w:rPr>
                <w:rFonts w:eastAsia="Times New Roman"/>
              </w:rPr>
            </w:pPr>
            <w:r w:rsidRPr="00935D8E">
              <w:rPr>
                <w:rFonts w:eastAsia="Times New Roman"/>
              </w:rPr>
              <w:t>10.3</w:t>
            </w:r>
          </w:p>
        </w:tc>
        <w:tc>
          <w:tcPr>
            <w:tcW w:w="853" w:type="pct"/>
            <w:shd w:val="clear" w:color="auto" w:fill="auto"/>
            <w:vAlign w:val="center"/>
          </w:tcPr>
          <w:p w:rsidR="003E31A6" w:rsidRPr="00935D8E" w:rsidRDefault="003E31A6" w:rsidP="00EC2A61">
            <w:pPr>
              <w:spacing w:before="0" w:after="0"/>
              <w:jc w:val="center"/>
              <w:rPr>
                <w:rFonts w:eastAsia="Times New Roman"/>
              </w:rPr>
            </w:pPr>
            <w:r w:rsidRPr="00935D8E">
              <w:rPr>
                <w:rFonts w:eastAsia="Times New Roman"/>
              </w:rPr>
              <w:t>19.3</w:t>
            </w:r>
          </w:p>
        </w:tc>
        <w:tc>
          <w:tcPr>
            <w:tcW w:w="1054" w:type="pct"/>
            <w:shd w:val="clear" w:color="auto" w:fill="auto"/>
            <w:vAlign w:val="center"/>
          </w:tcPr>
          <w:p w:rsidR="003E31A6" w:rsidRPr="00935D8E" w:rsidRDefault="003E31A6" w:rsidP="00EC2A61">
            <w:pPr>
              <w:spacing w:before="0" w:after="0"/>
              <w:jc w:val="center"/>
              <w:rPr>
                <w:rFonts w:eastAsia="Times New Roman"/>
              </w:rPr>
            </w:pPr>
            <w:r w:rsidRPr="00935D8E">
              <w:rPr>
                <w:rFonts w:eastAsia="Times New Roman"/>
              </w:rPr>
              <w:t>Sandy loam</w:t>
            </w:r>
          </w:p>
        </w:tc>
      </w:tr>
      <w:tr w:rsidR="00456014" w:rsidRPr="00935D8E" w:rsidTr="00FB0F2F">
        <w:trPr>
          <w:trHeight w:val="19"/>
        </w:trPr>
        <w:tc>
          <w:tcPr>
            <w:tcW w:w="1209" w:type="pct"/>
            <w:shd w:val="clear" w:color="auto" w:fill="auto"/>
            <w:vAlign w:val="center"/>
          </w:tcPr>
          <w:p w:rsidR="003E31A6" w:rsidRPr="00935D8E" w:rsidRDefault="003E31A6" w:rsidP="00EC2A61">
            <w:pPr>
              <w:spacing w:before="0" w:after="0"/>
              <w:jc w:val="left"/>
              <w:rPr>
                <w:bCs/>
              </w:rPr>
            </w:pPr>
            <w:r w:rsidRPr="00935D8E">
              <w:rPr>
                <w:bCs/>
              </w:rPr>
              <w:t>Vertic Luvisol</w:t>
            </w:r>
          </w:p>
        </w:tc>
        <w:tc>
          <w:tcPr>
            <w:tcW w:w="450" w:type="pct"/>
            <w:shd w:val="clear" w:color="auto" w:fill="auto"/>
            <w:noWrap/>
            <w:vAlign w:val="center"/>
          </w:tcPr>
          <w:p w:rsidR="003E31A6" w:rsidRPr="00935D8E" w:rsidRDefault="003E31A6" w:rsidP="00EC2A61">
            <w:pPr>
              <w:spacing w:before="0" w:after="0"/>
              <w:jc w:val="center"/>
            </w:pPr>
            <w:r w:rsidRPr="00935D8E">
              <w:t>463.3</w:t>
            </w:r>
          </w:p>
        </w:tc>
        <w:tc>
          <w:tcPr>
            <w:tcW w:w="500" w:type="pct"/>
            <w:shd w:val="clear" w:color="auto" w:fill="auto"/>
            <w:vAlign w:val="center"/>
          </w:tcPr>
          <w:p w:rsidR="003E31A6" w:rsidRPr="00935D8E" w:rsidRDefault="003E31A6" w:rsidP="00EC2A61">
            <w:pPr>
              <w:spacing w:before="0" w:after="0"/>
              <w:jc w:val="center"/>
            </w:pPr>
            <w:r w:rsidRPr="00935D8E">
              <w:t>10.5</w:t>
            </w:r>
          </w:p>
        </w:tc>
        <w:tc>
          <w:tcPr>
            <w:tcW w:w="541" w:type="pct"/>
            <w:shd w:val="clear" w:color="auto" w:fill="auto"/>
            <w:vAlign w:val="center"/>
          </w:tcPr>
          <w:p w:rsidR="003E31A6" w:rsidRPr="00935D8E" w:rsidRDefault="003E31A6" w:rsidP="00EC2A61">
            <w:pPr>
              <w:spacing w:before="0" w:after="0"/>
              <w:jc w:val="center"/>
              <w:rPr>
                <w:rFonts w:eastAsia="Times New Roman"/>
              </w:rPr>
            </w:pPr>
            <w:r w:rsidRPr="00935D8E">
              <w:rPr>
                <w:rFonts w:eastAsia="Times New Roman"/>
              </w:rPr>
              <w:t>26.1</w:t>
            </w:r>
          </w:p>
        </w:tc>
        <w:tc>
          <w:tcPr>
            <w:tcW w:w="393" w:type="pct"/>
            <w:shd w:val="clear" w:color="auto" w:fill="auto"/>
            <w:vAlign w:val="center"/>
          </w:tcPr>
          <w:p w:rsidR="003E31A6" w:rsidRPr="00935D8E" w:rsidRDefault="003E31A6" w:rsidP="00EC2A61">
            <w:pPr>
              <w:spacing w:before="0" w:after="0"/>
              <w:jc w:val="center"/>
              <w:rPr>
                <w:rFonts w:eastAsia="Times New Roman"/>
              </w:rPr>
            </w:pPr>
            <w:r w:rsidRPr="00935D8E">
              <w:rPr>
                <w:rFonts w:eastAsia="Times New Roman"/>
              </w:rPr>
              <w:t>27.2</w:t>
            </w:r>
          </w:p>
        </w:tc>
        <w:tc>
          <w:tcPr>
            <w:tcW w:w="853" w:type="pct"/>
            <w:shd w:val="clear" w:color="auto" w:fill="auto"/>
            <w:vAlign w:val="center"/>
          </w:tcPr>
          <w:p w:rsidR="003E31A6" w:rsidRPr="00935D8E" w:rsidRDefault="003E31A6" w:rsidP="00EC2A61">
            <w:pPr>
              <w:spacing w:before="0" w:after="0"/>
              <w:jc w:val="center"/>
              <w:rPr>
                <w:rFonts w:eastAsia="Times New Roman"/>
              </w:rPr>
            </w:pPr>
            <w:r w:rsidRPr="00935D8E">
              <w:rPr>
                <w:rFonts w:eastAsia="Times New Roman"/>
              </w:rPr>
              <w:t>46.7</w:t>
            </w:r>
          </w:p>
        </w:tc>
        <w:tc>
          <w:tcPr>
            <w:tcW w:w="1054" w:type="pct"/>
            <w:shd w:val="clear" w:color="auto" w:fill="auto"/>
            <w:vAlign w:val="center"/>
          </w:tcPr>
          <w:p w:rsidR="003E31A6" w:rsidRPr="00935D8E" w:rsidRDefault="003E31A6" w:rsidP="00EC2A61">
            <w:pPr>
              <w:spacing w:before="0" w:after="0"/>
              <w:jc w:val="center"/>
              <w:rPr>
                <w:rFonts w:eastAsia="Times New Roman"/>
              </w:rPr>
            </w:pPr>
            <w:r w:rsidRPr="00935D8E">
              <w:rPr>
                <w:rFonts w:eastAsia="Times New Roman"/>
              </w:rPr>
              <w:t>Clay</w:t>
            </w:r>
          </w:p>
        </w:tc>
      </w:tr>
      <w:tr w:rsidR="00456014" w:rsidRPr="00935D8E" w:rsidTr="00FB0F2F">
        <w:trPr>
          <w:trHeight w:val="19"/>
        </w:trPr>
        <w:tc>
          <w:tcPr>
            <w:tcW w:w="1209" w:type="pct"/>
            <w:shd w:val="clear" w:color="auto" w:fill="auto"/>
            <w:vAlign w:val="center"/>
          </w:tcPr>
          <w:p w:rsidR="003E31A6" w:rsidRPr="00935D8E" w:rsidRDefault="003E31A6" w:rsidP="00EC2A61">
            <w:pPr>
              <w:spacing w:before="0" w:after="0"/>
              <w:jc w:val="left"/>
              <w:rPr>
                <w:bCs/>
              </w:rPr>
            </w:pPr>
            <w:r w:rsidRPr="00935D8E">
              <w:rPr>
                <w:bCs/>
              </w:rPr>
              <w:t>Chromic Luvisol</w:t>
            </w:r>
          </w:p>
        </w:tc>
        <w:tc>
          <w:tcPr>
            <w:tcW w:w="450" w:type="pct"/>
            <w:shd w:val="clear" w:color="auto" w:fill="auto"/>
            <w:noWrap/>
            <w:vAlign w:val="center"/>
          </w:tcPr>
          <w:p w:rsidR="003E31A6" w:rsidRPr="00935D8E" w:rsidRDefault="003E31A6" w:rsidP="00EC2A61">
            <w:pPr>
              <w:spacing w:before="0" w:after="0"/>
              <w:jc w:val="center"/>
            </w:pPr>
            <w:r w:rsidRPr="00935D8E">
              <w:t>92.6</w:t>
            </w:r>
          </w:p>
        </w:tc>
        <w:tc>
          <w:tcPr>
            <w:tcW w:w="500" w:type="pct"/>
            <w:shd w:val="clear" w:color="auto" w:fill="auto"/>
            <w:vAlign w:val="center"/>
          </w:tcPr>
          <w:p w:rsidR="003E31A6" w:rsidRPr="00935D8E" w:rsidRDefault="003E31A6" w:rsidP="00EC2A61">
            <w:pPr>
              <w:spacing w:before="0" w:after="0"/>
              <w:jc w:val="center"/>
            </w:pPr>
            <w:r w:rsidRPr="00935D8E">
              <w:t>2.1</w:t>
            </w:r>
          </w:p>
        </w:tc>
        <w:tc>
          <w:tcPr>
            <w:tcW w:w="541" w:type="pct"/>
            <w:shd w:val="clear" w:color="auto" w:fill="auto"/>
            <w:vAlign w:val="center"/>
          </w:tcPr>
          <w:p w:rsidR="003E31A6" w:rsidRPr="00935D8E" w:rsidRDefault="003E31A6" w:rsidP="00EC2A61">
            <w:pPr>
              <w:spacing w:before="0" w:after="0"/>
              <w:jc w:val="center"/>
              <w:rPr>
                <w:rFonts w:eastAsia="Times New Roman"/>
              </w:rPr>
            </w:pPr>
            <w:r w:rsidRPr="00935D8E">
              <w:rPr>
                <w:rFonts w:eastAsia="Times New Roman"/>
              </w:rPr>
              <w:t>64.3</w:t>
            </w:r>
          </w:p>
        </w:tc>
        <w:tc>
          <w:tcPr>
            <w:tcW w:w="393" w:type="pct"/>
            <w:shd w:val="clear" w:color="auto" w:fill="auto"/>
            <w:vAlign w:val="center"/>
          </w:tcPr>
          <w:p w:rsidR="003E31A6" w:rsidRPr="00935D8E" w:rsidRDefault="003E31A6" w:rsidP="00EC2A61">
            <w:pPr>
              <w:spacing w:before="0" w:after="0"/>
              <w:jc w:val="center"/>
              <w:rPr>
                <w:rFonts w:eastAsia="Times New Roman"/>
              </w:rPr>
            </w:pPr>
            <w:r w:rsidRPr="00935D8E">
              <w:rPr>
                <w:rFonts w:eastAsia="Times New Roman"/>
              </w:rPr>
              <w:t>12.2</w:t>
            </w:r>
          </w:p>
        </w:tc>
        <w:tc>
          <w:tcPr>
            <w:tcW w:w="853" w:type="pct"/>
            <w:shd w:val="clear" w:color="auto" w:fill="auto"/>
            <w:vAlign w:val="center"/>
          </w:tcPr>
          <w:p w:rsidR="003E31A6" w:rsidRPr="00935D8E" w:rsidRDefault="003E31A6" w:rsidP="00EC2A61">
            <w:pPr>
              <w:spacing w:before="0" w:after="0"/>
              <w:jc w:val="center"/>
              <w:rPr>
                <w:rFonts w:eastAsia="Times New Roman"/>
              </w:rPr>
            </w:pPr>
            <w:r w:rsidRPr="00935D8E">
              <w:rPr>
                <w:rFonts w:eastAsia="Times New Roman"/>
              </w:rPr>
              <w:t>23.5</w:t>
            </w:r>
          </w:p>
        </w:tc>
        <w:tc>
          <w:tcPr>
            <w:tcW w:w="1054" w:type="pct"/>
            <w:shd w:val="clear" w:color="auto" w:fill="auto"/>
            <w:vAlign w:val="center"/>
          </w:tcPr>
          <w:p w:rsidR="003E31A6" w:rsidRPr="00935D8E" w:rsidRDefault="003E31A6" w:rsidP="00EC2A61">
            <w:pPr>
              <w:spacing w:before="0" w:after="0"/>
              <w:jc w:val="center"/>
              <w:rPr>
                <w:rFonts w:eastAsia="Times New Roman"/>
              </w:rPr>
            </w:pPr>
            <w:r w:rsidRPr="00935D8E">
              <w:rPr>
                <w:rFonts w:eastAsia="Times New Roman"/>
              </w:rPr>
              <w:t>Sandy clay loam</w:t>
            </w:r>
          </w:p>
        </w:tc>
      </w:tr>
      <w:tr w:rsidR="00456014" w:rsidRPr="00935D8E" w:rsidTr="00FB0F2F">
        <w:trPr>
          <w:trHeight w:val="19"/>
        </w:trPr>
        <w:tc>
          <w:tcPr>
            <w:tcW w:w="1209" w:type="pct"/>
            <w:shd w:val="clear" w:color="auto" w:fill="auto"/>
            <w:vAlign w:val="center"/>
          </w:tcPr>
          <w:p w:rsidR="003E31A6" w:rsidRPr="00935D8E" w:rsidRDefault="003E31A6" w:rsidP="00EC2A61">
            <w:pPr>
              <w:spacing w:before="0" w:after="0"/>
              <w:jc w:val="left"/>
              <w:rPr>
                <w:bCs/>
              </w:rPr>
            </w:pPr>
            <w:r w:rsidRPr="00935D8E">
              <w:rPr>
                <w:bCs/>
              </w:rPr>
              <w:t>Regosol</w:t>
            </w:r>
          </w:p>
        </w:tc>
        <w:tc>
          <w:tcPr>
            <w:tcW w:w="450" w:type="pct"/>
            <w:shd w:val="clear" w:color="auto" w:fill="auto"/>
            <w:noWrap/>
            <w:vAlign w:val="center"/>
          </w:tcPr>
          <w:p w:rsidR="003E31A6" w:rsidRPr="00935D8E" w:rsidRDefault="003E31A6" w:rsidP="00EC2A61">
            <w:pPr>
              <w:spacing w:before="0" w:after="0"/>
              <w:jc w:val="center"/>
            </w:pPr>
            <w:r w:rsidRPr="00935D8E">
              <w:t>378.8</w:t>
            </w:r>
          </w:p>
        </w:tc>
        <w:tc>
          <w:tcPr>
            <w:tcW w:w="500" w:type="pct"/>
            <w:shd w:val="clear" w:color="auto" w:fill="auto"/>
            <w:vAlign w:val="center"/>
          </w:tcPr>
          <w:p w:rsidR="003E31A6" w:rsidRPr="00935D8E" w:rsidRDefault="003E31A6" w:rsidP="00EC2A61">
            <w:pPr>
              <w:spacing w:before="0" w:after="0"/>
              <w:jc w:val="center"/>
            </w:pPr>
            <w:r w:rsidRPr="00935D8E">
              <w:t>8.6</w:t>
            </w:r>
          </w:p>
        </w:tc>
        <w:tc>
          <w:tcPr>
            <w:tcW w:w="541" w:type="pct"/>
            <w:shd w:val="clear" w:color="auto" w:fill="auto"/>
            <w:vAlign w:val="center"/>
          </w:tcPr>
          <w:p w:rsidR="003E31A6" w:rsidRPr="00935D8E" w:rsidRDefault="003E31A6" w:rsidP="00EC2A61">
            <w:pPr>
              <w:spacing w:before="0" w:after="0"/>
              <w:jc w:val="center"/>
              <w:rPr>
                <w:rFonts w:eastAsia="Times New Roman"/>
              </w:rPr>
            </w:pPr>
            <w:r w:rsidRPr="00935D8E">
              <w:rPr>
                <w:rFonts w:eastAsia="Times New Roman"/>
              </w:rPr>
              <w:t>70.6</w:t>
            </w:r>
          </w:p>
        </w:tc>
        <w:tc>
          <w:tcPr>
            <w:tcW w:w="393" w:type="pct"/>
            <w:shd w:val="clear" w:color="auto" w:fill="auto"/>
            <w:vAlign w:val="center"/>
          </w:tcPr>
          <w:p w:rsidR="003E31A6" w:rsidRPr="00935D8E" w:rsidRDefault="003E31A6" w:rsidP="00EC2A61">
            <w:pPr>
              <w:spacing w:before="0" w:after="0"/>
              <w:jc w:val="center"/>
              <w:rPr>
                <w:rFonts w:eastAsia="Times New Roman"/>
              </w:rPr>
            </w:pPr>
            <w:r w:rsidRPr="00935D8E">
              <w:rPr>
                <w:rFonts w:eastAsia="Times New Roman"/>
              </w:rPr>
              <w:t>14</w:t>
            </w:r>
          </w:p>
        </w:tc>
        <w:tc>
          <w:tcPr>
            <w:tcW w:w="853" w:type="pct"/>
            <w:shd w:val="clear" w:color="auto" w:fill="auto"/>
            <w:vAlign w:val="center"/>
          </w:tcPr>
          <w:p w:rsidR="003E31A6" w:rsidRPr="00935D8E" w:rsidRDefault="003E31A6" w:rsidP="00EC2A61">
            <w:pPr>
              <w:spacing w:before="0" w:after="0"/>
              <w:jc w:val="center"/>
              <w:rPr>
                <w:rFonts w:eastAsia="Times New Roman"/>
              </w:rPr>
            </w:pPr>
            <w:r w:rsidRPr="00935D8E">
              <w:rPr>
                <w:rFonts w:eastAsia="Times New Roman"/>
              </w:rPr>
              <w:t>15.4</w:t>
            </w:r>
          </w:p>
        </w:tc>
        <w:tc>
          <w:tcPr>
            <w:tcW w:w="1054" w:type="pct"/>
            <w:shd w:val="clear" w:color="auto" w:fill="auto"/>
            <w:vAlign w:val="center"/>
          </w:tcPr>
          <w:p w:rsidR="003E31A6" w:rsidRPr="00935D8E" w:rsidRDefault="003E31A6" w:rsidP="00EC2A61">
            <w:pPr>
              <w:spacing w:before="0" w:after="0"/>
              <w:jc w:val="center"/>
              <w:rPr>
                <w:rFonts w:eastAsia="Times New Roman"/>
              </w:rPr>
            </w:pPr>
            <w:r w:rsidRPr="00935D8E">
              <w:rPr>
                <w:rFonts w:eastAsia="Times New Roman"/>
              </w:rPr>
              <w:t>Sandy loam</w:t>
            </w:r>
          </w:p>
        </w:tc>
      </w:tr>
      <w:tr w:rsidR="00456014" w:rsidRPr="00935D8E" w:rsidTr="00FB0F2F">
        <w:trPr>
          <w:trHeight w:val="19"/>
        </w:trPr>
        <w:tc>
          <w:tcPr>
            <w:tcW w:w="1209" w:type="pct"/>
            <w:shd w:val="clear" w:color="auto" w:fill="auto"/>
            <w:vAlign w:val="center"/>
          </w:tcPr>
          <w:p w:rsidR="003E31A6" w:rsidRPr="00935D8E" w:rsidRDefault="003E31A6" w:rsidP="00EC2A61">
            <w:pPr>
              <w:spacing w:before="0" w:after="0"/>
              <w:jc w:val="left"/>
              <w:rPr>
                <w:bCs/>
              </w:rPr>
            </w:pPr>
            <w:r w:rsidRPr="00935D8E">
              <w:rPr>
                <w:bCs/>
              </w:rPr>
              <w:t>Calcic Solonetz</w:t>
            </w:r>
          </w:p>
        </w:tc>
        <w:tc>
          <w:tcPr>
            <w:tcW w:w="450" w:type="pct"/>
            <w:shd w:val="clear" w:color="auto" w:fill="auto"/>
            <w:noWrap/>
            <w:vAlign w:val="center"/>
          </w:tcPr>
          <w:p w:rsidR="003E31A6" w:rsidRPr="00935D8E" w:rsidRDefault="003E31A6" w:rsidP="00EC2A61">
            <w:pPr>
              <w:spacing w:before="0" w:after="0"/>
              <w:jc w:val="center"/>
            </w:pPr>
            <w:r w:rsidRPr="00935D8E">
              <w:t>0.02</w:t>
            </w:r>
          </w:p>
        </w:tc>
        <w:tc>
          <w:tcPr>
            <w:tcW w:w="500" w:type="pct"/>
            <w:shd w:val="clear" w:color="auto" w:fill="auto"/>
            <w:vAlign w:val="center"/>
          </w:tcPr>
          <w:p w:rsidR="003E31A6" w:rsidRPr="00935D8E" w:rsidRDefault="003E31A6" w:rsidP="00EC2A61">
            <w:pPr>
              <w:spacing w:before="0" w:after="0"/>
              <w:jc w:val="center"/>
            </w:pPr>
            <w:r w:rsidRPr="00935D8E">
              <w:t>0.0004</w:t>
            </w:r>
          </w:p>
        </w:tc>
        <w:tc>
          <w:tcPr>
            <w:tcW w:w="541" w:type="pct"/>
            <w:shd w:val="clear" w:color="auto" w:fill="auto"/>
            <w:vAlign w:val="center"/>
          </w:tcPr>
          <w:p w:rsidR="003E31A6" w:rsidRPr="00935D8E" w:rsidRDefault="003E31A6" w:rsidP="00EC2A61">
            <w:pPr>
              <w:spacing w:before="0" w:after="0"/>
              <w:jc w:val="center"/>
              <w:rPr>
                <w:rFonts w:eastAsia="Times New Roman"/>
              </w:rPr>
            </w:pPr>
            <w:r w:rsidRPr="00935D8E">
              <w:rPr>
                <w:rFonts w:eastAsia="Times New Roman"/>
              </w:rPr>
              <w:t>73</w:t>
            </w:r>
          </w:p>
        </w:tc>
        <w:tc>
          <w:tcPr>
            <w:tcW w:w="393" w:type="pct"/>
            <w:shd w:val="clear" w:color="auto" w:fill="auto"/>
            <w:vAlign w:val="center"/>
          </w:tcPr>
          <w:p w:rsidR="003E31A6" w:rsidRPr="00935D8E" w:rsidRDefault="003E31A6" w:rsidP="00EC2A61">
            <w:pPr>
              <w:spacing w:before="0" w:after="0"/>
              <w:jc w:val="center"/>
              <w:rPr>
                <w:rFonts w:eastAsia="Times New Roman"/>
              </w:rPr>
            </w:pPr>
            <w:r w:rsidRPr="00935D8E">
              <w:rPr>
                <w:rFonts w:eastAsia="Times New Roman"/>
              </w:rPr>
              <w:t>6</w:t>
            </w:r>
          </w:p>
        </w:tc>
        <w:tc>
          <w:tcPr>
            <w:tcW w:w="853" w:type="pct"/>
            <w:shd w:val="clear" w:color="auto" w:fill="auto"/>
            <w:vAlign w:val="center"/>
          </w:tcPr>
          <w:p w:rsidR="003E31A6" w:rsidRPr="00935D8E" w:rsidRDefault="003E31A6" w:rsidP="00EC2A61">
            <w:pPr>
              <w:spacing w:before="0" w:after="0"/>
              <w:jc w:val="center"/>
              <w:rPr>
                <w:rFonts w:eastAsia="Times New Roman"/>
              </w:rPr>
            </w:pPr>
            <w:r w:rsidRPr="00935D8E">
              <w:rPr>
                <w:rFonts w:eastAsia="Times New Roman"/>
              </w:rPr>
              <w:t>21</w:t>
            </w:r>
          </w:p>
        </w:tc>
        <w:tc>
          <w:tcPr>
            <w:tcW w:w="1054" w:type="pct"/>
            <w:shd w:val="clear" w:color="auto" w:fill="auto"/>
            <w:vAlign w:val="center"/>
          </w:tcPr>
          <w:p w:rsidR="003E31A6" w:rsidRPr="00935D8E" w:rsidRDefault="003E31A6" w:rsidP="00EC2A61">
            <w:pPr>
              <w:spacing w:before="0" w:after="0"/>
              <w:jc w:val="center"/>
              <w:rPr>
                <w:rFonts w:eastAsia="Times New Roman"/>
              </w:rPr>
            </w:pPr>
            <w:r w:rsidRPr="00935D8E">
              <w:rPr>
                <w:rFonts w:eastAsia="Times New Roman"/>
              </w:rPr>
              <w:t>Sandy clay loam</w:t>
            </w:r>
          </w:p>
        </w:tc>
      </w:tr>
      <w:tr w:rsidR="00456014" w:rsidRPr="00935D8E" w:rsidTr="00FB0F2F">
        <w:trPr>
          <w:trHeight w:val="19"/>
        </w:trPr>
        <w:tc>
          <w:tcPr>
            <w:tcW w:w="1209" w:type="pct"/>
            <w:shd w:val="clear" w:color="auto" w:fill="auto"/>
            <w:vAlign w:val="center"/>
          </w:tcPr>
          <w:p w:rsidR="003E31A6" w:rsidRPr="00935D8E" w:rsidRDefault="003E31A6" w:rsidP="00EC2A61">
            <w:pPr>
              <w:spacing w:before="0" w:after="0"/>
              <w:jc w:val="left"/>
              <w:rPr>
                <w:bCs/>
              </w:rPr>
            </w:pPr>
            <w:r w:rsidRPr="00935D8E">
              <w:rPr>
                <w:bCs/>
              </w:rPr>
              <w:t>Eutric Vertisol</w:t>
            </w:r>
          </w:p>
        </w:tc>
        <w:tc>
          <w:tcPr>
            <w:tcW w:w="450" w:type="pct"/>
            <w:shd w:val="clear" w:color="auto" w:fill="auto"/>
            <w:noWrap/>
            <w:vAlign w:val="center"/>
          </w:tcPr>
          <w:p w:rsidR="003E31A6" w:rsidRPr="00935D8E" w:rsidRDefault="003E31A6" w:rsidP="00EC2A61">
            <w:pPr>
              <w:spacing w:before="0" w:after="0"/>
              <w:jc w:val="center"/>
            </w:pPr>
            <w:r w:rsidRPr="00935D8E">
              <w:t>893.3</w:t>
            </w:r>
          </w:p>
        </w:tc>
        <w:tc>
          <w:tcPr>
            <w:tcW w:w="500" w:type="pct"/>
            <w:shd w:val="clear" w:color="auto" w:fill="auto"/>
            <w:vAlign w:val="center"/>
          </w:tcPr>
          <w:p w:rsidR="003E31A6" w:rsidRPr="00935D8E" w:rsidRDefault="003E31A6" w:rsidP="00EC2A61">
            <w:pPr>
              <w:spacing w:before="0" w:after="0"/>
              <w:jc w:val="center"/>
            </w:pPr>
            <w:r w:rsidRPr="00935D8E">
              <w:t>20.2</w:t>
            </w:r>
          </w:p>
        </w:tc>
        <w:tc>
          <w:tcPr>
            <w:tcW w:w="541" w:type="pct"/>
            <w:shd w:val="clear" w:color="auto" w:fill="auto"/>
            <w:vAlign w:val="center"/>
          </w:tcPr>
          <w:p w:rsidR="003E31A6" w:rsidRPr="00935D8E" w:rsidRDefault="003E31A6" w:rsidP="00EC2A61">
            <w:pPr>
              <w:spacing w:before="0" w:after="0"/>
              <w:jc w:val="center"/>
              <w:rPr>
                <w:rFonts w:eastAsia="Times New Roman"/>
              </w:rPr>
            </w:pPr>
            <w:r w:rsidRPr="00935D8E">
              <w:rPr>
                <w:rFonts w:eastAsia="Times New Roman"/>
              </w:rPr>
              <w:t>21</w:t>
            </w:r>
          </w:p>
        </w:tc>
        <w:tc>
          <w:tcPr>
            <w:tcW w:w="393" w:type="pct"/>
            <w:shd w:val="clear" w:color="auto" w:fill="auto"/>
            <w:vAlign w:val="center"/>
          </w:tcPr>
          <w:p w:rsidR="003E31A6" w:rsidRPr="00935D8E" w:rsidRDefault="003E31A6" w:rsidP="00EC2A61">
            <w:pPr>
              <w:spacing w:before="0" w:after="0"/>
              <w:jc w:val="center"/>
              <w:rPr>
                <w:rFonts w:eastAsia="Times New Roman"/>
              </w:rPr>
            </w:pPr>
            <w:r w:rsidRPr="00935D8E">
              <w:rPr>
                <w:rFonts w:eastAsia="Times New Roman"/>
              </w:rPr>
              <w:t>25</w:t>
            </w:r>
          </w:p>
        </w:tc>
        <w:tc>
          <w:tcPr>
            <w:tcW w:w="853" w:type="pct"/>
            <w:shd w:val="clear" w:color="auto" w:fill="auto"/>
            <w:vAlign w:val="center"/>
          </w:tcPr>
          <w:p w:rsidR="003E31A6" w:rsidRPr="00935D8E" w:rsidRDefault="003E31A6" w:rsidP="00EC2A61">
            <w:pPr>
              <w:spacing w:before="0" w:after="0"/>
              <w:jc w:val="center"/>
              <w:rPr>
                <w:rFonts w:eastAsia="Times New Roman"/>
              </w:rPr>
            </w:pPr>
            <w:r w:rsidRPr="00935D8E">
              <w:rPr>
                <w:rFonts w:eastAsia="Times New Roman"/>
              </w:rPr>
              <w:t>54</w:t>
            </w:r>
          </w:p>
        </w:tc>
        <w:tc>
          <w:tcPr>
            <w:tcW w:w="1054" w:type="pct"/>
            <w:shd w:val="clear" w:color="auto" w:fill="auto"/>
            <w:vAlign w:val="center"/>
          </w:tcPr>
          <w:p w:rsidR="003E31A6" w:rsidRPr="00935D8E" w:rsidRDefault="003E31A6" w:rsidP="00EC2A61">
            <w:pPr>
              <w:spacing w:before="0" w:after="0"/>
              <w:jc w:val="center"/>
              <w:rPr>
                <w:rFonts w:eastAsia="Times New Roman"/>
              </w:rPr>
            </w:pPr>
            <w:r w:rsidRPr="00935D8E">
              <w:rPr>
                <w:rFonts w:eastAsia="Times New Roman"/>
              </w:rPr>
              <w:t>Clay</w:t>
            </w:r>
          </w:p>
        </w:tc>
      </w:tr>
      <w:tr w:rsidR="00456014" w:rsidRPr="00935D8E" w:rsidTr="0027549F">
        <w:trPr>
          <w:trHeight w:val="623"/>
        </w:trPr>
        <w:tc>
          <w:tcPr>
            <w:tcW w:w="1209" w:type="pct"/>
            <w:shd w:val="clear" w:color="auto" w:fill="auto"/>
            <w:vAlign w:val="center"/>
          </w:tcPr>
          <w:p w:rsidR="003E31A6" w:rsidRPr="00935D8E" w:rsidRDefault="003E31A6" w:rsidP="00EC2A61">
            <w:pPr>
              <w:spacing w:before="0" w:after="0"/>
              <w:jc w:val="left"/>
              <w:rPr>
                <w:bCs/>
              </w:rPr>
            </w:pPr>
            <w:r w:rsidRPr="00935D8E">
              <w:rPr>
                <w:bCs/>
              </w:rPr>
              <w:t>Calcic Vertisol</w:t>
            </w:r>
          </w:p>
        </w:tc>
        <w:tc>
          <w:tcPr>
            <w:tcW w:w="450" w:type="pct"/>
            <w:shd w:val="clear" w:color="auto" w:fill="auto"/>
            <w:noWrap/>
            <w:vAlign w:val="center"/>
          </w:tcPr>
          <w:p w:rsidR="003E31A6" w:rsidRPr="00935D8E" w:rsidRDefault="003E31A6" w:rsidP="00EC2A61">
            <w:pPr>
              <w:spacing w:before="0" w:after="0"/>
              <w:jc w:val="center"/>
            </w:pPr>
            <w:r w:rsidRPr="00935D8E">
              <w:t>117.1</w:t>
            </w:r>
          </w:p>
        </w:tc>
        <w:tc>
          <w:tcPr>
            <w:tcW w:w="500" w:type="pct"/>
            <w:shd w:val="clear" w:color="auto" w:fill="auto"/>
            <w:vAlign w:val="center"/>
          </w:tcPr>
          <w:p w:rsidR="003E31A6" w:rsidRPr="00935D8E" w:rsidRDefault="003E31A6" w:rsidP="00EC2A61">
            <w:pPr>
              <w:spacing w:before="0" w:after="0"/>
              <w:jc w:val="center"/>
            </w:pPr>
            <w:r w:rsidRPr="00935D8E">
              <w:t>2.7</w:t>
            </w:r>
          </w:p>
        </w:tc>
        <w:tc>
          <w:tcPr>
            <w:tcW w:w="541" w:type="pct"/>
            <w:shd w:val="clear" w:color="auto" w:fill="auto"/>
            <w:vAlign w:val="center"/>
          </w:tcPr>
          <w:p w:rsidR="003E31A6" w:rsidRPr="00935D8E" w:rsidRDefault="003E31A6" w:rsidP="00EC2A61">
            <w:pPr>
              <w:spacing w:before="0" w:after="0"/>
              <w:jc w:val="center"/>
              <w:rPr>
                <w:rFonts w:eastAsia="Times New Roman"/>
              </w:rPr>
            </w:pPr>
            <w:r w:rsidRPr="00935D8E">
              <w:rPr>
                <w:rFonts w:eastAsia="Times New Roman"/>
              </w:rPr>
              <w:t>17</w:t>
            </w:r>
          </w:p>
        </w:tc>
        <w:tc>
          <w:tcPr>
            <w:tcW w:w="393" w:type="pct"/>
            <w:shd w:val="clear" w:color="auto" w:fill="auto"/>
            <w:vAlign w:val="center"/>
          </w:tcPr>
          <w:p w:rsidR="003E31A6" w:rsidRPr="00935D8E" w:rsidRDefault="003E31A6" w:rsidP="00EC2A61">
            <w:pPr>
              <w:spacing w:before="0" w:after="0"/>
              <w:jc w:val="center"/>
              <w:rPr>
                <w:rFonts w:eastAsia="Times New Roman"/>
              </w:rPr>
            </w:pPr>
            <w:r w:rsidRPr="00935D8E">
              <w:rPr>
                <w:rFonts w:eastAsia="Times New Roman"/>
              </w:rPr>
              <w:t>26</w:t>
            </w:r>
          </w:p>
        </w:tc>
        <w:tc>
          <w:tcPr>
            <w:tcW w:w="853" w:type="pct"/>
            <w:shd w:val="clear" w:color="auto" w:fill="auto"/>
            <w:vAlign w:val="center"/>
          </w:tcPr>
          <w:p w:rsidR="003E31A6" w:rsidRPr="00935D8E" w:rsidRDefault="003E31A6" w:rsidP="00EC2A61">
            <w:pPr>
              <w:spacing w:before="0" w:after="0"/>
              <w:jc w:val="center"/>
              <w:rPr>
                <w:rFonts w:eastAsia="Times New Roman"/>
              </w:rPr>
            </w:pPr>
            <w:r w:rsidRPr="00935D8E">
              <w:rPr>
                <w:rFonts w:eastAsia="Times New Roman"/>
              </w:rPr>
              <w:t>57</w:t>
            </w:r>
          </w:p>
        </w:tc>
        <w:tc>
          <w:tcPr>
            <w:tcW w:w="1054" w:type="pct"/>
            <w:shd w:val="clear" w:color="auto" w:fill="auto"/>
            <w:vAlign w:val="center"/>
          </w:tcPr>
          <w:p w:rsidR="003E31A6" w:rsidRPr="00935D8E" w:rsidRDefault="003E31A6" w:rsidP="00EC2A61">
            <w:pPr>
              <w:spacing w:before="0" w:after="0"/>
              <w:jc w:val="center"/>
              <w:rPr>
                <w:rFonts w:eastAsia="Times New Roman"/>
              </w:rPr>
            </w:pPr>
            <w:r w:rsidRPr="00935D8E">
              <w:rPr>
                <w:rFonts w:eastAsia="Times New Roman"/>
              </w:rPr>
              <w:t>Clay</w:t>
            </w:r>
          </w:p>
        </w:tc>
      </w:tr>
    </w:tbl>
    <w:p w:rsidR="00BC15A4" w:rsidRPr="00935D8E" w:rsidRDefault="00BC15A4" w:rsidP="00EC2A61">
      <w:pPr>
        <w:keepNext/>
        <w:spacing w:before="360"/>
        <w:jc w:val="center"/>
      </w:pPr>
      <w:r w:rsidRPr="00935D8E">
        <w:rPr>
          <w:noProof/>
          <w:sz w:val="22"/>
        </w:rPr>
        <w:drawing>
          <wp:inline distT="0" distB="0" distL="0" distR="0" wp14:anchorId="7F828DA6" wp14:editId="4E810EDE">
            <wp:extent cx="5422790" cy="2242268"/>
            <wp:effectExtent l="0" t="0" r="6985" b="5715"/>
            <wp:docPr id="37" name="Chart 1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BC15A4" w:rsidRPr="00935D8E" w:rsidRDefault="00BC15A4" w:rsidP="00EC2A61">
      <w:pPr>
        <w:pStyle w:val="Caption"/>
        <w:spacing w:before="120" w:after="120" w:line="360" w:lineRule="auto"/>
        <w:rPr>
          <w:i w:val="0"/>
          <w:color w:val="auto"/>
          <w:sz w:val="24"/>
          <w:szCs w:val="24"/>
        </w:rPr>
      </w:pPr>
      <w:bookmarkStart w:id="259" w:name="_Toc68761667"/>
      <w:r w:rsidRPr="00935D8E">
        <w:rPr>
          <w:i w:val="0"/>
          <w:color w:val="auto"/>
          <w:sz w:val="24"/>
          <w:szCs w:val="24"/>
        </w:rPr>
        <w:t xml:space="preserve">Appendix figure </w:t>
      </w:r>
      <w:r w:rsidRPr="00935D8E">
        <w:rPr>
          <w:i w:val="0"/>
          <w:color w:val="auto"/>
          <w:sz w:val="24"/>
          <w:szCs w:val="24"/>
        </w:rPr>
        <w:fldChar w:fldCharType="begin"/>
      </w:r>
      <w:r w:rsidRPr="00935D8E">
        <w:rPr>
          <w:i w:val="0"/>
          <w:color w:val="auto"/>
          <w:sz w:val="24"/>
          <w:szCs w:val="24"/>
        </w:rPr>
        <w:instrText xml:space="preserve"> SEQ Appendix_Figure_ \* ARABIC </w:instrText>
      </w:r>
      <w:r w:rsidRPr="00935D8E">
        <w:rPr>
          <w:i w:val="0"/>
          <w:color w:val="auto"/>
          <w:sz w:val="24"/>
          <w:szCs w:val="24"/>
        </w:rPr>
        <w:fldChar w:fldCharType="separate"/>
      </w:r>
      <w:r w:rsidR="00BD510E">
        <w:rPr>
          <w:i w:val="0"/>
          <w:noProof/>
          <w:color w:val="auto"/>
          <w:sz w:val="24"/>
          <w:szCs w:val="24"/>
        </w:rPr>
        <w:t>1</w:t>
      </w:r>
      <w:r w:rsidRPr="00935D8E">
        <w:rPr>
          <w:i w:val="0"/>
          <w:color w:val="auto"/>
          <w:sz w:val="24"/>
          <w:szCs w:val="24"/>
        </w:rPr>
        <w:fldChar w:fldCharType="end"/>
      </w:r>
      <w:r w:rsidRPr="00935D8E">
        <w:rPr>
          <w:i w:val="0"/>
          <w:color w:val="auto"/>
          <w:sz w:val="24"/>
          <w:szCs w:val="24"/>
        </w:rPr>
        <w:t>: Average maximum and minimum monthly temperature of stations</w:t>
      </w:r>
      <w:bookmarkEnd w:id="259"/>
    </w:p>
    <w:p w:rsidR="00FC4EDB" w:rsidRPr="00935D8E" w:rsidRDefault="00FC4EDB" w:rsidP="00EC2A61">
      <w:pPr>
        <w:spacing w:before="0" w:after="0"/>
        <w:jc w:val="center"/>
      </w:pPr>
      <w:r w:rsidRPr="00935D8E">
        <w:rPr>
          <w:noProof/>
        </w:rPr>
        <w:lastRenderedPageBreak/>
        <w:drawing>
          <wp:inline distT="0" distB="0" distL="0" distR="0" wp14:anchorId="48243456" wp14:editId="2FF8B158">
            <wp:extent cx="3808555" cy="3172570"/>
            <wp:effectExtent l="19050" t="19050" r="20955" b="27940"/>
            <wp:docPr id="36"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3893719" cy="3243513"/>
                    </a:xfrm>
                    <a:prstGeom prst="rect">
                      <a:avLst/>
                    </a:prstGeom>
                    <a:noFill/>
                    <a:ln w="12700">
                      <a:solidFill>
                        <a:schemeClr val="tx1"/>
                      </a:solidFill>
                    </a:ln>
                  </pic:spPr>
                </pic:pic>
              </a:graphicData>
            </a:graphic>
          </wp:inline>
        </w:drawing>
      </w:r>
    </w:p>
    <w:p w:rsidR="00BC15A4" w:rsidRPr="00935D8E" w:rsidRDefault="00BC15A4" w:rsidP="00EC2A61">
      <w:pPr>
        <w:pStyle w:val="Caption"/>
        <w:spacing w:before="120" w:after="120" w:line="360" w:lineRule="auto"/>
        <w:rPr>
          <w:i w:val="0"/>
          <w:color w:val="auto"/>
          <w:sz w:val="24"/>
          <w:szCs w:val="24"/>
        </w:rPr>
      </w:pPr>
      <w:bookmarkStart w:id="260" w:name="_Toc68761668"/>
      <w:r w:rsidRPr="00935D8E">
        <w:rPr>
          <w:i w:val="0"/>
          <w:color w:val="auto"/>
          <w:sz w:val="24"/>
          <w:szCs w:val="24"/>
        </w:rPr>
        <w:t xml:space="preserve">Appendix figure </w:t>
      </w:r>
      <w:r w:rsidRPr="00935D8E">
        <w:rPr>
          <w:i w:val="0"/>
          <w:color w:val="auto"/>
          <w:sz w:val="24"/>
          <w:szCs w:val="24"/>
        </w:rPr>
        <w:fldChar w:fldCharType="begin"/>
      </w:r>
      <w:r w:rsidRPr="00935D8E">
        <w:rPr>
          <w:i w:val="0"/>
          <w:color w:val="auto"/>
          <w:sz w:val="24"/>
          <w:szCs w:val="24"/>
        </w:rPr>
        <w:instrText xml:space="preserve"> SEQ Appendix_Figure_ \* ARABIC </w:instrText>
      </w:r>
      <w:r w:rsidRPr="00935D8E">
        <w:rPr>
          <w:i w:val="0"/>
          <w:color w:val="auto"/>
          <w:sz w:val="24"/>
          <w:szCs w:val="24"/>
        </w:rPr>
        <w:fldChar w:fldCharType="separate"/>
      </w:r>
      <w:r w:rsidR="00BD510E">
        <w:rPr>
          <w:i w:val="0"/>
          <w:noProof/>
          <w:color w:val="auto"/>
          <w:sz w:val="24"/>
          <w:szCs w:val="24"/>
        </w:rPr>
        <w:t>2</w:t>
      </w:r>
      <w:r w:rsidRPr="00935D8E">
        <w:rPr>
          <w:i w:val="0"/>
          <w:color w:val="auto"/>
          <w:sz w:val="24"/>
          <w:szCs w:val="24"/>
        </w:rPr>
        <w:fldChar w:fldCharType="end"/>
      </w:r>
      <w:r w:rsidRPr="00935D8E">
        <w:rPr>
          <w:i w:val="0"/>
          <w:color w:val="auto"/>
          <w:sz w:val="24"/>
          <w:szCs w:val="24"/>
        </w:rPr>
        <w:t>: The soil texture triangle</w:t>
      </w:r>
      <w:bookmarkEnd w:id="260"/>
    </w:p>
    <w:p w:rsidR="00BC67BC" w:rsidRPr="00935D8E" w:rsidRDefault="00BC67BC" w:rsidP="00EC2A61">
      <w:pPr>
        <w:jc w:val="center"/>
        <w:rPr>
          <w:rFonts w:eastAsia="Times New Roman"/>
        </w:rPr>
      </w:pPr>
      <w:r w:rsidRPr="00935D8E">
        <w:rPr>
          <w:noProof/>
        </w:rPr>
        <w:drawing>
          <wp:inline distT="0" distB="0" distL="0" distR="0" wp14:anchorId="72B8383C" wp14:editId="205249A3">
            <wp:extent cx="4857447" cy="2838223"/>
            <wp:effectExtent l="19050" t="19050" r="19685" b="19685"/>
            <wp:docPr id="4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119826" cy="2991532"/>
                    </a:xfrm>
                    <a:prstGeom prst="rect">
                      <a:avLst/>
                    </a:prstGeom>
                    <a:noFill/>
                    <a:ln w="12700">
                      <a:solidFill>
                        <a:schemeClr val="tx1"/>
                      </a:solidFill>
                    </a:ln>
                  </pic:spPr>
                </pic:pic>
              </a:graphicData>
            </a:graphic>
          </wp:inline>
        </w:drawing>
      </w:r>
    </w:p>
    <w:p w:rsidR="002D2CBF" w:rsidRPr="003D50B8" w:rsidRDefault="00BC67BC" w:rsidP="00EC2A61">
      <w:pPr>
        <w:pStyle w:val="Caption"/>
        <w:spacing w:before="120" w:after="120" w:line="360" w:lineRule="auto"/>
        <w:rPr>
          <w:rFonts w:eastAsia="Times New Roman"/>
          <w:i w:val="0"/>
          <w:color w:val="auto"/>
          <w:sz w:val="24"/>
          <w:szCs w:val="24"/>
        </w:rPr>
      </w:pPr>
      <w:bookmarkStart w:id="261" w:name="_Toc68761669"/>
      <w:r w:rsidRPr="00935D8E">
        <w:rPr>
          <w:i w:val="0"/>
          <w:color w:val="auto"/>
          <w:sz w:val="24"/>
          <w:szCs w:val="24"/>
        </w:rPr>
        <w:t xml:space="preserve">Appendix Figure </w:t>
      </w:r>
      <w:r w:rsidRPr="00935D8E">
        <w:rPr>
          <w:i w:val="0"/>
          <w:color w:val="auto"/>
          <w:sz w:val="24"/>
          <w:szCs w:val="24"/>
        </w:rPr>
        <w:fldChar w:fldCharType="begin"/>
      </w:r>
      <w:r w:rsidRPr="00935D8E">
        <w:rPr>
          <w:i w:val="0"/>
          <w:color w:val="auto"/>
          <w:sz w:val="24"/>
          <w:szCs w:val="24"/>
        </w:rPr>
        <w:instrText xml:space="preserve"> SEQ Appendix_Figure_ \* ARABIC </w:instrText>
      </w:r>
      <w:r w:rsidRPr="00935D8E">
        <w:rPr>
          <w:i w:val="0"/>
          <w:color w:val="auto"/>
          <w:sz w:val="24"/>
          <w:szCs w:val="24"/>
        </w:rPr>
        <w:fldChar w:fldCharType="separate"/>
      </w:r>
      <w:r w:rsidR="00BD510E">
        <w:rPr>
          <w:i w:val="0"/>
          <w:noProof/>
          <w:color w:val="auto"/>
          <w:sz w:val="24"/>
          <w:szCs w:val="24"/>
        </w:rPr>
        <w:t>3</w:t>
      </w:r>
      <w:r w:rsidRPr="00935D8E">
        <w:rPr>
          <w:i w:val="0"/>
          <w:color w:val="auto"/>
          <w:sz w:val="24"/>
          <w:szCs w:val="24"/>
        </w:rPr>
        <w:fldChar w:fldCharType="end"/>
      </w:r>
      <w:r w:rsidRPr="00935D8E">
        <w:rPr>
          <w:i w:val="0"/>
          <w:color w:val="auto"/>
          <w:sz w:val="24"/>
          <w:szCs w:val="24"/>
        </w:rPr>
        <w:t xml:space="preserve">: </w:t>
      </w:r>
      <w:r w:rsidRPr="00935D8E">
        <w:rPr>
          <w:rFonts w:eastAsia="Times New Roman"/>
          <w:i w:val="0"/>
          <w:color w:val="auto"/>
          <w:sz w:val="24"/>
          <w:szCs w:val="24"/>
        </w:rPr>
        <w:t>The WEIGHT module of IDRISI Selva’s pair-wise comparison matrix eigenvector and CR value of evaluation criteria</w:t>
      </w:r>
      <w:bookmarkEnd w:id="261"/>
    </w:p>
    <w:p w:rsidR="006C2984" w:rsidRPr="006C2984" w:rsidRDefault="008D68E3" w:rsidP="006C2984">
      <w:pPr>
        <w:pStyle w:val="Caption"/>
        <w:spacing w:before="120" w:after="120" w:line="360" w:lineRule="auto"/>
        <w:rPr>
          <w:i w:val="0"/>
          <w:color w:val="auto"/>
          <w:sz w:val="24"/>
          <w:szCs w:val="24"/>
        </w:rPr>
      </w:pPr>
      <w:bookmarkStart w:id="262" w:name="_Toc68761655"/>
      <w:r w:rsidRPr="00935D8E">
        <w:rPr>
          <w:i w:val="0"/>
          <w:color w:val="auto"/>
          <w:sz w:val="24"/>
          <w:szCs w:val="24"/>
        </w:rPr>
        <w:t xml:space="preserve">Appendix table </w:t>
      </w:r>
      <w:r w:rsidRPr="00935D8E">
        <w:rPr>
          <w:i w:val="0"/>
          <w:color w:val="auto"/>
          <w:sz w:val="24"/>
          <w:szCs w:val="24"/>
        </w:rPr>
        <w:fldChar w:fldCharType="begin"/>
      </w:r>
      <w:r w:rsidRPr="00935D8E">
        <w:rPr>
          <w:i w:val="0"/>
          <w:color w:val="auto"/>
          <w:sz w:val="24"/>
          <w:szCs w:val="24"/>
        </w:rPr>
        <w:instrText xml:space="preserve"> SEQ Appendix_table \* ARABIC </w:instrText>
      </w:r>
      <w:r w:rsidRPr="00935D8E">
        <w:rPr>
          <w:i w:val="0"/>
          <w:color w:val="auto"/>
          <w:sz w:val="24"/>
          <w:szCs w:val="24"/>
        </w:rPr>
        <w:fldChar w:fldCharType="separate"/>
      </w:r>
      <w:r w:rsidR="00BD510E">
        <w:rPr>
          <w:i w:val="0"/>
          <w:noProof/>
          <w:color w:val="auto"/>
          <w:sz w:val="24"/>
          <w:szCs w:val="24"/>
        </w:rPr>
        <w:t>6</w:t>
      </w:r>
      <w:r w:rsidRPr="00935D8E">
        <w:rPr>
          <w:i w:val="0"/>
          <w:color w:val="auto"/>
          <w:sz w:val="24"/>
          <w:szCs w:val="24"/>
        </w:rPr>
        <w:fldChar w:fldCharType="end"/>
      </w:r>
      <w:r w:rsidRPr="00935D8E">
        <w:rPr>
          <w:i w:val="0"/>
          <w:color w:val="auto"/>
          <w:sz w:val="24"/>
          <w:szCs w:val="24"/>
        </w:rPr>
        <w:t xml:space="preserve">: </w:t>
      </w:r>
      <w:r w:rsidR="00A9669E" w:rsidRPr="00935D8E">
        <w:rPr>
          <w:i w:val="0"/>
          <w:color w:val="auto"/>
          <w:sz w:val="24"/>
          <w:szCs w:val="24"/>
        </w:rPr>
        <w:t>Symbols</w:t>
      </w:r>
      <w:r w:rsidR="00E9103A" w:rsidRPr="00935D8E">
        <w:rPr>
          <w:i w:val="0"/>
          <w:color w:val="auto"/>
          <w:sz w:val="24"/>
          <w:szCs w:val="24"/>
        </w:rPr>
        <w:t xml:space="preserve"> and the </w:t>
      </w:r>
      <w:r w:rsidR="00D43820" w:rsidRPr="00935D8E">
        <w:rPr>
          <w:i w:val="0"/>
          <w:color w:val="auto"/>
          <w:sz w:val="24"/>
          <w:szCs w:val="24"/>
        </w:rPr>
        <w:t>short de</w:t>
      </w:r>
      <w:r w:rsidR="00E9103A" w:rsidRPr="00935D8E">
        <w:rPr>
          <w:i w:val="0"/>
          <w:color w:val="auto"/>
          <w:sz w:val="24"/>
          <w:szCs w:val="24"/>
        </w:rPr>
        <w:t>scriptions of lithological units</w:t>
      </w:r>
      <w:bookmarkEnd w:id="262"/>
    </w:p>
    <w:tbl>
      <w:tblPr>
        <w:tblW w:w="5000" w:type="pct"/>
        <w:jc w:val="center"/>
        <w:tblBorders>
          <w:top w:val="single" w:sz="4" w:space="0" w:color="auto"/>
          <w:bottom w:val="single" w:sz="4" w:space="0" w:color="auto"/>
        </w:tblBorders>
        <w:tblLook w:val="04A0" w:firstRow="1" w:lastRow="0" w:firstColumn="1" w:lastColumn="0" w:noHBand="0" w:noVBand="1"/>
      </w:tblPr>
      <w:tblGrid>
        <w:gridCol w:w="1535"/>
        <w:gridCol w:w="7465"/>
      </w:tblGrid>
      <w:tr w:rsidR="00456014" w:rsidRPr="00935D8E" w:rsidTr="007005D2">
        <w:trPr>
          <w:trHeight w:val="450"/>
          <w:jc w:val="center"/>
        </w:trPr>
        <w:tc>
          <w:tcPr>
            <w:tcW w:w="853" w:type="pct"/>
            <w:tcBorders>
              <w:top w:val="single" w:sz="4" w:space="0" w:color="auto"/>
              <w:bottom w:val="single" w:sz="4" w:space="0" w:color="auto"/>
            </w:tcBorders>
            <w:shd w:val="clear" w:color="auto" w:fill="auto"/>
            <w:noWrap/>
            <w:vAlign w:val="bottom"/>
            <w:hideMark/>
          </w:tcPr>
          <w:p w:rsidR="008D68E3" w:rsidRPr="00935D8E" w:rsidRDefault="008D68E3" w:rsidP="00EC2A61">
            <w:pPr>
              <w:spacing w:before="0" w:after="0"/>
              <w:jc w:val="center"/>
              <w:rPr>
                <w:rFonts w:eastAsia="Times New Roman"/>
                <w:b/>
                <w:bCs/>
              </w:rPr>
            </w:pPr>
            <w:r w:rsidRPr="00935D8E">
              <w:rPr>
                <w:rFonts w:eastAsia="Times New Roman"/>
                <w:b/>
                <w:bCs/>
              </w:rPr>
              <w:t>Code</w:t>
            </w:r>
          </w:p>
        </w:tc>
        <w:tc>
          <w:tcPr>
            <w:tcW w:w="4147" w:type="pct"/>
            <w:tcBorders>
              <w:top w:val="single" w:sz="4" w:space="0" w:color="auto"/>
              <w:bottom w:val="single" w:sz="4" w:space="0" w:color="auto"/>
            </w:tcBorders>
            <w:shd w:val="clear" w:color="auto" w:fill="auto"/>
            <w:vAlign w:val="center"/>
            <w:hideMark/>
          </w:tcPr>
          <w:p w:rsidR="008D68E3" w:rsidRPr="00935D8E" w:rsidRDefault="008D68E3" w:rsidP="00EC2A61">
            <w:pPr>
              <w:spacing w:before="0" w:after="0"/>
              <w:jc w:val="center"/>
              <w:rPr>
                <w:rFonts w:eastAsia="Times New Roman"/>
                <w:b/>
                <w:bCs/>
              </w:rPr>
            </w:pPr>
            <w:r w:rsidRPr="00935D8E">
              <w:rPr>
                <w:rFonts w:eastAsia="Times New Roman"/>
                <w:b/>
                <w:bCs/>
              </w:rPr>
              <w:t>Symbol and their Description</w:t>
            </w:r>
          </w:p>
        </w:tc>
      </w:tr>
      <w:tr w:rsidR="00456014" w:rsidRPr="00935D8E" w:rsidTr="007005D2">
        <w:trPr>
          <w:trHeight w:val="600"/>
          <w:jc w:val="center"/>
        </w:trPr>
        <w:tc>
          <w:tcPr>
            <w:tcW w:w="853" w:type="pct"/>
            <w:tcBorders>
              <w:top w:val="single" w:sz="4" w:space="0" w:color="auto"/>
            </w:tcBorders>
            <w:shd w:val="clear" w:color="auto" w:fill="auto"/>
            <w:noWrap/>
            <w:hideMark/>
          </w:tcPr>
          <w:p w:rsidR="008D68E3" w:rsidRPr="00935D8E" w:rsidRDefault="008D68E3" w:rsidP="00EC2A61">
            <w:pPr>
              <w:spacing w:before="0" w:after="0"/>
              <w:jc w:val="center"/>
              <w:rPr>
                <w:rFonts w:eastAsia="Times New Roman"/>
              </w:rPr>
            </w:pPr>
            <w:r w:rsidRPr="00935D8E">
              <w:rPr>
                <w:rFonts w:eastAsia="Times New Roman"/>
              </w:rPr>
              <w:t>Qe</w:t>
            </w:r>
          </w:p>
        </w:tc>
        <w:tc>
          <w:tcPr>
            <w:tcW w:w="4147" w:type="pct"/>
            <w:tcBorders>
              <w:top w:val="single" w:sz="4" w:space="0" w:color="auto"/>
            </w:tcBorders>
            <w:shd w:val="clear" w:color="auto" w:fill="auto"/>
            <w:vAlign w:val="bottom"/>
            <w:hideMark/>
          </w:tcPr>
          <w:p w:rsidR="008D68E3" w:rsidRPr="00935D8E" w:rsidRDefault="008D68E3" w:rsidP="00EC2A61">
            <w:pPr>
              <w:spacing w:before="0" w:after="0"/>
              <w:rPr>
                <w:rFonts w:eastAsia="Times New Roman"/>
              </w:rPr>
            </w:pPr>
            <w:r w:rsidRPr="00935D8E">
              <w:rPr>
                <w:rFonts w:eastAsia="Times New Roman"/>
                <w:b/>
                <w:bCs/>
              </w:rPr>
              <w:t>Quaternary Eluvium Sediment:</w:t>
            </w:r>
            <w:r w:rsidRPr="00935D8E">
              <w:rPr>
                <w:rFonts w:eastAsia="Times New Roman"/>
              </w:rPr>
              <w:t xml:space="preserve"> Red to reddish brown sandy soil, black cotton soil, calcrite, minor ferricrite, silt and clay. The elluvial sediments </w:t>
            </w:r>
            <w:r w:rsidRPr="00935D8E">
              <w:rPr>
                <w:rFonts w:eastAsia="Times New Roman"/>
              </w:rPr>
              <w:lastRenderedPageBreak/>
              <w:t xml:space="preserve">are the weathering product of the underlying parent rock occurring insitu. It is a Local and Low productive intergranular aquifer developed at the flat lying eastern plain part of the study area </w:t>
            </w:r>
            <w:r w:rsidRPr="00935D8E">
              <w:rPr>
                <w:rFonts w:eastAsia="Times New Roman"/>
              </w:rPr>
              <w:fldChar w:fldCharType="begin" w:fldLock="1"/>
            </w:r>
            <w:r w:rsidR="00A309A8">
              <w:rPr>
                <w:rFonts w:eastAsia="Times New Roman"/>
              </w:rPr>
              <w:instrText>ADDIN CSL_CITATION {"citationItems":[{"id":"ITEM-1","itemData":{"author":[{"dropping-particle":"","family":"Kebede","given":"Mintesnot","non-dropping-particle":"","parse-names":false,"suffix":""},{"dropping-particle":"","family":"Mulugeta","given":"Yonas","non-dropping-particle":"","parse-names":false,"suffix":""}],"id":"ITEM-1","issued":{"date-parts":[["2011"]]},"publisher-place":"Addis Abeba, Ethiopia","title":"Hydrogeological map of Megallo map sheet (NB 37-8)","type":"report"},"uris":["http://www.mendeley.com/documents/?uuid=1e17384d-a269-4745-b57a-3cfb8caa3508","http://www.mendeley.com/documents/?uuid=840f342e-829f-4f6d-87d4-a6e206ab7aa8"]}],"mendeley":{"formattedCitation":"(M. Kebede &amp; Mulugeta, 2011)","manualFormatting":"(Kebede and Mulugeta, 2011)","plainTextFormattedCitation":"(M. Kebede &amp; Mulugeta, 2011)","previouslyFormattedCitation":"(M. Kebede &amp; Mulugeta, 2011)"},"properties":{"noteIndex":0},"schema":"https://github.com/citation-style-language/schema/raw/master/csl-citation.json"}</w:instrText>
            </w:r>
            <w:r w:rsidRPr="00935D8E">
              <w:rPr>
                <w:rFonts w:eastAsia="Times New Roman"/>
              </w:rPr>
              <w:fldChar w:fldCharType="separate"/>
            </w:r>
            <w:r w:rsidRPr="00935D8E">
              <w:rPr>
                <w:rFonts w:eastAsia="Times New Roman"/>
                <w:noProof/>
              </w:rPr>
              <w:t xml:space="preserve">(Kebede </w:t>
            </w:r>
            <w:r w:rsidR="00706F11" w:rsidRPr="00935D8E">
              <w:rPr>
                <w:rFonts w:eastAsia="Times New Roman"/>
                <w:noProof/>
              </w:rPr>
              <w:t>and</w:t>
            </w:r>
            <w:r w:rsidRPr="00935D8E">
              <w:rPr>
                <w:rFonts w:eastAsia="Times New Roman"/>
                <w:noProof/>
              </w:rPr>
              <w:t xml:space="preserve"> Mulugeta, 2011)</w:t>
            </w:r>
            <w:r w:rsidRPr="00935D8E">
              <w:rPr>
                <w:rFonts w:eastAsia="Times New Roman"/>
              </w:rPr>
              <w:fldChar w:fldCharType="end"/>
            </w:r>
            <w:r w:rsidRPr="00935D8E">
              <w:rPr>
                <w:rFonts w:eastAsia="Times New Roman"/>
              </w:rPr>
              <w:t>.</w:t>
            </w:r>
          </w:p>
        </w:tc>
      </w:tr>
      <w:tr w:rsidR="00456014" w:rsidRPr="00935D8E" w:rsidTr="007005D2">
        <w:trPr>
          <w:trHeight w:val="600"/>
          <w:jc w:val="center"/>
        </w:trPr>
        <w:tc>
          <w:tcPr>
            <w:tcW w:w="853" w:type="pct"/>
            <w:shd w:val="clear" w:color="auto" w:fill="auto"/>
            <w:noWrap/>
            <w:hideMark/>
          </w:tcPr>
          <w:p w:rsidR="008D68E3" w:rsidRPr="00935D8E" w:rsidRDefault="008D68E3" w:rsidP="00EC2A61">
            <w:pPr>
              <w:spacing w:before="0" w:after="0"/>
              <w:jc w:val="center"/>
              <w:rPr>
                <w:rFonts w:eastAsia="Times New Roman"/>
              </w:rPr>
            </w:pPr>
            <w:r w:rsidRPr="00935D8E">
              <w:rPr>
                <w:rFonts w:eastAsia="Times New Roman"/>
              </w:rPr>
              <w:t>Qv (Qg)</w:t>
            </w:r>
          </w:p>
        </w:tc>
        <w:tc>
          <w:tcPr>
            <w:tcW w:w="4147" w:type="pct"/>
            <w:shd w:val="clear" w:color="auto" w:fill="auto"/>
            <w:vAlign w:val="bottom"/>
            <w:hideMark/>
          </w:tcPr>
          <w:p w:rsidR="008D68E3" w:rsidRPr="00935D8E" w:rsidRDefault="008D68E3" w:rsidP="00EC2A61">
            <w:pPr>
              <w:spacing w:before="0" w:after="0"/>
              <w:rPr>
                <w:rFonts w:eastAsia="Times New Roman"/>
              </w:rPr>
            </w:pPr>
            <w:r w:rsidRPr="00935D8E">
              <w:rPr>
                <w:rFonts w:eastAsia="Times New Roman"/>
                <w:b/>
                <w:bCs/>
              </w:rPr>
              <w:t>Ginnir Basalt</w:t>
            </w:r>
            <w:r w:rsidRPr="00935D8E">
              <w:rPr>
                <w:rFonts w:eastAsia="Times New Roman"/>
              </w:rPr>
              <w:t>: Often Scoraceous with minor cinder cones of Scoria and Scoraceous olivine-phyric basalt vitric tuff</w:t>
            </w:r>
            <w:r w:rsidR="00642C2D" w:rsidRPr="00935D8E">
              <w:rPr>
                <w:rFonts w:eastAsia="Times New Roman"/>
              </w:rPr>
              <w:t xml:space="preserve">. </w:t>
            </w:r>
            <w:r w:rsidRPr="00935D8E">
              <w:rPr>
                <w:rFonts w:eastAsia="Times New Roman"/>
              </w:rPr>
              <w:t xml:space="preserve">Extensive fracture volcanic aquifer </w:t>
            </w:r>
            <w:r w:rsidRPr="00935D8E">
              <w:rPr>
                <w:rFonts w:eastAsia="Times New Roman"/>
              </w:rPr>
              <w:fldChar w:fldCharType="begin" w:fldLock="1"/>
            </w:r>
            <w:r w:rsidR="00A309A8">
              <w:rPr>
                <w:rFonts w:eastAsia="Times New Roman"/>
              </w:rPr>
              <w:instrText>ADDIN CSL_CITATION {"citationItems":[{"id":"ITEM-1","itemData":{"author":[{"dropping-particle":"","family":"Kebede","given":"Mintesnot","non-dropping-particle":"","parse-names":false,"suffix":""},{"dropping-particle":"","family":"Mulugeta","given":"Yonas","non-dropping-particle":"","parse-names":false,"suffix":""}],"id":"ITEM-1","issued":{"date-parts":[["2011"]]},"publisher-place":"Addis Abeba, Ethiopia","title":"Hydrogeological map of Megallo map sheet (NB 37-8)","type":"report"},"uris":["http://www.mendeley.com/documents/?uuid=1e17384d-a269-4745-b57a-3cfb8caa3508","http://www.mendeley.com/documents/?uuid=840f342e-829f-4f6d-87d4-a6e206ab7aa8"]},{"id":"ITEM-2","itemData":{"author":[{"dropping-particle":"","family":"Kiflu","given":"Astatke","non-dropping-particle":"","parse-names":false,"suffix":""},{"dropping-particle":"","family":"Tafa","given":"Yosef","non-dropping-particle":"","parse-names":false,"suffix":""},{"dropping-particle":"","family":"Mulugeta","given":"Yonas","non-dropping-particle":"","parse-names":false,"suffix":""}],"id":"ITEM-2","issued":{"date-parts":[["2009"]]},"number-of-pages":"1-74","publisher-place":"Addis Abeba, Ethiopia","title":"Hydrogeological mapping of part of Asela map sheet (NB 37-3) South eastern high land of Ethiopia","type":"report"},"uris":["http://www.mendeley.com/documents/?uuid=00ac486c-3b45-4648-a467-648ee30a24fa","http://www.mendeley.com/documents/?uuid=b3043dd7-ee9c-4f47-9f3e-21b95483fb89","http://www.mendeley.com/documents/?uuid=6e414282-ebd3-4f3d-b679-814a76900d5a"]},{"id":"ITEM-3","itemData":{"ISBN":"978-80-260-0334-2","ISSN":"1098-6596","PMID":"25246403","author":[{"dropping-particle":"","family":"Zewdie","given":"Getachew","non-dropping-particle":"","parse-names":false,"suffix":""}],"container-title":"AQUATEST","edition":"1st editio","editor":[{"dropping-particle":"","family":"Sima","given":"Jiri","non-dropping-particle":"","parse-names":false,"suffix":""}],"id":"ITEM-3","issued":{"date-parts":[["2011"]]},"number-of-pages":"1-113","publisher":"AQUATEST","publisher-place":"prague 5, Czech Republic","title":"Hydrogeological and Hydrochemical maps of Negele NB 37-11","type":"book"},"uris":["http://www.mendeley.com/documents/?uuid=b0b592c2-4272-4087-9d46-ff98d94bf955","http://www.mendeley.com/documents/?uuid=64d0d57d-19f5-4ff8-aa89-0fe3a24a45eb","http://www.mendeley.com/documents/?uuid=2e348211-c722-4322-bb60-05817d8d3225"]},{"id":"ITEM-4","itemData":{"abstract":"Hydrogeological mapping of Ginner map sheet is carried out on the upper Wabi Shebele and some part of upper Genale Dawa river shades which is situated about 530 km east of Addis Ababa at the eastern part of Ethiopia. Considerable elevation difference (500-2685 m.a.s.l) and physiographic diversities such as highlands, lowlands and rugged areas, river valleys, deep gorges and plateaus characterize the area. Though the duration, amount and spatial distribution of the rain fall varies in the plateaus and low lands, bi- modal type of rain fall regime is generally observed. The annual mean rainfall in the low lands and high lands vary between 300 – 1200 mm and Potential evapotranspiration (PET) is estimated empirically 3.9 mm/day for the area. Rock units of the area are Tertiary and Quaternary Volcanics such as; Ginner Basalt, Arsi-Bale basalts and lower flood basalt and Mesozoic sedimentary formations such as: Amba Aradam, Korahe, Gabredare, Urandab and Hamanle formations successively under lain from young to old. In addition, superficial deposits and weathering remnants such as alluvium and elluvium cover the area. Nearly NE–SW and NW– SE trending faults and lineaments affect the area. The aquifer systems are defined based on hydrogeological characteristics /aquifer productivity and permeability/ of the lithological units. Seven hydrogeological units /aquifers systems/ are identified in the map sheet and then hydrogeological map at a scale 1:250,000 is produced. The chemical analysis result of water samples in the study area shows that bicarbonate and transitional and basic water type is predominant. The general trend of EC and TDS increases from relatively highland plateau to lowland where rain fall is low and evapotranspiration is high. Groundwater of the study area is generally suitable for Drinking water supply and irrigation. Generally, the area has ground water resources thus intensive sustainable water resources development is recommended by drilling deeper wells more than 150m depth on the lowlands and Springs development on the high land plateaus. Productive wells can also be drilled at the high land plateaus along faults and lineaments. In addition to water supply, large scale irrigation can be possible at the plateaus by using ground water resource.","author":[{"dropping-particle":"","family":"Mulugeta","given":"Yonas","non-dropping-particle":"","parse-names":false,"suffix":""},{"dropping-particle":"","family":"Tafa","given":"Yosef","non-dropping-particle":"","parse-names":false,"suffix":""}],"id":"ITEM-4","issued":{"date-parts":[["2010"]]},"number-of-pages":"1-84","publisher-place":"Addis Abeba, Ethiopia","title":"Integrated hydrogeological mapping of Ginnir map sheet (NB-37-4) South Eastern low land and adjacent high land of Ethiopia","type":"report"},"uris":["http://www.mendeley.com/documents/?uuid=e9c5b3e5-3d16-4cb5-a46e-712fee7da124","http://www.mendeley.com/documents/?uuid=1b87b89f-6151-4701-b983-9da2e8363ad4","http://www.mendeley.com/documents/?uuid=e54fc5d6-8d61-4b61-817f-5b9d47c6d408"]}],"mendeley":{"formattedCitation":"(M. Kebede &amp; Mulugeta, 2011; Kiflu et al., 2009; Mulugeta &amp; Tafa, 2010; Zewdie, 2011)","manualFormatting":"(Kebede and Mulugeta, 2011; Kiflu et al., 2009; Mulugeta and Tafa, 2010; Zewdie, 2011)","plainTextFormattedCitation":"(M. Kebede &amp; Mulugeta, 2011; Kiflu et al., 2009; Mulugeta &amp; Tafa, 2010; Zewdie, 2011)","previouslyFormattedCitation":"(M. Kebede &amp; Mulugeta, 2011; Kiflu et al., 2009; Mulugeta &amp; Tafa, 2010; Zewdie, 2011)"},"properties":{"noteIndex":0},"schema":"https://github.com/citation-style-language/schema/raw/master/csl-citation.json"}</w:instrText>
            </w:r>
            <w:r w:rsidRPr="00935D8E">
              <w:rPr>
                <w:rFonts w:eastAsia="Times New Roman"/>
              </w:rPr>
              <w:fldChar w:fldCharType="separate"/>
            </w:r>
            <w:r w:rsidRPr="00935D8E">
              <w:rPr>
                <w:rFonts w:eastAsia="Times New Roman"/>
                <w:noProof/>
              </w:rPr>
              <w:t xml:space="preserve">(Kebede </w:t>
            </w:r>
            <w:r w:rsidR="00706F11" w:rsidRPr="00935D8E">
              <w:rPr>
                <w:rFonts w:eastAsia="Times New Roman"/>
                <w:noProof/>
              </w:rPr>
              <w:t>and</w:t>
            </w:r>
            <w:r w:rsidRPr="00935D8E">
              <w:rPr>
                <w:rFonts w:eastAsia="Times New Roman"/>
                <w:noProof/>
              </w:rPr>
              <w:t xml:space="preserve"> Mulugeta, 2011; Kiflu et al., 2009; Mulugeta </w:t>
            </w:r>
            <w:r w:rsidR="00706F11" w:rsidRPr="00935D8E">
              <w:rPr>
                <w:rFonts w:eastAsia="Times New Roman"/>
                <w:noProof/>
              </w:rPr>
              <w:t>and</w:t>
            </w:r>
            <w:r w:rsidRPr="00935D8E">
              <w:rPr>
                <w:rFonts w:eastAsia="Times New Roman"/>
                <w:noProof/>
              </w:rPr>
              <w:t xml:space="preserve"> Tafa, 2010; Zewdie, 2011)</w:t>
            </w:r>
            <w:r w:rsidRPr="00935D8E">
              <w:rPr>
                <w:rFonts w:eastAsia="Times New Roman"/>
              </w:rPr>
              <w:fldChar w:fldCharType="end"/>
            </w:r>
            <w:r w:rsidRPr="00935D8E">
              <w:rPr>
                <w:rFonts w:eastAsia="Times New Roman"/>
              </w:rPr>
              <w:t>.</w:t>
            </w:r>
          </w:p>
        </w:tc>
      </w:tr>
      <w:tr w:rsidR="00456014" w:rsidRPr="00935D8E" w:rsidTr="007005D2">
        <w:trPr>
          <w:trHeight w:val="600"/>
          <w:jc w:val="center"/>
        </w:trPr>
        <w:tc>
          <w:tcPr>
            <w:tcW w:w="853" w:type="pct"/>
            <w:shd w:val="clear" w:color="auto" w:fill="auto"/>
            <w:noWrap/>
            <w:hideMark/>
          </w:tcPr>
          <w:p w:rsidR="008D68E3" w:rsidRPr="00935D8E" w:rsidRDefault="008D68E3" w:rsidP="00EC2A61">
            <w:pPr>
              <w:spacing w:before="0" w:after="0"/>
              <w:jc w:val="center"/>
              <w:rPr>
                <w:rFonts w:eastAsia="Times New Roman"/>
              </w:rPr>
            </w:pPr>
            <w:r w:rsidRPr="00935D8E">
              <w:rPr>
                <w:rFonts w:eastAsia="Times New Roman"/>
              </w:rPr>
              <w:t>Nn</w:t>
            </w:r>
          </w:p>
        </w:tc>
        <w:tc>
          <w:tcPr>
            <w:tcW w:w="4147" w:type="pct"/>
            <w:shd w:val="clear" w:color="auto" w:fill="auto"/>
            <w:vAlign w:val="bottom"/>
            <w:hideMark/>
          </w:tcPr>
          <w:p w:rsidR="008D68E3" w:rsidRPr="00935D8E" w:rsidRDefault="008D68E3" w:rsidP="00EC2A61">
            <w:pPr>
              <w:spacing w:before="0" w:after="0"/>
              <w:rPr>
                <w:rFonts w:eastAsia="Times New Roman"/>
              </w:rPr>
            </w:pPr>
            <w:r w:rsidRPr="00935D8E">
              <w:rPr>
                <w:rFonts w:eastAsia="Times New Roman"/>
                <w:b/>
                <w:bCs/>
              </w:rPr>
              <w:t>Nazret group:</w:t>
            </w:r>
            <w:r w:rsidRPr="00935D8E">
              <w:rPr>
                <w:rFonts w:eastAsia="Times New Roman"/>
              </w:rPr>
              <w:t xml:space="preserve"> Stratoid silics: ignimbrites, unwelded tuff, ash flow, rhoyolites and trachyte. Extensive and high productive fracture and/or porous volcanic aquifer </w:t>
            </w:r>
            <w:r w:rsidRPr="00935D8E">
              <w:rPr>
                <w:rFonts w:eastAsia="Times New Roman"/>
              </w:rPr>
              <w:fldChar w:fldCharType="begin" w:fldLock="1"/>
            </w:r>
            <w:r w:rsidR="00A309A8">
              <w:rPr>
                <w:rFonts w:eastAsia="Times New Roman"/>
              </w:rPr>
              <w:instrText>ADDIN CSL_CITATION {"citationItems":[{"id":"ITEM-1","itemData":{"author":[{"dropping-particle":"","family":"Kiflu","given":"Astatke","non-dropping-particle":"","parse-names":false,"suffix":""},{"dropping-particle":"","family":"Tafa","given":"Yosef","non-dropping-particle":"","parse-names":false,"suffix":""},{"dropping-particle":"","family":"Mulugeta","given":"Yonas","non-dropping-particle":"","parse-names":false,"suffix":""}],"id":"ITEM-1","issued":{"date-parts":[["2009"]]},"number-of-pages":"1-74","publisher-place":"Addis Abeba, Ethiopia","title":"Hydrogeological mapping of part of Asela map sheet (NB 37-3) South eastern high land of Ethiopia","type":"report"},"uris":["http://www.mendeley.com/documents/?uuid=00ac486c-3b45-4648-a467-648ee30a24fa","http://www.mendeley.com/documents/?uuid=b3043dd7-ee9c-4f47-9f3e-21b95483fb89"]},{"id":"ITEM-2","itemData":{"ISBN":"978-80-260-0334-2","ISSN":"1098-6596","PMID":"25246403","author":[{"dropping-particle":"","family":"Zewdie","given":"Getachew","non-dropping-particle":"","parse-names":false,"suffix":""}],"container-title":"AQUATEST","edition":"1st editio","editor":[{"dropping-particle":"","family":"Sima","given":"Jiri","non-dropping-particle":"","parse-names":false,"suffix":""}],"id":"ITEM-2","issued":{"date-parts":[["2011"]]},"number-of-pages":"1-113","publisher":"AQUATEST","publisher-place":"prague 5, Czech Republic","title":"Hydrogeological and Hydrochemical maps of Negele NB 37-11","type":"book"},"uris":["http://www.mendeley.com/documents/?uuid=b0b592c2-4272-4087-9d46-ff98d94bf955","http://www.mendeley.com/documents/?uuid=64d0d57d-19f5-4ff8-aa89-0fe3a24a45eb","http://www.mendeley.com/documents/?uuid=d50e63fb-8259-430b-9dd7-ce1019381191"]}],"mendeley":{"formattedCitation":"(Kiflu et al., 2009; Zewdie, 2011)","plainTextFormattedCitation":"(Kiflu et al., 2009; Zewdie, 2011)","previouslyFormattedCitation":"(Kiflu et al., 2009; Zewdie, 2011)"},"properties":{"noteIndex":0},"schema":"https://github.com/citation-style-language/schema/raw/master/csl-citation.json"}</w:instrText>
            </w:r>
            <w:r w:rsidRPr="00935D8E">
              <w:rPr>
                <w:rFonts w:eastAsia="Times New Roman"/>
              </w:rPr>
              <w:fldChar w:fldCharType="separate"/>
            </w:r>
            <w:r w:rsidRPr="00935D8E">
              <w:rPr>
                <w:rFonts w:eastAsia="Times New Roman"/>
                <w:noProof/>
              </w:rPr>
              <w:t>(Kiflu et al., 2009; Zewdie, 2011)</w:t>
            </w:r>
            <w:r w:rsidRPr="00935D8E">
              <w:rPr>
                <w:rFonts w:eastAsia="Times New Roman"/>
              </w:rPr>
              <w:fldChar w:fldCharType="end"/>
            </w:r>
            <w:r w:rsidRPr="00935D8E">
              <w:rPr>
                <w:rFonts w:eastAsia="Times New Roman"/>
              </w:rPr>
              <w:t>.</w:t>
            </w:r>
          </w:p>
        </w:tc>
      </w:tr>
      <w:tr w:rsidR="00456014" w:rsidRPr="00935D8E" w:rsidTr="007005D2">
        <w:trPr>
          <w:trHeight w:val="600"/>
          <w:jc w:val="center"/>
        </w:trPr>
        <w:tc>
          <w:tcPr>
            <w:tcW w:w="853" w:type="pct"/>
            <w:shd w:val="clear" w:color="auto" w:fill="auto"/>
            <w:noWrap/>
            <w:hideMark/>
          </w:tcPr>
          <w:p w:rsidR="008D68E3" w:rsidRPr="00935D8E" w:rsidRDefault="008D68E3" w:rsidP="00EC2A61">
            <w:pPr>
              <w:spacing w:before="0" w:after="0"/>
              <w:jc w:val="center"/>
              <w:rPr>
                <w:rFonts w:eastAsia="Times New Roman"/>
              </w:rPr>
            </w:pPr>
            <w:r w:rsidRPr="00935D8E">
              <w:rPr>
                <w:rFonts w:eastAsia="Times New Roman"/>
              </w:rPr>
              <w:t>Ntr3(PNa2)</w:t>
            </w:r>
          </w:p>
        </w:tc>
        <w:tc>
          <w:tcPr>
            <w:tcW w:w="4147" w:type="pct"/>
            <w:shd w:val="clear" w:color="auto" w:fill="auto"/>
            <w:vAlign w:val="bottom"/>
            <w:hideMark/>
          </w:tcPr>
          <w:p w:rsidR="008D68E3" w:rsidRPr="00935D8E" w:rsidRDefault="008D68E3" w:rsidP="00EC2A61">
            <w:pPr>
              <w:spacing w:before="0" w:after="0"/>
              <w:rPr>
                <w:rFonts w:eastAsia="Times New Roman"/>
              </w:rPr>
            </w:pPr>
            <w:r w:rsidRPr="00935D8E">
              <w:rPr>
                <w:rFonts w:eastAsia="Times New Roman"/>
                <w:b/>
                <w:bCs/>
              </w:rPr>
              <w:t xml:space="preserve">Alkali trachyte flows; </w:t>
            </w:r>
            <w:r w:rsidRPr="00935D8E">
              <w:rPr>
                <w:rFonts w:eastAsia="Times New Roman"/>
              </w:rPr>
              <w:t xml:space="preserve">Aphantic, aphyritic alkali trachytes and scattered trachytic plugs, minor proclastic rock and basalt flows. Extensive and Low productive Fractured volcanc aquifer </w:t>
            </w:r>
            <w:r w:rsidRPr="00935D8E">
              <w:rPr>
                <w:rFonts w:eastAsia="Times New Roman"/>
              </w:rPr>
              <w:fldChar w:fldCharType="begin" w:fldLock="1"/>
            </w:r>
            <w:r w:rsidR="00A309A8">
              <w:rPr>
                <w:rFonts w:eastAsia="Times New Roman"/>
              </w:rPr>
              <w:instrText>ADDIN CSL_CITATION {"citationItems":[{"id":"ITEM-1","itemData":{"author":[{"dropping-particle":"","family":"Kiflu","given":"Astatke","non-dropping-particle":"","parse-names":false,"suffix":""},{"dropping-particle":"","family":"Tafa","given":"Yosef","non-dropping-particle":"","parse-names":false,"suffix":""},{"dropping-particle":"","family":"Mulugeta","given":"Yonas","non-dropping-particle":"","parse-names":false,"suffix":""}],"id":"ITEM-1","issued":{"date-parts":[["2009"]]},"number-of-pages":"1-74","publisher-place":"Addis Abeba, Ethiopia","title":"Hydrogeological mapping of part of Asela map sheet (NB 37-3) South eastern high land of Ethiopia","type":"report"},"uris":["http://www.mendeley.com/documents/?uuid=00ac486c-3b45-4648-a467-648ee30a24fa","http://www.mendeley.com/documents/?uuid=b3043dd7-ee9c-4f47-9f3e-21b95483fb89"]},{"id":"ITEM-2","itemData":{"ISBN":"978-80-260-0334-2","ISSN":"1098-6596","PMID":"25246403","author":[{"dropping-particle":"","family":"Zewdie","given":"Getachew","non-dropping-particle":"","parse-names":false,"suffix":""}],"container-title":"AQUATEST","edition":"1st editio","editor":[{"dropping-particle":"","family":"Sima","given":"Jiri","non-dropping-particle":"","parse-names":false,"suffix":""}],"id":"ITEM-2","issued":{"date-parts":[["2011"]]},"number-of-pages":"1-113","publisher":"AQUATEST","publisher-place":"prague 5, Czech Republic","title":"Hydrogeological and Hydrochemical maps of Negele NB 37-11","type":"book"},"uris":["http://www.mendeley.com/documents/?uuid=b0b592c2-4272-4087-9d46-ff98d94bf955","http://www.mendeley.com/documents/?uuid=64d0d57d-19f5-4ff8-aa89-0fe3a24a45eb","http://www.mendeley.com/documents/?uuid=ae42bc58-28e8-4cbe-a29a-bcced04c2cf3"]}],"mendeley":{"formattedCitation":"(Kiflu et al., 2009; Zewdie, 2011)","plainTextFormattedCitation":"(Kiflu et al., 2009; Zewdie, 2011)","previouslyFormattedCitation":"(Kiflu et al., 2009; Zewdie, 2011)"},"properties":{"noteIndex":0},"schema":"https://github.com/citation-style-language/schema/raw/master/csl-citation.json"}</w:instrText>
            </w:r>
            <w:r w:rsidRPr="00935D8E">
              <w:rPr>
                <w:rFonts w:eastAsia="Times New Roman"/>
              </w:rPr>
              <w:fldChar w:fldCharType="separate"/>
            </w:r>
            <w:r w:rsidRPr="00935D8E">
              <w:rPr>
                <w:rFonts w:eastAsia="Times New Roman"/>
                <w:noProof/>
              </w:rPr>
              <w:t>(Kiflu et al., 2009; Zewdie, 2011)</w:t>
            </w:r>
            <w:r w:rsidRPr="00935D8E">
              <w:rPr>
                <w:rFonts w:eastAsia="Times New Roman"/>
              </w:rPr>
              <w:fldChar w:fldCharType="end"/>
            </w:r>
            <w:r w:rsidRPr="00935D8E">
              <w:rPr>
                <w:rFonts w:eastAsia="Times New Roman"/>
              </w:rPr>
              <w:t>.</w:t>
            </w:r>
          </w:p>
        </w:tc>
      </w:tr>
      <w:tr w:rsidR="00456014" w:rsidRPr="00935D8E" w:rsidTr="007005D2">
        <w:trPr>
          <w:trHeight w:val="600"/>
          <w:jc w:val="center"/>
        </w:trPr>
        <w:tc>
          <w:tcPr>
            <w:tcW w:w="853" w:type="pct"/>
            <w:shd w:val="clear" w:color="auto" w:fill="auto"/>
            <w:noWrap/>
            <w:hideMark/>
          </w:tcPr>
          <w:p w:rsidR="008D68E3" w:rsidRPr="00935D8E" w:rsidRDefault="008D68E3" w:rsidP="00EC2A61">
            <w:pPr>
              <w:spacing w:before="0" w:after="0"/>
              <w:jc w:val="center"/>
              <w:rPr>
                <w:rFonts w:eastAsia="Times New Roman"/>
              </w:rPr>
            </w:pPr>
            <w:r w:rsidRPr="00935D8E">
              <w:rPr>
                <w:rFonts w:eastAsia="Times New Roman"/>
              </w:rPr>
              <w:t>Ntr2(PNa3)</w:t>
            </w:r>
          </w:p>
        </w:tc>
        <w:tc>
          <w:tcPr>
            <w:tcW w:w="4147" w:type="pct"/>
            <w:shd w:val="clear" w:color="auto" w:fill="auto"/>
            <w:vAlign w:val="bottom"/>
            <w:hideMark/>
          </w:tcPr>
          <w:p w:rsidR="008D68E3" w:rsidRPr="00935D8E" w:rsidRDefault="008D68E3" w:rsidP="00EC2A61">
            <w:pPr>
              <w:spacing w:before="0" w:after="0"/>
              <w:rPr>
                <w:rFonts w:eastAsia="Times New Roman"/>
              </w:rPr>
            </w:pPr>
            <w:r w:rsidRPr="00935D8E">
              <w:rPr>
                <w:rFonts w:eastAsia="Times New Roman"/>
                <w:b/>
              </w:rPr>
              <w:t>Alkali trachyte and basalt flows;</w:t>
            </w:r>
            <w:r w:rsidRPr="00935D8E">
              <w:rPr>
                <w:rFonts w:eastAsia="Times New Roman"/>
              </w:rPr>
              <w:t xml:space="preserve"> alkali trachyte plugs are common. Extensive</w:t>
            </w:r>
            <w:r w:rsidR="00E43992" w:rsidRPr="00935D8E">
              <w:rPr>
                <w:rFonts w:eastAsia="Times New Roman"/>
              </w:rPr>
              <w:t>,</w:t>
            </w:r>
            <w:r w:rsidRPr="00935D8E">
              <w:rPr>
                <w:rFonts w:eastAsia="Times New Roman"/>
              </w:rPr>
              <w:t xml:space="preserve"> </w:t>
            </w:r>
            <w:r w:rsidR="00457B14" w:rsidRPr="00935D8E">
              <w:rPr>
                <w:rFonts w:eastAsia="Times New Roman"/>
              </w:rPr>
              <w:t>and moderately productive fractured volcanic aquifer</w:t>
            </w:r>
            <w:r w:rsidRPr="00935D8E">
              <w:rPr>
                <w:rFonts w:eastAsia="Times New Roman"/>
              </w:rPr>
              <w:t xml:space="preserve"> </w:t>
            </w:r>
            <w:r w:rsidRPr="00935D8E">
              <w:rPr>
                <w:rFonts w:eastAsia="Times New Roman"/>
              </w:rPr>
              <w:fldChar w:fldCharType="begin" w:fldLock="1"/>
            </w:r>
            <w:r w:rsidR="00A309A8">
              <w:rPr>
                <w:rFonts w:eastAsia="Times New Roman"/>
              </w:rPr>
              <w:instrText>ADDIN CSL_CITATION {"citationItems":[{"id":"ITEM-1","itemData":{"author":[{"dropping-particle":"","family":"Kiflu","given":"Astatke","non-dropping-particle":"","parse-names":false,"suffix":""},{"dropping-particle":"","family":"Tafa","given":"Yosef","non-dropping-particle":"","parse-names":false,"suffix":""},{"dropping-particle":"","family":"Mulugeta","given":"Yonas","non-dropping-particle":"","parse-names":false,"suffix":""}],"id":"ITEM-1","issued":{"date-parts":[["2009"]]},"number-of-pages":"1-74","publisher-place":"Addis Abeba, Ethiopia","title":"Hydrogeological mapping of part of Asela map sheet (NB 37-3) South eastern high land of Ethiopia","type":"report"},"uris":["http://www.mendeley.com/documents/?uuid=00ac486c-3b45-4648-a467-648ee30a24fa","http://www.mendeley.com/documents/?uuid=b3043dd7-ee9c-4f47-9f3e-21b95483fb89"]},{"id":"ITEM-2","itemData":{"ISBN":"978-80-260-0334-2","ISSN":"1098-6596","PMID":"25246403","author":[{"dropping-particle":"","family":"Zewdie","given":"Getachew","non-dropping-particle":"","parse-names":false,"suffix":""}],"container-title":"AQUATEST","edition":"1st editio","editor":[{"dropping-particle":"","family":"Sima","given":"Jiri","non-dropping-particle":"","parse-names":false,"suffix":""}],"id":"ITEM-2","issued":{"date-parts":[["2011"]]},"number-of-pages":"1-113","publisher":"AQUATEST","publisher-place":"prague 5, Czech Republic","title":"Hydrogeological and Hydrochemical maps of Negele NB 37-11","type":"book"},"uris":["http://www.mendeley.com/documents/?uuid=b0b592c2-4272-4087-9d46-ff98d94bf955","http://www.mendeley.com/documents/?uuid=64d0d57d-19f5-4ff8-aa89-0fe3a24a45eb","http://www.mendeley.com/documents/?uuid=2e6440a1-e470-4e7f-ac9a-1588a601b312"]}],"mendeley":{"formattedCitation":"(Kiflu et al., 2009; Zewdie, 2011)","plainTextFormattedCitation":"(Kiflu et al., 2009; Zewdie, 2011)","previouslyFormattedCitation":"(Kiflu et al., 2009; Zewdie, 2011)"},"properties":{"noteIndex":0},"schema":"https://github.com/citation-style-language/schema/raw/master/csl-citation.json"}</w:instrText>
            </w:r>
            <w:r w:rsidRPr="00935D8E">
              <w:rPr>
                <w:rFonts w:eastAsia="Times New Roman"/>
              </w:rPr>
              <w:fldChar w:fldCharType="separate"/>
            </w:r>
            <w:r w:rsidRPr="00935D8E">
              <w:rPr>
                <w:rFonts w:eastAsia="Times New Roman"/>
                <w:noProof/>
              </w:rPr>
              <w:t>(Kiflu et al., 2009; Zewdie, 2011)</w:t>
            </w:r>
            <w:r w:rsidRPr="00935D8E">
              <w:rPr>
                <w:rFonts w:eastAsia="Times New Roman"/>
              </w:rPr>
              <w:fldChar w:fldCharType="end"/>
            </w:r>
            <w:r w:rsidRPr="00935D8E">
              <w:rPr>
                <w:rFonts w:eastAsia="Times New Roman"/>
              </w:rPr>
              <w:t>.</w:t>
            </w:r>
          </w:p>
        </w:tc>
      </w:tr>
      <w:tr w:rsidR="00456014" w:rsidRPr="00935D8E" w:rsidTr="007005D2">
        <w:trPr>
          <w:trHeight w:val="690"/>
          <w:jc w:val="center"/>
        </w:trPr>
        <w:tc>
          <w:tcPr>
            <w:tcW w:w="853" w:type="pct"/>
            <w:shd w:val="clear" w:color="auto" w:fill="auto"/>
            <w:noWrap/>
            <w:hideMark/>
          </w:tcPr>
          <w:p w:rsidR="008D68E3" w:rsidRPr="00935D8E" w:rsidRDefault="008D68E3" w:rsidP="00EC2A61">
            <w:pPr>
              <w:spacing w:before="0" w:after="0"/>
              <w:jc w:val="center"/>
              <w:rPr>
                <w:rFonts w:eastAsia="Times New Roman"/>
              </w:rPr>
            </w:pPr>
            <w:r w:rsidRPr="00935D8E">
              <w:rPr>
                <w:rFonts w:eastAsia="Times New Roman"/>
              </w:rPr>
              <w:t>NMt (Tab)</w:t>
            </w:r>
          </w:p>
        </w:tc>
        <w:tc>
          <w:tcPr>
            <w:tcW w:w="4147" w:type="pct"/>
            <w:shd w:val="clear" w:color="auto" w:fill="auto"/>
            <w:vAlign w:val="bottom"/>
            <w:hideMark/>
          </w:tcPr>
          <w:p w:rsidR="008D68E3" w:rsidRPr="00935D8E" w:rsidRDefault="008D68E3" w:rsidP="00EC2A61">
            <w:pPr>
              <w:spacing w:before="0" w:after="0"/>
              <w:rPr>
                <w:rFonts w:eastAsia="Times New Roman"/>
              </w:rPr>
            </w:pPr>
            <w:r w:rsidRPr="00935D8E">
              <w:rPr>
                <w:rFonts w:eastAsia="Times New Roman"/>
                <w:b/>
                <w:bCs/>
              </w:rPr>
              <w:t>Teltele Basalt</w:t>
            </w:r>
            <w:r w:rsidRPr="00935D8E">
              <w:rPr>
                <w:rFonts w:eastAsia="Times New Roman"/>
              </w:rPr>
              <w:t xml:space="preserve">: Aphyritic basalt: Extensively developed Medium to High productive, fractured jointed and/or porous aquifer </w:t>
            </w:r>
            <w:r w:rsidRPr="00935D8E">
              <w:rPr>
                <w:rFonts w:eastAsia="Times New Roman"/>
              </w:rPr>
              <w:fldChar w:fldCharType="begin" w:fldLock="1"/>
            </w:r>
            <w:r w:rsidR="00A309A8">
              <w:rPr>
                <w:rFonts w:eastAsia="Times New Roman"/>
              </w:rPr>
              <w:instrText>ADDIN CSL_CITATION {"citationItems":[{"id":"ITEM-1","itemData":{"abstract":"The Dodola area is partially underlain by Precambrian crystalline basement rocks. Mesozoic sedimentary and Cenozoic volcanic rocks unconformably overlying the Precambrian cover large areas. The precambrian basement is divided into two major groups, low-grade and high-grade metamorphic rocks. Plutons of Precambrian age are also present. These rocks were affected by two main deformational events designated Dl and D2. . The Dl event affected the high-grade gneisses only, while both the high-grade and low- grade rocks were subjected to the D2 event. The precambrian rocks of the area were subjected to the M1 and M2 metamorphic episodes that accompanied Dl and D2' respectively. The high-grade rocks were metamorphosed to middle amphibolite facies (M1), the low-grade rocks to greenschist facies (M2). Four Mesozoic sedimentary map units, both sandstones and limestones, were identified. Eight Cenozoic volcanic map units were delineated in the area. Seven of these are of Tertiary age, the eighth of Quaternary age. Intrusive alkali-feldspar syenites are also present. Quaternary eluvial and alluvial sediments cover parts of the area. Placer gold in the southwestern part of the area and iron ore in unit pga (metagabbro) are the main types of mineralization in the map area. viii","author":[{"dropping-particle":"","family":"Gobena","given":"Hambisa","non-dropping-particle":"","parse-names":false,"suffix":""},{"dropping-particle":"","family":"Belayneh","given":"Mandefro","non-dropping-particle":"","parse-names":false,"suffix":""},{"dropping-particle":"","family":"Kebede","given":"Tesfaye","non-dropping-particle":"","parse-names":false,"suffix":""},{"dropping-particle":"","family":"Tesfaye","given":"Samson","non-dropping-particle":"","parse-names":false,"suffix":""},{"dropping-particle":"","family":"Abraham","given":"Amenti","non-dropping-particle":"","parse-names":false,"suffix":""}],"id":"ITEM-1","issued":{"date-parts":[["1997"]]},"number-of-pages":"1-150","publisher":"Geological survey of Ethiopia","publisher-place":"Addis Abeba, Ethiopia","title":"Geology of the Dodola area memoir 10","type":"thesis"},"uris":["http://www.mendeley.com/documents/?uuid=c79ad758-07cb-4295-b419-a4c7d1b0c8f2","http://www.mendeley.com/documents/?uuid=b840fa1f-1773-4952-a482-26e12eb52c1d"]},{"id":"ITEM-2","itemData":{"abstract":"Dodola map sheet (NB37-7) is covering parts of south eastern Ethiopian plateau and associated low lands. It is located at 430 km from Addis Ababa within Oromia and SNNP Regional states and bounded in between 6o 00’ to 7 o 00’ N Latitude and 39o00’ to 40o30’ E Longitude. The main and principal objective of the project is to produce hydrogeological and hydrochemical map of Dodola map sheet in 1:250,000 scale with accompanying report. Different materials like geological map, topographic map, GPS, PH meter, EC meter etc and appropriate software were used to achieve the objective. Geologically Dodolla map sheet is covered by Precambrian crystalline basement rocks, Mesozoic Sedimentary units at the middle, Cenozoic volcanic rocks at the top with a very few recent sediment deposit. Based on hydrodynamic properties of rocks and their hydraulic characteristics all Mesozoic sedimentary units are classified under high productive aquifer except upper sand stone which is local and low productive aquifer. Within the Cenozoic volcanic rocks, Ankaramite and syanite are massive, slightly weathered and can be characterized as low productive, where as the rest of volcanic rocks in the area possess moderate to high productive characteristics. The highly sheared, foliated and weathered high grade basement rocks of the area classified as low to moderate productive. Low grade basement rocks, mainly intrusives and metasedimentary units are massive and fresh without water points and classified as medium of very low water holding and transmitting capacity/Aquifuge. From topographic set up and ground water table map , the general ground water flow direction in the area is towards south and mainly south east (sedimentary covering low land) and the minimum mean recharge of the area from precipitation is estimated as 1127.2 mm/year. From the collected 97 water samples about 78 water samples are within the permissible level of water quality standard of WHO and good for drinking purpose. The Sodium Adsorption Ratio (SAR) value of the water in the area is &lt;5, which is within excellent range for irrigation, but TDS irrigation suitability criteria shows 87 water samples are excellent, 7 are suitable and the rest are unsuitable. Most of analyzed water samples show the ground water quality of the area is also suitable for Dairy, Sugar, Food processing and Tanning industries. Shallow well of Dello Mena town (dshw_4) and dDw_11 of Dodola area shows harmful (high) concentration of NO3 and sho…","author":[{"dropping-particle":"","family":"Kifle","given":"Astatike","non-dropping-particle":"","parse-names":false,"suffix":""},{"dropping-particle":"","family":"Hailemriam","given":"Mulugeta","non-dropping-particle":"","parse-names":false,"suffix":""}],"id":"ITEM-2","issued":{"date-parts":[["2010"]]},"number-of-pages":"1-104","publisher-place":"Addis Abeba, Ethiopia","title":"Integrated hydrogeological mapping of Dodola map sheet (NB 37-7) South Eastern Ethiopia high lands with associated low lands","type":"report"},"uris":["http://www.mendeley.com/documents/?uuid=a08bf45a-48bd-4814-bf25-2789c5c1d393","http://www.mendeley.com/documents/?uuid=0265e2e7-316d-4ea6-8541-27380974830d","http://www.mendeley.com/documents/?uuid=d41edcac-19e8-4406-b79d-1c269772898c"]}],"mendeley":{"formattedCitation":"(Gobena et al., 1997; Kifle &amp; Hailemriam, 2010)","manualFormatting":"(Gobena et al., 1997; Kifle and Hailemriam, 2010)","plainTextFormattedCitation":"(Gobena et al., 1997; Kifle &amp; Hailemriam, 2010)","previouslyFormattedCitation":"(Gobena et al., 1997; Kifle &amp; Hailemriam, 2010)"},"properties":{"noteIndex":0},"schema":"https://github.com/citation-style-language/schema/raw/master/csl-citation.json"}</w:instrText>
            </w:r>
            <w:r w:rsidRPr="00935D8E">
              <w:rPr>
                <w:rFonts w:eastAsia="Times New Roman"/>
              </w:rPr>
              <w:fldChar w:fldCharType="separate"/>
            </w:r>
            <w:r w:rsidRPr="00935D8E">
              <w:rPr>
                <w:rFonts w:eastAsia="Times New Roman"/>
                <w:noProof/>
              </w:rPr>
              <w:t xml:space="preserve">(Gobena et al., 1997; Kifle </w:t>
            </w:r>
            <w:r w:rsidR="00706F11" w:rsidRPr="00935D8E">
              <w:rPr>
                <w:rFonts w:eastAsia="Times New Roman"/>
                <w:noProof/>
              </w:rPr>
              <w:t>and</w:t>
            </w:r>
            <w:r w:rsidRPr="00935D8E">
              <w:rPr>
                <w:rFonts w:eastAsia="Times New Roman"/>
                <w:noProof/>
              </w:rPr>
              <w:t xml:space="preserve"> Hailemriam, 2010)</w:t>
            </w:r>
            <w:r w:rsidRPr="00935D8E">
              <w:rPr>
                <w:rFonts w:eastAsia="Times New Roman"/>
              </w:rPr>
              <w:fldChar w:fldCharType="end"/>
            </w:r>
            <w:r w:rsidRPr="00935D8E">
              <w:rPr>
                <w:rFonts w:eastAsia="Times New Roman"/>
              </w:rPr>
              <w:t>.</w:t>
            </w:r>
          </w:p>
        </w:tc>
      </w:tr>
      <w:tr w:rsidR="00456014" w:rsidRPr="00935D8E" w:rsidTr="007005D2">
        <w:trPr>
          <w:trHeight w:val="900"/>
          <w:jc w:val="center"/>
        </w:trPr>
        <w:tc>
          <w:tcPr>
            <w:tcW w:w="853" w:type="pct"/>
            <w:shd w:val="clear" w:color="auto" w:fill="auto"/>
            <w:noWrap/>
            <w:hideMark/>
          </w:tcPr>
          <w:p w:rsidR="008D68E3" w:rsidRPr="00935D8E" w:rsidRDefault="008D68E3" w:rsidP="00EC2A61">
            <w:pPr>
              <w:spacing w:before="0" w:after="0"/>
              <w:jc w:val="center"/>
              <w:rPr>
                <w:rFonts w:eastAsia="Times New Roman"/>
              </w:rPr>
            </w:pPr>
            <w:r w:rsidRPr="00935D8E">
              <w:rPr>
                <w:rFonts w:eastAsia="Times New Roman"/>
              </w:rPr>
              <w:t>PNb1(PNb)</w:t>
            </w:r>
          </w:p>
        </w:tc>
        <w:tc>
          <w:tcPr>
            <w:tcW w:w="4147" w:type="pct"/>
            <w:shd w:val="clear" w:color="auto" w:fill="auto"/>
            <w:vAlign w:val="bottom"/>
            <w:hideMark/>
          </w:tcPr>
          <w:p w:rsidR="008D68E3" w:rsidRPr="00935D8E" w:rsidRDefault="008D68E3" w:rsidP="00EC2A61">
            <w:pPr>
              <w:spacing w:before="0" w:after="0"/>
              <w:rPr>
                <w:rFonts w:eastAsia="Times New Roman"/>
              </w:rPr>
            </w:pPr>
            <w:r w:rsidRPr="00935D8E">
              <w:rPr>
                <w:rFonts w:eastAsia="Times New Roman"/>
                <w:b/>
                <w:bCs/>
              </w:rPr>
              <w:t>Alaji formation/ lower flood basalt:</w:t>
            </w:r>
            <w:r w:rsidRPr="00935D8E">
              <w:rPr>
                <w:rFonts w:eastAsia="Times New Roman"/>
              </w:rPr>
              <w:t xml:space="preserve"> Aphyric and prophytic basalt flows with lesser visicular basalt, minor alkali trachyte flows and tuffs. Extensive and Moderately productive fractured volcanic aquifer </w:t>
            </w:r>
            <w:r w:rsidRPr="00935D8E">
              <w:rPr>
                <w:rFonts w:eastAsia="Times New Roman"/>
              </w:rPr>
              <w:fldChar w:fldCharType="begin" w:fldLock="1"/>
            </w:r>
            <w:r w:rsidR="00A309A8">
              <w:rPr>
                <w:rFonts w:eastAsia="Times New Roman"/>
              </w:rPr>
              <w:instrText>ADDIN CSL_CITATION {"citationItems":[{"id":"ITEM-1","itemData":{"author":[{"dropping-particle":"","family":"Kebede","given":"Mintesnot","non-dropping-particle":"","parse-names":false,"suffix":""},{"dropping-particle":"","family":"Mulugeta","given":"Yonas","non-dropping-particle":"","parse-names":false,"suffix":""}],"id":"ITEM-1","issued":{"date-parts":[["2011"]]},"publisher-place":"Addis Abeba, Ethiopia","title":"Hydrogeological map of Megallo map sheet (NB 37-8)","type":"report"},"uris":["http://www.mendeley.com/documents/?uuid=1e17384d-a269-4745-b57a-3cfb8caa3508","http://www.mendeley.com/documents/?uuid=840f342e-829f-4f6d-87d4-a6e206ab7aa8"]},{"id":"ITEM-2","itemData":{"ISBN":"978-80-260-0334-2","ISSN":"1098-6596","PMID":"25246403","author":[{"dropping-particle":"","family":"Zewdie","given":"Getachew","non-dropping-particle":"","parse-names":false,"suffix":""}],"container-title":"AQUATEST","edition":"1st editio","editor":[{"dropping-particle":"","family":"Sima","given":"Jiri","non-dropping-particle":"","parse-names":false,"suffix":""}],"id":"ITEM-2","issued":{"date-parts":[["2011"]]},"number-of-pages":"1-113","publisher":"AQUATEST","publisher-place":"prague 5, Czech Republic","title":"Hydrogeological and Hydrochemical maps of Negele NB 37-11","type":"book"},"uris":["http://www.mendeley.com/documents/?uuid=b0b592c2-4272-4087-9d46-ff98d94bf955","http://www.mendeley.com/documents/?uuid=64d0d57d-19f5-4ff8-aa89-0fe3a24a45eb","http://www.mendeley.com/documents/?uuid=5d70e7cf-df60-4a98-8d2d-4e84154ab9bd"]}],"mendeley":{"formattedCitation":"(M. Kebede &amp; Mulugeta, 2011; Zewdie, 2011)","manualFormatting":"(Kebede and Mulugeta, 2011; Zewdie, 2011)","plainTextFormattedCitation":"(M. Kebede &amp; Mulugeta, 2011; Zewdie, 2011)","previouslyFormattedCitation":"(M. Kebede &amp; Mulugeta, 2011; Zewdie, 2011)"},"properties":{"noteIndex":0},"schema":"https://github.com/citation-style-language/schema/raw/master/csl-citation.json"}</w:instrText>
            </w:r>
            <w:r w:rsidRPr="00935D8E">
              <w:rPr>
                <w:rFonts w:eastAsia="Times New Roman"/>
              </w:rPr>
              <w:fldChar w:fldCharType="separate"/>
            </w:r>
            <w:r w:rsidR="00706F11" w:rsidRPr="00935D8E">
              <w:rPr>
                <w:rFonts w:eastAsia="Times New Roman"/>
                <w:noProof/>
              </w:rPr>
              <w:t>(Kebede and</w:t>
            </w:r>
            <w:r w:rsidRPr="00935D8E">
              <w:rPr>
                <w:rFonts w:eastAsia="Times New Roman"/>
                <w:noProof/>
              </w:rPr>
              <w:t xml:space="preserve"> Mulugeta, 2011; Zewdie, 2011)</w:t>
            </w:r>
            <w:r w:rsidRPr="00935D8E">
              <w:rPr>
                <w:rFonts w:eastAsia="Times New Roman"/>
              </w:rPr>
              <w:fldChar w:fldCharType="end"/>
            </w:r>
            <w:r w:rsidRPr="00935D8E">
              <w:rPr>
                <w:rFonts w:eastAsia="Times New Roman"/>
              </w:rPr>
              <w:t>.</w:t>
            </w:r>
          </w:p>
        </w:tc>
      </w:tr>
      <w:tr w:rsidR="00456014" w:rsidRPr="00935D8E" w:rsidTr="007005D2">
        <w:trPr>
          <w:trHeight w:val="600"/>
          <w:jc w:val="center"/>
        </w:trPr>
        <w:tc>
          <w:tcPr>
            <w:tcW w:w="853" w:type="pct"/>
            <w:shd w:val="clear" w:color="auto" w:fill="auto"/>
            <w:noWrap/>
            <w:hideMark/>
          </w:tcPr>
          <w:p w:rsidR="008D68E3" w:rsidRPr="00935D8E" w:rsidRDefault="008D68E3" w:rsidP="00EC2A61">
            <w:pPr>
              <w:spacing w:before="0" w:after="0"/>
              <w:jc w:val="center"/>
              <w:rPr>
                <w:rFonts w:eastAsia="Times New Roman"/>
              </w:rPr>
            </w:pPr>
            <w:r w:rsidRPr="00935D8E">
              <w:rPr>
                <w:rFonts w:eastAsia="Times New Roman"/>
              </w:rPr>
              <w:t>Kg1(Kg)</w:t>
            </w:r>
          </w:p>
        </w:tc>
        <w:tc>
          <w:tcPr>
            <w:tcW w:w="4147" w:type="pct"/>
            <w:shd w:val="clear" w:color="auto" w:fill="auto"/>
            <w:vAlign w:val="bottom"/>
            <w:hideMark/>
          </w:tcPr>
          <w:p w:rsidR="008D68E3" w:rsidRPr="00935D8E" w:rsidRDefault="008D68E3" w:rsidP="00EC2A61">
            <w:pPr>
              <w:spacing w:before="0" w:after="0"/>
              <w:rPr>
                <w:rFonts w:eastAsia="Times New Roman"/>
              </w:rPr>
            </w:pPr>
            <w:r w:rsidRPr="00935D8E">
              <w:rPr>
                <w:rFonts w:eastAsia="Times New Roman"/>
                <w:b/>
                <w:bCs/>
              </w:rPr>
              <w:t>Lower Korahe formation</w:t>
            </w:r>
            <w:r w:rsidRPr="00935D8E">
              <w:rPr>
                <w:rFonts w:eastAsia="Times New Roman"/>
              </w:rPr>
              <w:t xml:space="preserve">; sandstone with beds of dolomite limestone, marl, shale, gypsum. Extensive and low productive fractured and intergranular or sedimentary aquifer </w:t>
            </w:r>
            <w:r w:rsidRPr="00935D8E">
              <w:rPr>
                <w:rFonts w:eastAsia="Times New Roman"/>
              </w:rPr>
              <w:fldChar w:fldCharType="begin" w:fldLock="1"/>
            </w:r>
            <w:r w:rsidR="00A309A8">
              <w:rPr>
                <w:rFonts w:eastAsia="Times New Roman"/>
              </w:rPr>
              <w:instrText>ADDIN CSL_CITATION {"citationItems":[{"id":"ITEM-1","itemData":{"author":[{"dropping-particle":"","family":"Kebede","given":"Mintesnot","non-dropping-particle":"","parse-names":false,"suffix":""},{"dropping-particle":"","family":"Mulugeta","given":"Yonas","non-dropping-particle":"","parse-names":false,"suffix":""}],"id":"ITEM-1","issued":{"date-parts":[["2011"]]},"publisher-place":"Addis Abeba, Ethiopia","title":"Hydrogeological map of Megallo map sheet (NB 37-8)","type":"report"},"uris":["http://www.mendeley.com/documents/?uuid=1e17384d-a269-4745-b57a-3cfb8caa3508","http://www.mendeley.com/documents/?uuid=840f342e-829f-4f6d-87d4-a6e206ab7aa8"]},{"id":"ITEM-2","itemData":{"ISBN":"978-80-260-0334-2","ISSN":"1098-6596","PMID":"25246403","author":[{"dropping-particle":"","family":"Zewdie","given":"Getachew","non-dropping-particle":"","parse-names":false,"suffix":""}],"container-title":"AQUATEST","edition":"1st editio","editor":[{"dropping-particle":"","family":"Sima","given":"Jiri","non-dropping-particle":"","parse-names":false,"suffix":""}],"id":"ITEM-2","issued":{"date-parts":[["2011"]]},"number-of-pages":"1-113","publisher":"AQUATEST","publisher-place":"prague 5, Czech Republic","title":"Hydrogeological and Hydrochemical maps of Negele NB 37-11","type":"book"},"uris":["http://www.mendeley.com/documents/?uuid=b0b592c2-4272-4087-9d46-ff98d94bf955","http://www.mendeley.com/documents/?uuid=64d0d57d-19f5-4ff8-aa89-0fe3a24a45eb","http://www.mendeley.com/documents/?uuid=58f10d97-3a4d-4ffb-9ff3-ce6c329d2c38"]}],"mendeley":{"formattedCitation":"(M. Kebede &amp; Mulugeta, 2011; Zewdie, 2011)","manualFormatting":"(Kebede and Mulugeta, 2011; Zewdie, 2011)","plainTextFormattedCitation":"(M. Kebede &amp; Mulugeta, 2011; Zewdie, 2011)","previouslyFormattedCitation":"(M. Kebede &amp; Mulugeta, 2011; Zewdie, 2011)"},"properties":{"noteIndex":0},"schema":"https://github.com/citation-style-language/schema/raw/master/csl-citation.json"}</w:instrText>
            </w:r>
            <w:r w:rsidRPr="00935D8E">
              <w:rPr>
                <w:rFonts w:eastAsia="Times New Roman"/>
              </w:rPr>
              <w:fldChar w:fldCharType="separate"/>
            </w:r>
            <w:r w:rsidR="00706F11" w:rsidRPr="00935D8E">
              <w:rPr>
                <w:rFonts w:eastAsia="Times New Roman"/>
                <w:noProof/>
              </w:rPr>
              <w:t>(Kebede and</w:t>
            </w:r>
            <w:r w:rsidRPr="00935D8E">
              <w:rPr>
                <w:rFonts w:eastAsia="Times New Roman"/>
                <w:noProof/>
              </w:rPr>
              <w:t xml:space="preserve"> Mulugeta, 2011; Zewdie, 2011)</w:t>
            </w:r>
            <w:r w:rsidRPr="00935D8E">
              <w:rPr>
                <w:rFonts w:eastAsia="Times New Roman"/>
              </w:rPr>
              <w:fldChar w:fldCharType="end"/>
            </w:r>
            <w:r w:rsidRPr="00935D8E">
              <w:rPr>
                <w:rFonts w:eastAsia="Times New Roman"/>
              </w:rPr>
              <w:t>.</w:t>
            </w:r>
          </w:p>
        </w:tc>
      </w:tr>
      <w:tr w:rsidR="00456014" w:rsidRPr="00935D8E" w:rsidTr="007005D2">
        <w:trPr>
          <w:trHeight w:val="960"/>
          <w:jc w:val="center"/>
        </w:trPr>
        <w:tc>
          <w:tcPr>
            <w:tcW w:w="853" w:type="pct"/>
            <w:shd w:val="clear" w:color="auto" w:fill="auto"/>
            <w:noWrap/>
            <w:hideMark/>
          </w:tcPr>
          <w:p w:rsidR="008D68E3" w:rsidRPr="00935D8E" w:rsidRDefault="008D68E3" w:rsidP="00EC2A61">
            <w:pPr>
              <w:spacing w:before="0" w:after="0"/>
              <w:jc w:val="center"/>
              <w:rPr>
                <w:rFonts w:eastAsia="Times New Roman"/>
              </w:rPr>
            </w:pPr>
            <w:r w:rsidRPr="00935D8E">
              <w:rPr>
                <w:rFonts w:eastAsia="Times New Roman"/>
              </w:rPr>
              <w:t>Jg (Jg2)</w:t>
            </w:r>
          </w:p>
        </w:tc>
        <w:tc>
          <w:tcPr>
            <w:tcW w:w="4147" w:type="pct"/>
            <w:shd w:val="clear" w:color="auto" w:fill="auto"/>
            <w:vAlign w:val="bottom"/>
            <w:hideMark/>
          </w:tcPr>
          <w:p w:rsidR="008D68E3" w:rsidRPr="00935D8E" w:rsidRDefault="008D68E3" w:rsidP="00EC2A61">
            <w:pPr>
              <w:spacing w:before="0" w:after="0"/>
              <w:rPr>
                <w:rFonts w:eastAsia="Times New Roman"/>
              </w:rPr>
            </w:pPr>
            <w:r w:rsidRPr="00935D8E">
              <w:rPr>
                <w:rFonts w:eastAsia="Times New Roman"/>
                <w:b/>
                <w:bCs/>
              </w:rPr>
              <w:t xml:space="preserve">Upper Gabredarre formation: </w:t>
            </w:r>
            <w:r w:rsidRPr="00935D8E">
              <w:rPr>
                <w:rFonts w:eastAsia="Times New Roman"/>
              </w:rPr>
              <w:t>Thinly bedded alternating oolitic and marl limestone inter-bedded in the upper part with gypsum and shale. Extensive and moderately productive fractured and karstic sedimentary aquifer</w:t>
            </w:r>
            <w:r w:rsidR="00DC27FA" w:rsidRPr="00935D8E">
              <w:rPr>
                <w:rFonts w:eastAsia="Times New Roman"/>
              </w:rPr>
              <w:t xml:space="preserve"> </w:t>
            </w:r>
            <w:r w:rsidR="008E5EB8" w:rsidRPr="00935D8E">
              <w:rPr>
                <w:rFonts w:eastAsia="Times New Roman"/>
              </w:rPr>
              <w:fldChar w:fldCharType="begin" w:fldLock="1"/>
            </w:r>
            <w:r w:rsidR="00A309A8">
              <w:rPr>
                <w:rFonts w:eastAsia="Times New Roman"/>
              </w:rPr>
              <w:instrText>ADDIN CSL_CITATION {"citationItems":[{"id":"ITEM-1","itemData":{"author":[{"dropping-particle":"","family":"Kebede","given":"Mintesnot","non-dropping-particle":"","parse-names":false,"suffix":""},{"dropping-particle":"","family":"Mulugeta","given":"Yonas","non-dropping-particle":"","parse-names":false,"suffix":""}],"id":"ITEM-1","issued":{"date-parts":[["2011"]]},"publisher-place":"Addis Abeba, Ethiopia","title":"Hydrogeological map of Megallo map sheet (NB 37-8)","type":"report"},"uris":["http://www.mendeley.com/documents/?uuid=1e17384d-a269-4745-b57a-3cfb8caa3508","http://www.mendeley.com/documents/?uuid=840f342e-829f-4f6d-87d4-a6e206ab7aa8"]}],"mendeley":{"formattedCitation":"(M. Kebede &amp; Mulugeta, 2011)","manualFormatting":"(Kebede and Mulugeta, 2011)","plainTextFormattedCitation":"(M. Kebede &amp; Mulugeta, 2011)","previouslyFormattedCitation":"(M. Kebede &amp; Mulugeta, 2011)"},"properties":{"noteIndex":0},"schema":"https://github.com/citation-style-language/schema/raw/master/csl-citation.json"}</w:instrText>
            </w:r>
            <w:r w:rsidR="008E5EB8" w:rsidRPr="00935D8E">
              <w:rPr>
                <w:rFonts w:eastAsia="Times New Roman"/>
              </w:rPr>
              <w:fldChar w:fldCharType="separate"/>
            </w:r>
            <w:r w:rsidR="00E43992" w:rsidRPr="00935D8E">
              <w:rPr>
                <w:rFonts w:eastAsia="Times New Roman"/>
                <w:noProof/>
              </w:rPr>
              <w:t>(</w:t>
            </w:r>
            <w:r w:rsidR="008E5EB8" w:rsidRPr="00935D8E">
              <w:rPr>
                <w:rFonts w:eastAsia="Times New Roman"/>
                <w:noProof/>
              </w:rPr>
              <w:t xml:space="preserve">Kebede </w:t>
            </w:r>
            <w:r w:rsidR="00F63890" w:rsidRPr="00935D8E">
              <w:rPr>
                <w:rFonts w:eastAsia="Times New Roman"/>
                <w:noProof/>
              </w:rPr>
              <w:t>and</w:t>
            </w:r>
            <w:r w:rsidR="008E5EB8" w:rsidRPr="00935D8E">
              <w:rPr>
                <w:rFonts w:eastAsia="Times New Roman"/>
                <w:noProof/>
              </w:rPr>
              <w:t xml:space="preserve"> Mulugeta, 2011)</w:t>
            </w:r>
            <w:r w:rsidR="008E5EB8" w:rsidRPr="00935D8E">
              <w:rPr>
                <w:rFonts w:eastAsia="Times New Roman"/>
              </w:rPr>
              <w:fldChar w:fldCharType="end"/>
            </w:r>
            <w:r w:rsidR="008E5EB8" w:rsidRPr="00935D8E">
              <w:rPr>
                <w:rFonts w:eastAsia="Times New Roman"/>
              </w:rPr>
              <w:t>.</w:t>
            </w:r>
          </w:p>
        </w:tc>
      </w:tr>
    </w:tbl>
    <w:p w:rsidR="00A42CE1" w:rsidRPr="00935D8E" w:rsidRDefault="00D44D89" w:rsidP="00EC2A61">
      <w:pPr>
        <w:pStyle w:val="Caption"/>
        <w:spacing w:before="120" w:after="120" w:line="360" w:lineRule="auto"/>
        <w:rPr>
          <w:i w:val="0"/>
          <w:color w:val="auto"/>
          <w:sz w:val="24"/>
          <w:szCs w:val="24"/>
        </w:rPr>
      </w:pPr>
      <w:bookmarkStart w:id="263" w:name="_Toc68761656"/>
      <w:r w:rsidRPr="00935D8E">
        <w:rPr>
          <w:i w:val="0"/>
          <w:color w:val="auto"/>
          <w:sz w:val="24"/>
          <w:szCs w:val="24"/>
        </w:rPr>
        <w:t xml:space="preserve">Appendix table </w:t>
      </w:r>
      <w:r w:rsidRPr="00935D8E">
        <w:rPr>
          <w:i w:val="0"/>
          <w:color w:val="auto"/>
          <w:sz w:val="24"/>
          <w:szCs w:val="24"/>
        </w:rPr>
        <w:fldChar w:fldCharType="begin"/>
      </w:r>
      <w:r w:rsidRPr="00935D8E">
        <w:rPr>
          <w:i w:val="0"/>
          <w:color w:val="auto"/>
          <w:sz w:val="24"/>
          <w:szCs w:val="24"/>
        </w:rPr>
        <w:instrText xml:space="preserve"> SEQ Appendix_table \* ARABIC </w:instrText>
      </w:r>
      <w:r w:rsidRPr="00935D8E">
        <w:rPr>
          <w:i w:val="0"/>
          <w:color w:val="auto"/>
          <w:sz w:val="24"/>
          <w:szCs w:val="24"/>
        </w:rPr>
        <w:fldChar w:fldCharType="separate"/>
      </w:r>
      <w:r w:rsidR="00BD510E">
        <w:rPr>
          <w:i w:val="0"/>
          <w:noProof/>
          <w:color w:val="auto"/>
          <w:sz w:val="24"/>
          <w:szCs w:val="24"/>
        </w:rPr>
        <w:t>7</w:t>
      </w:r>
      <w:r w:rsidRPr="00935D8E">
        <w:rPr>
          <w:i w:val="0"/>
          <w:color w:val="auto"/>
          <w:sz w:val="24"/>
          <w:szCs w:val="24"/>
        </w:rPr>
        <w:fldChar w:fldCharType="end"/>
      </w:r>
      <w:r w:rsidRPr="00935D8E">
        <w:rPr>
          <w:i w:val="0"/>
          <w:color w:val="auto"/>
          <w:sz w:val="24"/>
          <w:szCs w:val="24"/>
        </w:rPr>
        <w:t xml:space="preserve">: </w:t>
      </w:r>
      <w:r w:rsidR="00A9669E" w:rsidRPr="00935D8E">
        <w:rPr>
          <w:i w:val="0"/>
          <w:color w:val="auto"/>
          <w:sz w:val="24"/>
          <w:szCs w:val="24"/>
        </w:rPr>
        <w:t>Major</w:t>
      </w:r>
      <w:r w:rsidR="00861D0F" w:rsidRPr="00935D8E">
        <w:rPr>
          <w:i w:val="0"/>
          <w:color w:val="auto"/>
          <w:sz w:val="24"/>
          <w:szCs w:val="24"/>
        </w:rPr>
        <w:t xml:space="preserve"> </w:t>
      </w:r>
      <w:r w:rsidR="00AA6BF7" w:rsidRPr="00935D8E">
        <w:rPr>
          <w:i w:val="0"/>
          <w:color w:val="auto"/>
          <w:sz w:val="24"/>
          <w:szCs w:val="24"/>
        </w:rPr>
        <w:t xml:space="preserve">soil </w:t>
      </w:r>
      <w:r w:rsidR="00861D0F" w:rsidRPr="00935D8E">
        <w:rPr>
          <w:i w:val="0"/>
          <w:color w:val="auto"/>
          <w:sz w:val="24"/>
          <w:szCs w:val="24"/>
        </w:rPr>
        <w:t>gro</w:t>
      </w:r>
      <w:r w:rsidR="00EF4065" w:rsidRPr="00935D8E">
        <w:rPr>
          <w:i w:val="0"/>
          <w:color w:val="auto"/>
          <w:sz w:val="24"/>
          <w:szCs w:val="24"/>
        </w:rPr>
        <w:t>ups and their short description</w:t>
      </w:r>
      <w:bookmarkEnd w:id="263"/>
    </w:p>
    <w:tbl>
      <w:tblPr>
        <w:tblW w:w="5000" w:type="pct"/>
        <w:jc w:val="center"/>
        <w:tblBorders>
          <w:top w:val="single" w:sz="4" w:space="0" w:color="000000"/>
          <w:bottom w:val="single" w:sz="4" w:space="0" w:color="000000"/>
        </w:tblBorders>
        <w:tblLook w:val="04A0" w:firstRow="1" w:lastRow="0" w:firstColumn="1" w:lastColumn="0" w:noHBand="0" w:noVBand="1"/>
      </w:tblPr>
      <w:tblGrid>
        <w:gridCol w:w="1535"/>
        <w:gridCol w:w="7465"/>
      </w:tblGrid>
      <w:tr w:rsidR="00456014" w:rsidRPr="00935D8E" w:rsidTr="007005D2">
        <w:trPr>
          <w:jc w:val="center"/>
        </w:trPr>
        <w:tc>
          <w:tcPr>
            <w:tcW w:w="853" w:type="pct"/>
            <w:tcBorders>
              <w:top w:val="single" w:sz="4" w:space="0" w:color="000000"/>
              <w:bottom w:val="single" w:sz="4" w:space="0" w:color="000000"/>
            </w:tcBorders>
            <w:shd w:val="clear" w:color="auto" w:fill="auto"/>
          </w:tcPr>
          <w:p w:rsidR="00D44D89" w:rsidRPr="00935D8E" w:rsidRDefault="00D44D89" w:rsidP="00EC2A61">
            <w:pPr>
              <w:spacing w:before="0" w:after="0"/>
              <w:jc w:val="center"/>
              <w:rPr>
                <w:rFonts w:eastAsia="Times New Roman"/>
                <w:b/>
                <w:bCs/>
                <w:lang w:val="en-GB" w:eastAsia="en-GB"/>
              </w:rPr>
            </w:pPr>
            <w:r w:rsidRPr="00935D8E">
              <w:rPr>
                <w:rFonts w:eastAsia="Times New Roman"/>
                <w:b/>
                <w:bCs/>
                <w:lang w:val="en-GB" w:eastAsia="en-GB"/>
              </w:rPr>
              <w:lastRenderedPageBreak/>
              <w:t>Major soil groups</w:t>
            </w:r>
          </w:p>
        </w:tc>
        <w:tc>
          <w:tcPr>
            <w:tcW w:w="4147" w:type="pct"/>
            <w:tcBorders>
              <w:top w:val="single" w:sz="4" w:space="0" w:color="000000"/>
              <w:bottom w:val="single" w:sz="4" w:space="0" w:color="000000"/>
            </w:tcBorders>
            <w:shd w:val="clear" w:color="auto" w:fill="auto"/>
          </w:tcPr>
          <w:p w:rsidR="00D44D89" w:rsidRPr="00935D8E" w:rsidRDefault="00D44D89" w:rsidP="00EC2A61">
            <w:pPr>
              <w:spacing w:before="0" w:after="0"/>
              <w:jc w:val="center"/>
              <w:rPr>
                <w:rFonts w:eastAsia="Times New Roman"/>
                <w:b/>
                <w:bCs/>
                <w:lang w:val="en-GB" w:eastAsia="en-GB"/>
              </w:rPr>
            </w:pPr>
            <w:r w:rsidRPr="00935D8E">
              <w:rPr>
                <w:rFonts w:eastAsia="Times New Roman"/>
                <w:b/>
                <w:bCs/>
                <w:lang w:val="en-GB" w:eastAsia="en-GB"/>
              </w:rPr>
              <w:t>Short description</w:t>
            </w:r>
          </w:p>
        </w:tc>
      </w:tr>
      <w:tr w:rsidR="00456014" w:rsidRPr="00935D8E" w:rsidTr="007005D2">
        <w:trPr>
          <w:jc w:val="center"/>
        </w:trPr>
        <w:tc>
          <w:tcPr>
            <w:tcW w:w="853" w:type="pct"/>
            <w:tcBorders>
              <w:top w:val="single" w:sz="4" w:space="0" w:color="000000"/>
            </w:tcBorders>
            <w:shd w:val="clear" w:color="auto" w:fill="auto"/>
          </w:tcPr>
          <w:p w:rsidR="00D44D89" w:rsidRPr="00935D8E" w:rsidRDefault="00D44D89" w:rsidP="00EC2A61">
            <w:pPr>
              <w:spacing w:before="0" w:after="0"/>
              <w:jc w:val="center"/>
              <w:rPr>
                <w:rFonts w:eastAsia="Times New Roman"/>
                <w:lang w:val="en-GB" w:eastAsia="en-GB"/>
              </w:rPr>
            </w:pPr>
            <w:r w:rsidRPr="00935D8E">
              <w:rPr>
                <w:rFonts w:eastAsia="Times New Roman"/>
                <w:lang w:val="en-GB" w:eastAsia="en-GB"/>
              </w:rPr>
              <w:t>Arenosols</w:t>
            </w:r>
          </w:p>
        </w:tc>
        <w:tc>
          <w:tcPr>
            <w:tcW w:w="4147" w:type="pct"/>
            <w:tcBorders>
              <w:top w:val="single" w:sz="4" w:space="0" w:color="000000"/>
            </w:tcBorders>
            <w:shd w:val="clear" w:color="auto" w:fill="auto"/>
          </w:tcPr>
          <w:p w:rsidR="00D44D89" w:rsidRPr="00935D8E" w:rsidRDefault="00D44D89" w:rsidP="00EC2A61">
            <w:pPr>
              <w:spacing w:before="0" w:after="0"/>
              <w:rPr>
                <w:rFonts w:eastAsia="Times New Roman"/>
                <w:lang w:val="en-GB" w:eastAsia="en-GB"/>
              </w:rPr>
            </w:pPr>
            <w:r w:rsidRPr="00935D8E">
              <w:rPr>
                <w:rFonts w:eastAsia="Times New Roman"/>
                <w:lang w:val="en-GB" w:eastAsia="en-GB"/>
              </w:rPr>
              <w:t>Arenosols comprise unconsolidated deep sandy soils. This includes soils in residual sands after in situ weathering of usually quartz-rich sediments or rock, and soils in recently deposited sands such as dunes in deserts and beach lands. In the dry zone, Arenosols are featuring very weak or no soil development.</w:t>
            </w:r>
          </w:p>
          <w:p w:rsidR="00D44D89" w:rsidRPr="00935D8E" w:rsidRDefault="00D44D89" w:rsidP="00EC2A61">
            <w:pPr>
              <w:spacing w:before="0" w:after="0"/>
              <w:rPr>
                <w:rFonts w:eastAsia="Times New Roman"/>
                <w:lang w:val="en-GB" w:eastAsia="en-GB"/>
              </w:rPr>
            </w:pPr>
            <w:r w:rsidRPr="00935D8E">
              <w:rPr>
                <w:rFonts w:eastAsia="Times New Roman"/>
                <w:b/>
                <w:bCs/>
                <w:lang w:val="en-GB" w:eastAsia="en-GB"/>
              </w:rPr>
              <w:t>Parent material</w:t>
            </w:r>
            <w:r w:rsidRPr="00935D8E">
              <w:rPr>
                <w:rFonts w:eastAsia="Times New Roman"/>
                <w:lang w:val="en-GB" w:eastAsia="en-GB"/>
              </w:rPr>
              <w:t>: Unconsolidated, in places calcareous, translocated materials of sandy texture; relatively small areas of Arenosols occur in extremely weathered siliceous rock.</w:t>
            </w:r>
          </w:p>
        </w:tc>
      </w:tr>
      <w:tr w:rsidR="00456014" w:rsidRPr="00935D8E" w:rsidTr="007005D2">
        <w:trPr>
          <w:jc w:val="center"/>
        </w:trPr>
        <w:tc>
          <w:tcPr>
            <w:tcW w:w="853" w:type="pct"/>
            <w:shd w:val="clear" w:color="auto" w:fill="auto"/>
          </w:tcPr>
          <w:p w:rsidR="00D44D89" w:rsidRPr="00935D8E" w:rsidRDefault="00D44D89" w:rsidP="00EC2A61">
            <w:pPr>
              <w:spacing w:before="0" w:after="0"/>
              <w:jc w:val="center"/>
              <w:rPr>
                <w:rFonts w:eastAsia="Times New Roman"/>
                <w:lang w:val="en-GB" w:eastAsia="en-GB"/>
              </w:rPr>
            </w:pPr>
            <w:r w:rsidRPr="00935D8E">
              <w:rPr>
                <w:rFonts w:eastAsia="Times New Roman"/>
                <w:lang w:val="en-GB" w:eastAsia="en-GB"/>
              </w:rPr>
              <w:t>Cambisols</w:t>
            </w:r>
          </w:p>
        </w:tc>
        <w:tc>
          <w:tcPr>
            <w:tcW w:w="4147" w:type="pct"/>
            <w:shd w:val="clear" w:color="auto" w:fill="auto"/>
          </w:tcPr>
          <w:p w:rsidR="00D44D89" w:rsidRPr="00935D8E" w:rsidRDefault="00D44D89" w:rsidP="00EC2A61">
            <w:pPr>
              <w:spacing w:before="0" w:after="0"/>
              <w:rPr>
                <w:rFonts w:eastAsia="Times New Roman"/>
                <w:lang w:val="en-GB" w:eastAsia="en-GB"/>
              </w:rPr>
            </w:pPr>
            <w:r w:rsidRPr="00935D8E">
              <w:rPr>
                <w:rFonts w:eastAsia="Times New Roman"/>
                <w:lang w:val="en-GB" w:eastAsia="en-GB"/>
              </w:rPr>
              <w:t>Weakly to moderately developed soils. Most Cambisols are medium-grained and have a good structural stability, a high porosity, and good water holding capacity and good internal drainage. Most Cambisols also contain at least some weatherable minerals in the silt and sand fractions. Based on these characteristics, Cambisols have a good infiltration capacity to recharge groundwater.</w:t>
            </w:r>
          </w:p>
          <w:p w:rsidR="00D44D89" w:rsidRPr="00935D8E" w:rsidRDefault="00D44D89" w:rsidP="00EC2A61">
            <w:pPr>
              <w:spacing w:before="0" w:after="0"/>
              <w:rPr>
                <w:rFonts w:eastAsia="Times New Roman"/>
                <w:lang w:val="en-GB" w:eastAsia="en-GB"/>
              </w:rPr>
            </w:pPr>
            <w:r w:rsidRPr="00935D8E">
              <w:rPr>
                <w:rFonts w:eastAsia="Times New Roman"/>
                <w:b/>
                <w:bCs/>
                <w:lang w:val="en-GB" w:eastAsia="en-GB"/>
              </w:rPr>
              <w:t>Parent material</w:t>
            </w:r>
            <w:r w:rsidRPr="00935D8E">
              <w:rPr>
                <w:rFonts w:eastAsia="Times New Roman"/>
                <w:lang w:val="en-GB" w:eastAsia="en-GB"/>
              </w:rPr>
              <w:t>: Medium and fine textured materials derived from a wide range of rocks.</w:t>
            </w:r>
          </w:p>
        </w:tc>
      </w:tr>
      <w:tr w:rsidR="00456014" w:rsidRPr="00935D8E" w:rsidTr="007005D2">
        <w:trPr>
          <w:jc w:val="center"/>
        </w:trPr>
        <w:tc>
          <w:tcPr>
            <w:tcW w:w="853" w:type="pct"/>
            <w:shd w:val="clear" w:color="auto" w:fill="auto"/>
          </w:tcPr>
          <w:p w:rsidR="00D44D89" w:rsidRPr="00935D8E" w:rsidRDefault="00D44D89" w:rsidP="00EC2A61">
            <w:pPr>
              <w:spacing w:before="0" w:after="0"/>
              <w:jc w:val="center"/>
              <w:rPr>
                <w:rFonts w:eastAsia="Times New Roman"/>
                <w:lang w:val="en-GB" w:eastAsia="en-GB"/>
              </w:rPr>
            </w:pPr>
            <w:r w:rsidRPr="00935D8E">
              <w:rPr>
                <w:rFonts w:eastAsia="Times New Roman"/>
                <w:lang w:val="en-GB" w:eastAsia="en-GB"/>
              </w:rPr>
              <w:t>Leptosols</w:t>
            </w:r>
          </w:p>
        </w:tc>
        <w:tc>
          <w:tcPr>
            <w:tcW w:w="4147" w:type="pct"/>
            <w:shd w:val="clear" w:color="auto" w:fill="auto"/>
          </w:tcPr>
          <w:p w:rsidR="00D44D89" w:rsidRPr="00935D8E" w:rsidRDefault="00D44D89" w:rsidP="00EC2A61">
            <w:pPr>
              <w:spacing w:before="0" w:after="0"/>
              <w:rPr>
                <w:rFonts w:eastAsia="Times New Roman"/>
                <w:lang w:val="en-GB" w:eastAsia="en-GB"/>
              </w:rPr>
            </w:pPr>
            <w:r w:rsidRPr="00935D8E">
              <w:rPr>
                <w:rFonts w:eastAsia="Times New Roman"/>
                <w:lang w:val="en-GB" w:eastAsia="en-GB"/>
              </w:rPr>
              <w:t>Leptosols comprise very thin (shallow) soils over continuous rock and soils that are extremely rich in coarse fragments or in unconsolidated very gravelly material. Leptosols are particularly common in mountainous regions.</w:t>
            </w:r>
          </w:p>
          <w:p w:rsidR="00D44D89" w:rsidRPr="00935D8E" w:rsidRDefault="00D44D89" w:rsidP="00EC2A61">
            <w:pPr>
              <w:spacing w:before="0" w:after="0"/>
              <w:rPr>
                <w:rFonts w:eastAsia="Times New Roman"/>
                <w:lang w:val="en-GB" w:eastAsia="en-GB"/>
              </w:rPr>
            </w:pPr>
            <w:r w:rsidRPr="00935D8E">
              <w:rPr>
                <w:rFonts w:eastAsia="Times New Roman"/>
                <w:b/>
                <w:bCs/>
                <w:lang w:val="en-GB" w:eastAsia="en-GB"/>
              </w:rPr>
              <w:t>Parent material</w:t>
            </w:r>
            <w:r w:rsidRPr="00935D8E">
              <w:rPr>
                <w:rFonts w:eastAsia="Times New Roman"/>
                <w:lang w:val="en-GB" w:eastAsia="en-GB"/>
              </w:rPr>
              <w:t>: Various kinds of continuous rock or of unconsolidated materials with less than 20 percent (by volume) fine earth.</w:t>
            </w:r>
          </w:p>
        </w:tc>
      </w:tr>
      <w:tr w:rsidR="00456014" w:rsidRPr="00935D8E" w:rsidTr="007005D2">
        <w:trPr>
          <w:jc w:val="center"/>
        </w:trPr>
        <w:tc>
          <w:tcPr>
            <w:tcW w:w="853" w:type="pct"/>
            <w:shd w:val="clear" w:color="auto" w:fill="auto"/>
          </w:tcPr>
          <w:p w:rsidR="00D44D89" w:rsidRPr="00935D8E" w:rsidRDefault="00D44D89" w:rsidP="00EC2A61">
            <w:pPr>
              <w:spacing w:before="0" w:after="0"/>
              <w:jc w:val="center"/>
              <w:rPr>
                <w:rFonts w:eastAsia="Times New Roman"/>
                <w:lang w:val="en-GB" w:eastAsia="en-GB"/>
              </w:rPr>
            </w:pPr>
            <w:r w:rsidRPr="00935D8E">
              <w:rPr>
                <w:rFonts w:eastAsia="Times New Roman"/>
                <w:lang w:val="en-GB" w:eastAsia="en-GB"/>
              </w:rPr>
              <w:t>Luvisols</w:t>
            </w:r>
          </w:p>
        </w:tc>
        <w:tc>
          <w:tcPr>
            <w:tcW w:w="4147" w:type="pct"/>
            <w:shd w:val="clear" w:color="auto" w:fill="auto"/>
          </w:tcPr>
          <w:p w:rsidR="00D44D89" w:rsidRPr="00935D8E" w:rsidRDefault="00D44D89" w:rsidP="00EC2A61">
            <w:pPr>
              <w:spacing w:before="0" w:after="0"/>
              <w:rPr>
                <w:rFonts w:eastAsia="Times New Roman"/>
                <w:lang w:val="en-GB" w:eastAsia="en-GB"/>
              </w:rPr>
            </w:pPr>
            <w:r w:rsidRPr="00935D8E">
              <w:rPr>
                <w:rFonts w:eastAsia="Times New Roman"/>
                <w:lang w:val="en-GB" w:eastAsia="en-GB"/>
              </w:rPr>
              <w:t>Soils with sub-surface accumulation of high activity clays and high base saturation. Porous and well aerated topsoil. Luvisols have a higher clay content in the sub-soil than in the topsoil.</w:t>
            </w:r>
          </w:p>
          <w:p w:rsidR="00D44D89" w:rsidRPr="00935D8E" w:rsidRDefault="00D44D89" w:rsidP="00EC2A61">
            <w:pPr>
              <w:spacing w:before="0" w:after="0"/>
              <w:rPr>
                <w:rFonts w:eastAsia="Times New Roman"/>
                <w:lang w:val="en-GB" w:eastAsia="en-GB"/>
              </w:rPr>
            </w:pPr>
            <w:r w:rsidRPr="00935D8E">
              <w:rPr>
                <w:rFonts w:eastAsia="Times New Roman"/>
                <w:b/>
                <w:bCs/>
                <w:lang w:val="en-GB" w:eastAsia="en-GB"/>
              </w:rPr>
              <w:t>Parent material:</w:t>
            </w:r>
            <w:r w:rsidRPr="00935D8E">
              <w:rPr>
                <w:rFonts w:eastAsia="Times New Roman"/>
                <w:lang w:val="en-GB" w:eastAsia="en-GB"/>
              </w:rPr>
              <w:t xml:space="preserve"> A wide variety of unconsolidated materials including glacial till, and aeolian, alluvial and colluvial deposits.</w:t>
            </w:r>
          </w:p>
        </w:tc>
      </w:tr>
      <w:tr w:rsidR="00456014" w:rsidRPr="00935D8E" w:rsidTr="007005D2">
        <w:trPr>
          <w:jc w:val="center"/>
        </w:trPr>
        <w:tc>
          <w:tcPr>
            <w:tcW w:w="853" w:type="pct"/>
            <w:shd w:val="clear" w:color="auto" w:fill="auto"/>
          </w:tcPr>
          <w:p w:rsidR="00D44D89" w:rsidRPr="00935D8E" w:rsidRDefault="00D44D89" w:rsidP="00EC2A61">
            <w:pPr>
              <w:spacing w:before="0" w:after="0"/>
              <w:jc w:val="center"/>
              <w:rPr>
                <w:rFonts w:eastAsia="Times New Roman"/>
                <w:lang w:val="en-GB" w:eastAsia="en-GB"/>
              </w:rPr>
            </w:pPr>
            <w:r w:rsidRPr="00935D8E">
              <w:rPr>
                <w:rFonts w:eastAsia="Times New Roman"/>
                <w:lang w:val="en-GB" w:eastAsia="en-GB"/>
              </w:rPr>
              <w:t>Regosol</w:t>
            </w:r>
          </w:p>
        </w:tc>
        <w:tc>
          <w:tcPr>
            <w:tcW w:w="4147" w:type="pct"/>
            <w:shd w:val="clear" w:color="auto" w:fill="auto"/>
          </w:tcPr>
          <w:p w:rsidR="00D44D89" w:rsidRPr="00935D8E" w:rsidRDefault="00D44D89" w:rsidP="00EC2A61">
            <w:pPr>
              <w:spacing w:before="0" w:after="0"/>
              <w:rPr>
                <w:rFonts w:eastAsia="Times New Roman"/>
                <w:lang w:val="en-GB" w:eastAsia="en-GB"/>
              </w:rPr>
            </w:pPr>
            <w:r w:rsidRPr="00935D8E">
              <w:rPr>
                <w:rFonts w:eastAsia="Times New Roman"/>
                <w:lang w:val="en-GB" w:eastAsia="en-GB"/>
              </w:rPr>
              <w:t xml:space="preserve">Regosols are very weakly developed mineral soils in unconsolidated materials that do not have a mollic or umbric horizon, are not very thin or very rich in coarse fragments (Leptosols), not sandy (Arenosols), and not </w:t>
            </w:r>
            <w:r w:rsidRPr="00935D8E">
              <w:rPr>
                <w:rFonts w:eastAsia="Times New Roman"/>
                <w:lang w:val="en-GB" w:eastAsia="en-GB"/>
              </w:rPr>
              <w:lastRenderedPageBreak/>
              <w:t>with fluvic materials (Fluvisols).</w:t>
            </w:r>
          </w:p>
          <w:p w:rsidR="00D44D89" w:rsidRPr="00935D8E" w:rsidRDefault="00D44D89" w:rsidP="00EC2A61">
            <w:pPr>
              <w:spacing w:before="0" w:after="0"/>
              <w:rPr>
                <w:rFonts w:eastAsia="Times New Roman"/>
                <w:lang w:val="en-GB" w:eastAsia="en-GB"/>
              </w:rPr>
            </w:pPr>
            <w:r w:rsidRPr="00935D8E">
              <w:rPr>
                <w:rFonts w:eastAsia="Times New Roman"/>
                <w:b/>
                <w:bCs/>
                <w:lang w:val="en-GB" w:eastAsia="en-GB"/>
              </w:rPr>
              <w:t>Parent material</w:t>
            </w:r>
            <w:r w:rsidRPr="00935D8E">
              <w:rPr>
                <w:rFonts w:eastAsia="Times New Roman"/>
                <w:lang w:val="en-GB" w:eastAsia="en-GB"/>
              </w:rPr>
              <w:t>: unconsolidated, generally fine-grained material.</w:t>
            </w:r>
          </w:p>
        </w:tc>
      </w:tr>
      <w:tr w:rsidR="00456014" w:rsidRPr="00935D8E" w:rsidTr="007005D2">
        <w:trPr>
          <w:jc w:val="center"/>
        </w:trPr>
        <w:tc>
          <w:tcPr>
            <w:tcW w:w="853" w:type="pct"/>
            <w:shd w:val="clear" w:color="auto" w:fill="auto"/>
          </w:tcPr>
          <w:p w:rsidR="00D44D89" w:rsidRPr="00935D8E" w:rsidRDefault="00D44D89" w:rsidP="00EC2A61">
            <w:pPr>
              <w:spacing w:before="0" w:after="0"/>
              <w:jc w:val="center"/>
              <w:rPr>
                <w:rFonts w:eastAsia="Times New Roman"/>
                <w:lang w:val="en-GB" w:eastAsia="en-GB"/>
              </w:rPr>
            </w:pPr>
            <w:r w:rsidRPr="00935D8E">
              <w:rPr>
                <w:rFonts w:eastAsia="Times New Roman"/>
                <w:lang w:val="en-GB" w:eastAsia="en-GB"/>
              </w:rPr>
              <w:t>Solonetz</w:t>
            </w:r>
          </w:p>
        </w:tc>
        <w:tc>
          <w:tcPr>
            <w:tcW w:w="4147" w:type="pct"/>
            <w:shd w:val="clear" w:color="auto" w:fill="auto"/>
          </w:tcPr>
          <w:p w:rsidR="00D44D89" w:rsidRPr="00935D8E" w:rsidRDefault="00D44D89" w:rsidP="00EC2A61">
            <w:pPr>
              <w:spacing w:before="0" w:after="0"/>
              <w:rPr>
                <w:rFonts w:eastAsia="Times New Roman"/>
                <w:lang w:val="en-GB" w:eastAsia="en-GB"/>
              </w:rPr>
            </w:pPr>
            <w:r w:rsidRPr="00935D8E">
              <w:rPr>
                <w:rFonts w:eastAsia="Times New Roman"/>
                <w:lang w:val="en-GB" w:eastAsia="en-GB"/>
              </w:rPr>
              <w:t xml:space="preserve">Solonetz have a dense, strongly structured, clayey sub-surface horizon that has a high proportion of adsorbed sodium and in some cases also magnesium ions. </w:t>
            </w:r>
          </w:p>
          <w:p w:rsidR="00D44D89" w:rsidRPr="00935D8E" w:rsidRDefault="00D44D89" w:rsidP="00EC2A61">
            <w:pPr>
              <w:spacing w:before="0" w:after="0"/>
              <w:rPr>
                <w:rFonts w:eastAsia="Times New Roman"/>
                <w:lang w:val="en-GB" w:eastAsia="en-GB"/>
              </w:rPr>
            </w:pPr>
            <w:r w:rsidRPr="00935D8E">
              <w:rPr>
                <w:rFonts w:eastAsia="Times New Roman"/>
                <w:b/>
                <w:bCs/>
                <w:lang w:val="en-GB" w:eastAsia="en-GB"/>
              </w:rPr>
              <w:t>Parent material</w:t>
            </w:r>
            <w:r w:rsidRPr="00935D8E">
              <w:rPr>
                <w:rFonts w:eastAsia="Times New Roman"/>
                <w:lang w:val="en-GB" w:eastAsia="en-GB"/>
              </w:rPr>
              <w:t>: Unconsolidated materials, mostly fine-textured sediments.</w:t>
            </w:r>
          </w:p>
        </w:tc>
      </w:tr>
      <w:tr w:rsidR="00456014" w:rsidRPr="00935D8E" w:rsidTr="007005D2">
        <w:trPr>
          <w:jc w:val="center"/>
        </w:trPr>
        <w:tc>
          <w:tcPr>
            <w:tcW w:w="853" w:type="pct"/>
            <w:shd w:val="clear" w:color="auto" w:fill="auto"/>
          </w:tcPr>
          <w:p w:rsidR="00D44D89" w:rsidRPr="00935D8E" w:rsidRDefault="00D44D89" w:rsidP="00EC2A61">
            <w:pPr>
              <w:spacing w:before="0" w:after="0"/>
              <w:jc w:val="center"/>
              <w:rPr>
                <w:rFonts w:eastAsia="Times New Roman"/>
                <w:lang w:val="en-GB" w:eastAsia="en-GB"/>
              </w:rPr>
            </w:pPr>
            <w:r w:rsidRPr="00935D8E">
              <w:rPr>
                <w:rFonts w:eastAsia="Times New Roman"/>
                <w:lang w:val="en-GB" w:eastAsia="en-GB"/>
              </w:rPr>
              <w:t>Vertisols</w:t>
            </w:r>
          </w:p>
        </w:tc>
        <w:tc>
          <w:tcPr>
            <w:tcW w:w="4147" w:type="pct"/>
            <w:shd w:val="clear" w:color="auto" w:fill="auto"/>
          </w:tcPr>
          <w:p w:rsidR="00D44D89" w:rsidRPr="00935D8E" w:rsidRDefault="00D44D89" w:rsidP="00EC2A61">
            <w:pPr>
              <w:spacing w:before="0" w:after="0"/>
              <w:rPr>
                <w:rFonts w:eastAsia="Times New Roman"/>
                <w:lang w:val="en-GB" w:eastAsia="en-GB"/>
              </w:rPr>
            </w:pPr>
            <w:r w:rsidRPr="00935D8E">
              <w:rPr>
                <w:rFonts w:eastAsia="Times New Roman"/>
                <w:lang w:val="en-GB" w:eastAsia="en-GB"/>
              </w:rPr>
              <w:t xml:space="preserve">Vertisols (known as black cotton soil) are heavy clay soils with a high proportion of swelling clays. Vertisols are characterized by their sticky nature and high water holding capacity and low infiltration capacity. These soils become very hard and form deep wide cracks from the surface downward when they dry out, which happens in most years. </w:t>
            </w:r>
          </w:p>
          <w:p w:rsidR="00D44D89" w:rsidRPr="00935D8E" w:rsidRDefault="00D44D89" w:rsidP="00EC2A61">
            <w:pPr>
              <w:spacing w:before="0" w:after="0"/>
              <w:rPr>
                <w:rFonts w:eastAsia="Times New Roman"/>
                <w:lang w:val="en-GB" w:eastAsia="en-GB"/>
              </w:rPr>
            </w:pPr>
            <w:r w:rsidRPr="00935D8E">
              <w:rPr>
                <w:rFonts w:eastAsia="Times New Roman"/>
                <w:b/>
                <w:bCs/>
                <w:lang w:val="en-GB" w:eastAsia="en-GB"/>
              </w:rPr>
              <w:t>Parent material</w:t>
            </w:r>
            <w:r w:rsidRPr="00935D8E">
              <w:rPr>
                <w:rFonts w:eastAsia="Times New Roman"/>
                <w:lang w:val="en-GB" w:eastAsia="en-GB"/>
              </w:rPr>
              <w:t>: Sediments that contain a high proportion of swelling clays, or swelling clays produced by neoformation from rock weathering.</w:t>
            </w:r>
          </w:p>
        </w:tc>
      </w:tr>
    </w:tbl>
    <w:p w:rsidR="0001276C" w:rsidRPr="00935D8E" w:rsidRDefault="004928F3" w:rsidP="00EC2A61">
      <w:pPr>
        <w:rPr>
          <w:b/>
          <w:bCs/>
        </w:rPr>
      </w:pPr>
      <w:r w:rsidRPr="00935D8E">
        <w:rPr>
          <w:b/>
          <w:bCs/>
        </w:rPr>
        <w:t xml:space="preserve">Source: </w:t>
      </w:r>
      <w:r w:rsidRPr="00935D8E">
        <w:rPr>
          <w:b/>
          <w:bCs/>
        </w:rPr>
        <w:fldChar w:fldCharType="begin" w:fldLock="1"/>
      </w:r>
      <w:r w:rsidR="00A309A8">
        <w:rPr>
          <w:b/>
          <w:bCs/>
        </w:rPr>
        <w:instrText>ADDIN CSL_CITATION {"citationItems":[{"id":"ITEM-1","itemData":{"ISBN":"9789251090046","author":[{"dropping-particle":"","family":"Gerasimova","given":"Maria","non-dropping-particle":"","parse-names":false,"suffix":""},{"dropping-particle":"","family":"Reinsch","given":"Thomas","non-dropping-particle":"","parse-names":false,"suffix":""},{"dropping-particle":"","family":"McKenzie","given":"Neil","non-dropping-particle":"","parse-names":false,"suffix":""},{"dropping-particle":"","family":"Anjos","given":"L.","non-dropping-particle":"","parse-names":false,"suffix":""},{"dropping-particle":"","family":"Batkhishig","given":"O.","non-dropping-particle":"","parse-names":false,"suffix":""},{"dropping-particle":"","family":"Bockheim","given":"J.","non-dropping-particle":"","parse-names":false,"suffix":""},{"dropping-particle":"","family":"Brinkman","given":"R.","non-dropping-particle":"","parse-names":false,"suffix":""},{"dropping-particle":"","family":"Broll","given":"G.","non-dropping-particle":"","parse-names":false,"suffix":""},{"dropping-particle":"","family":"Charzyński","given":"P.","non-dropping-particle":"","parse-names":false,"suffix":""},{"dropping-particle":"","family":"Coulho","given":"M.R.","non-dropping-particle":"","parse-names":false,"suffix":""},{"dropping-particle":"","family":"Nachtergaele","given":"F.O.","non-dropping-particle":"","parse-names":false,"suffix":""},{"dropping-particle":"","family":"Nanzyo","given":"M.","non-dropping-particle":"","parse-names":false,"suffix":""},{"dropping-particle":"","family":"Mantel","given":"S.","non-dropping-particle":"","parse-names":false,"suffix":""},{"dropping-particle":"","family":"Pazos","given":"S.M.","non-dropping-particle":"","parse-names":false,"suffix":""},{"dropping-particle":"","family":"Stolt","given":"M.H.","non-dropping-particle":"","parse-names":false,"suffix":""},{"dropping-particle":"","family":"Tarnocai","given":"C.","non-dropping-particle":"","parse-names":false,"suffix":""},{"dropping-particle":"","family":"Tóth","given":"T.","non-dropping-particle":"","parse-names":false,"suffix":""},{"dropping-particle":"","family":"Wilding","given":"L.P.","non-dropping-particle":"","parse-names":false,"suffix":""},{"dropping-particle":"","family":"Zhang","given":"G.","non-dropping-particle":"","parse-names":false,"suffix":""}],"container-title":"Food and Agriculture Organization of the United Nations and Intergovernmental technical panel on soils","id":"ITEM-1","issued":{"date-parts":[["2015"]]},"page":"527-598","publisher":"FAO","publisher-place":"Rome, Italy","title":"Status of the World’s Soil Resources (SWSR) – Main Report","type":"paper-conference"},"uris":["http://www.mendeley.com/documents/?uuid=98d6b9c6-bc50-43b9-825c-0879a0b4cc6c","http://www.mendeley.com/documents/?uuid=03d006d0-2d55-4734-8f6d-c7605c766e53"]},{"id":"ITEM-2","itemData":{"author":[{"dropping-particle":"","family":"Nachtergaele","given":"Freddy","non-dropping-particle":"","parse-names":false,"suffix":""},{"dropping-particle":"Van","family":"Velthuizen","given":"Harrij","non-dropping-particle":"","parse-names":false,"suffix":""},{"dropping-particle":"","family":"Verelst","given":"Luc","non-dropping-particle":"","parse-names":false,"suffix":""},{"dropping-particle":"","family":"Batjes","given":"Niels","non-dropping-particle":"","parse-names":false,"suffix":""},{"dropping-particle":"","family":"Dijkshoorn","given":"Koos","non-dropping-particle":"","parse-names":false,"suffix":""},{"dropping-particle":"Van","family":"Engelen","given":"Vincent","non-dropping-particle":"","parse-names":false,"suffix":""},{"dropping-particle":"","family":"Fischer","given":"Guenther","non-dropping-particle":"","parse-names":false,"suffix":""},{"dropping-particle":"","family":"Jones","given":"Arwyn","non-dropping-particle":"","parse-names":false,"suffix":""},{"dropping-particle":"","family":"Montanarella","given":"Luca","non-dropping-particle":"","parse-names":false,"suffix":""},{"dropping-particle":"","family":"Petri","given":"Monica","non-dropping-particle":"","parse-names":false,"suffix":""},{"dropping-particle":"","family":"Prieler","given":"Sylvia","non-dropping-particle":"","parse-names":false,"suffix":""},{"dropping-particle":"","family":"Teixeira","given":"Edmar","non-dropping-particle":"","parse-names":false,"suffix":""},{"dropping-particle":"","family":"Wiberg","given":"David","non-dropping-particle":"","parse-names":false,"suffix":""},{"dropping-particle":"","family":"Shi","given":"Xuezheng","non-dropping-particle":"","parse-names":false,"suffix":""}],"id":"ITEM-2","issued":{"date-parts":[["2009"]]},"page":"1-39","publisher-place":"FAO, Rome, Italy and IIASA, Laxenburg, Austria.","title":"Harmonized World Soil Database (version 1.1)","type":"article-journal"},"uris":["http://www.mendeley.com/documents/?uuid=db4d4958-de8a-41c4-9ea9-4d3af8d0dd91","http://www.mendeley.com/documents/?uuid=0e2dc56a-0415-4ee6-880a-7f7a4868a2f4"]},{"id":"ITEM-3","itemData":{"author":[{"dropping-particle":"","family":"IUSS Working Group WRB","given":"","non-dropping-particle":"","parse-names":false,"suffix":""}],"id":"ITEM-3","issued":{"date-parts":[["2015"]]},"number-of-pages":"1-192","publisher-place":"Rome, Italy","title":"World reference base for soil resources 2014, update 2015 International soil classification system for naming soils and creating legends for soil maps. World soil resources reports No. 106.","type":"report"},"uris":["http://www.mendeley.com/documents/?uuid=0b49b0c2-3e5b-4193-90f0-e7b62fd01aad","http://www.mendeley.com/documents/?uuid=0b07c64a-eec9-40e5-9d6e-1f1f9942208b","http://www.mendeley.com/documents/?uuid=45079c6e-ee16-4baa-9adf-99598f91013e"]}],"mendeley":{"formattedCitation":"(Gerasimova et al., 2015; IUSS Working Group WRB, 2015; Nachtergaele et al., 2009)","manualFormatting":"(FAO, 2015; IUSS Working Group WRB, 2015; Nachtergaele et al., 2009)","plainTextFormattedCitation":"(Gerasimova et al., 2015; IUSS Working Group WRB, 2015; Nachtergaele et al., 2009)","previouslyFormattedCitation":"(Gerasimova et al., 2015; IUSS Working Group WRB, 2015; Nachtergaele et al., 2009)"},"properties":{"noteIndex":0},"schema":"https://github.com/citation-style-language/schema/raw/master/csl-citation.json"}</w:instrText>
      </w:r>
      <w:r w:rsidRPr="00935D8E">
        <w:rPr>
          <w:b/>
          <w:bCs/>
        </w:rPr>
        <w:fldChar w:fldCharType="separate"/>
      </w:r>
      <w:r w:rsidR="00A108C4" w:rsidRPr="00935D8E">
        <w:rPr>
          <w:bCs/>
          <w:noProof/>
        </w:rPr>
        <w:t>(</w:t>
      </w:r>
      <w:r w:rsidR="00235ADF">
        <w:rPr>
          <w:bCs/>
          <w:noProof/>
        </w:rPr>
        <w:t xml:space="preserve">FAO, </w:t>
      </w:r>
      <w:r w:rsidR="00A108C4" w:rsidRPr="00935D8E">
        <w:rPr>
          <w:bCs/>
          <w:noProof/>
        </w:rPr>
        <w:t>2015; IUSS Working Group WRB, 2015; Nachtergaele et al., 2009)</w:t>
      </w:r>
      <w:r w:rsidRPr="00935D8E">
        <w:rPr>
          <w:b/>
          <w:bCs/>
        </w:rPr>
        <w:fldChar w:fldCharType="end"/>
      </w:r>
    </w:p>
    <w:p w:rsidR="00F603D6" w:rsidRPr="00F603D6" w:rsidRDefault="00847C2E" w:rsidP="00F603D6">
      <w:pPr>
        <w:pStyle w:val="Caption"/>
        <w:keepNext/>
        <w:spacing w:before="120" w:after="120" w:line="360" w:lineRule="auto"/>
        <w:rPr>
          <w:i w:val="0"/>
          <w:color w:val="auto"/>
          <w:sz w:val="24"/>
          <w:szCs w:val="24"/>
        </w:rPr>
      </w:pPr>
      <w:bookmarkStart w:id="264" w:name="_Toc68761657"/>
      <w:r w:rsidRPr="00F603D6">
        <w:rPr>
          <w:i w:val="0"/>
          <w:color w:val="auto"/>
          <w:sz w:val="24"/>
          <w:szCs w:val="24"/>
        </w:rPr>
        <w:t xml:space="preserve">Appendix table </w:t>
      </w:r>
      <w:r w:rsidRPr="00F603D6">
        <w:rPr>
          <w:i w:val="0"/>
          <w:color w:val="auto"/>
          <w:sz w:val="24"/>
          <w:szCs w:val="24"/>
        </w:rPr>
        <w:fldChar w:fldCharType="begin"/>
      </w:r>
      <w:r w:rsidRPr="00F603D6">
        <w:rPr>
          <w:i w:val="0"/>
          <w:color w:val="auto"/>
          <w:sz w:val="24"/>
          <w:szCs w:val="24"/>
        </w:rPr>
        <w:instrText xml:space="preserve"> SEQ Appendix_table \* ARABIC </w:instrText>
      </w:r>
      <w:r w:rsidRPr="00F603D6">
        <w:rPr>
          <w:i w:val="0"/>
          <w:color w:val="auto"/>
          <w:sz w:val="24"/>
          <w:szCs w:val="24"/>
        </w:rPr>
        <w:fldChar w:fldCharType="separate"/>
      </w:r>
      <w:r w:rsidR="00BD510E">
        <w:rPr>
          <w:i w:val="0"/>
          <w:noProof/>
          <w:color w:val="auto"/>
          <w:sz w:val="24"/>
          <w:szCs w:val="24"/>
        </w:rPr>
        <w:t>8</w:t>
      </w:r>
      <w:r w:rsidRPr="00F603D6">
        <w:rPr>
          <w:i w:val="0"/>
          <w:color w:val="auto"/>
          <w:sz w:val="24"/>
          <w:szCs w:val="24"/>
        </w:rPr>
        <w:fldChar w:fldCharType="end"/>
      </w:r>
      <w:r w:rsidRPr="00F603D6">
        <w:rPr>
          <w:i w:val="0"/>
          <w:color w:val="auto"/>
          <w:sz w:val="24"/>
          <w:szCs w:val="24"/>
        </w:rPr>
        <w:t>: The</w:t>
      </w:r>
      <w:r w:rsidR="008E5281" w:rsidRPr="00F603D6">
        <w:rPr>
          <w:i w:val="0"/>
          <w:color w:val="auto"/>
          <w:sz w:val="24"/>
          <w:szCs w:val="24"/>
        </w:rPr>
        <w:t xml:space="preserve"> w</w:t>
      </w:r>
      <w:r w:rsidR="00B40DB5" w:rsidRPr="00F603D6">
        <w:rPr>
          <w:i w:val="0"/>
          <w:color w:val="auto"/>
          <w:sz w:val="24"/>
          <w:szCs w:val="24"/>
        </w:rPr>
        <w:t>ater point</w:t>
      </w:r>
      <w:r w:rsidR="008E5281" w:rsidRPr="00F603D6">
        <w:rPr>
          <w:i w:val="0"/>
          <w:color w:val="auto"/>
          <w:sz w:val="24"/>
          <w:szCs w:val="24"/>
        </w:rPr>
        <w:t>s</w:t>
      </w:r>
      <w:r w:rsidR="00B40DB5" w:rsidRPr="00F603D6">
        <w:rPr>
          <w:i w:val="0"/>
          <w:color w:val="auto"/>
          <w:sz w:val="24"/>
          <w:szCs w:val="24"/>
        </w:rPr>
        <w:t xml:space="preserve"> inventory data</w:t>
      </w:r>
      <w:bookmarkEnd w:id="264"/>
    </w:p>
    <w:tbl>
      <w:tblPr>
        <w:tblStyle w:val="TableGrid"/>
        <w:tblW w:w="5000" w:type="pct"/>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628"/>
        <w:gridCol w:w="2262"/>
        <w:gridCol w:w="936"/>
        <w:gridCol w:w="936"/>
        <w:gridCol w:w="858"/>
        <w:gridCol w:w="996"/>
        <w:gridCol w:w="616"/>
        <w:gridCol w:w="866"/>
        <w:gridCol w:w="902"/>
      </w:tblGrid>
      <w:tr w:rsidR="00D25E5D" w:rsidRPr="0001276C" w:rsidTr="000704D6">
        <w:trPr>
          <w:cantSplit/>
          <w:trHeight w:val="820"/>
        </w:trPr>
        <w:tc>
          <w:tcPr>
            <w:tcW w:w="391" w:type="pct"/>
            <w:tcBorders>
              <w:top w:val="single" w:sz="4" w:space="0" w:color="auto"/>
              <w:bottom w:val="single" w:sz="4" w:space="0" w:color="auto"/>
            </w:tcBorders>
            <w:noWrap/>
            <w:textDirection w:val="btLr"/>
            <w:hideMark/>
          </w:tcPr>
          <w:p w:rsidR="0001276C" w:rsidRPr="00D25E5D" w:rsidRDefault="00F603D6" w:rsidP="000704D6">
            <w:pPr>
              <w:spacing w:before="0" w:after="0" w:line="240" w:lineRule="auto"/>
              <w:ind w:left="113" w:right="113"/>
            </w:pPr>
            <w:r w:rsidRPr="00D25E5D">
              <w:t>S.N0.</w:t>
            </w:r>
          </w:p>
        </w:tc>
        <w:tc>
          <w:tcPr>
            <w:tcW w:w="1133" w:type="pct"/>
            <w:tcBorders>
              <w:top w:val="single" w:sz="4" w:space="0" w:color="auto"/>
              <w:bottom w:val="single" w:sz="4" w:space="0" w:color="auto"/>
            </w:tcBorders>
            <w:noWrap/>
            <w:textDirection w:val="btLr"/>
            <w:hideMark/>
          </w:tcPr>
          <w:p w:rsidR="0001276C" w:rsidRPr="00D25E5D" w:rsidRDefault="00F603D6" w:rsidP="000704D6">
            <w:pPr>
              <w:spacing w:before="0" w:after="0" w:line="240" w:lineRule="auto"/>
              <w:ind w:left="113" w:right="113"/>
            </w:pPr>
            <w:r w:rsidRPr="00D25E5D">
              <w:t>Site N</w:t>
            </w:r>
            <w:r w:rsidR="0001276C" w:rsidRPr="00D25E5D">
              <w:t>ame</w:t>
            </w:r>
          </w:p>
        </w:tc>
        <w:tc>
          <w:tcPr>
            <w:tcW w:w="500" w:type="pct"/>
            <w:tcBorders>
              <w:top w:val="single" w:sz="4" w:space="0" w:color="auto"/>
              <w:bottom w:val="single" w:sz="4" w:space="0" w:color="auto"/>
            </w:tcBorders>
            <w:noWrap/>
            <w:textDirection w:val="btLr"/>
            <w:hideMark/>
          </w:tcPr>
          <w:p w:rsidR="000704D6" w:rsidRDefault="000704D6" w:rsidP="000704D6">
            <w:pPr>
              <w:spacing w:before="0" w:after="0" w:line="240" w:lineRule="auto"/>
              <w:ind w:left="113" w:right="113"/>
            </w:pPr>
            <w:r>
              <w:t>UTM</w:t>
            </w:r>
          </w:p>
          <w:p w:rsidR="0001276C" w:rsidRPr="00D25E5D" w:rsidRDefault="0001276C" w:rsidP="000704D6">
            <w:pPr>
              <w:spacing w:before="0" w:after="0" w:line="240" w:lineRule="auto"/>
              <w:ind w:left="113" w:right="113"/>
            </w:pPr>
            <w:r w:rsidRPr="00D25E5D">
              <w:t>X</w:t>
            </w:r>
          </w:p>
        </w:tc>
        <w:tc>
          <w:tcPr>
            <w:tcW w:w="500" w:type="pct"/>
            <w:tcBorders>
              <w:top w:val="single" w:sz="4" w:space="0" w:color="auto"/>
              <w:bottom w:val="single" w:sz="4" w:space="0" w:color="auto"/>
            </w:tcBorders>
            <w:noWrap/>
            <w:textDirection w:val="btLr"/>
            <w:hideMark/>
          </w:tcPr>
          <w:p w:rsidR="000704D6" w:rsidRDefault="0001276C" w:rsidP="000704D6">
            <w:pPr>
              <w:spacing w:before="0" w:after="0" w:line="240" w:lineRule="auto"/>
              <w:ind w:left="113" w:right="113"/>
            </w:pPr>
            <w:r w:rsidRPr="00D25E5D">
              <w:t>UTM</w:t>
            </w:r>
          </w:p>
          <w:p w:rsidR="0001276C" w:rsidRPr="00D25E5D" w:rsidRDefault="0001276C" w:rsidP="000704D6">
            <w:pPr>
              <w:spacing w:before="0" w:after="0" w:line="240" w:lineRule="auto"/>
              <w:ind w:left="113" w:right="113"/>
            </w:pPr>
            <w:r w:rsidRPr="00D25E5D">
              <w:t>Y</w:t>
            </w:r>
          </w:p>
        </w:tc>
        <w:tc>
          <w:tcPr>
            <w:tcW w:w="519" w:type="pct"/>
            <w:tcBorders>
              <w:top w:val="single" w:sz="4" w:space="0" w:color="auto"/>
              <w:bottom w:val="single" w:sz="4" w:space="0" w:color="auto"/>
            </w:tcBorders>
            <w:noWrap/>
            <w:textDirection w:val="btLr"/>
            <w:hideMark/>
          </w:tcPr>
          <w:p w:rsidR="000704D6" w:rsidRDefault="00F603D6" w:rsidP="000704D6">
            <w:pPr>
              <w:spacing w:before="0" w:after="0" w:line="240" w:lineRule="auto"/>
              <w:ind w:left="113" w:right="113"/>
            </w:pPr>
            <w:r w:rsidRPr="00D25E5D">
              <w:t>Y</w:t>
            </w:r>
          </w:p>
          <w:p w:rsidR="0001276C" w:rsidRPr="00D25E5D" w:rsidRDefault="00F603D6" w:rsidP="000704D6">
            <w:pPr>
              <w:spacing w:before="0" w:after="0" w:line="240" w:lineRule="auto"/>
              <w:ind w:left="113" w:right="113"/>
            </w:pPr>
            <w:r w:rsidRPr="00D25E5D">
              <w:t>(LPS)</w:t>
            </w:r>
          </w:p>
        </w:tc>
        <w:tc>
          <w:tcPr>
            <w:tcW w:w="506" w:type="pct"/>
            <w:tcBorders>
              <w:top w:val="single" w:sz="4" w:space="0" w:color="auto"/>
              <w:bottom w:val="single" w:sz="4" w:space="0" w:color="auto"/>
            </w:tcBorders>
            <w:noWrap/>
            <w:textDirection w:val="btLr"/>
            <w:hideMark/>
          </w:tcPr>
          <w:p w:rsidR="000704D6" w:rsidRDefault="00F603D6" w:rsidP="000704D6">
            <w:pPr>
              <w:spacing w:before="0" w:after="0" w:line="240" w:lineRule="auto"/>
              <w:ind w:left="113" w:right="113"/>
            </w:pPr>
            <w:r w:rsidRPr="00D25E5D">
              <w:t>H</w:t>
            </w:r>
            <w:r w:rsidR="000704D6">
              <w:t>H</w:t>
            </w:r>
          </w:p>
          <w:p w:rsidR="0001276C" w:rsidRPr="00D25E5D" w:rsidRDefault="00F603D6" w:rsidP="000704D6">
            <w:pPr>
              <w:spacing w:before="0" w:after="0" w:line="240" w:lineRule="auto"/>
              <w:ind w:left="113" w:right="113"/>
            </w:pPr>
            <w:r w:rsidRPr="00D25E5D">
              <w:t>(m)</w:t>
            </w:r>
          </w:p>
        </w:tc>
        <w:tc>
          <w:tcPr>
            <w:tcW w:w="364" w:type="pct"/>
            <w:tcBorders>
              <w:top w:val="single" w:sz="4" w:space="0" w:color="auto"/>
              <w:bottom w:val="single" w:sz="4" w:space="0" w:color="auto"/>
            </w:tcBorders>
            <w:noWrap/>
            <w:textDirection w:val="btLr"/>
            <w:hideMark/>
          </w:tcPr>
          <w:p w:rsidR="0001276C" w:rsidRPr="00D25E5D" w:rsidRDefault="0001276C" w:rsidP="000704D6">
            <w:pPr>
              <w:spacing w:before="0" w:after="0" w:line="240" w:lineRule="auto"/>
              <w:ind w:left="113" w:right="113"/>
            </w:pPr>
            <w:r w:rsidRPr="00D25E5D">
              <w:t>Type</w:t>
            </w:r>
          </w:p>
        </w:tc>
        <w:tc>
          <w:tcPr>
            <w:tcW w:w="543" w:type="pct"/>
            <w:tcBorders>
              <w:top w:val="single" w:sz="4" w:space="0" w:color="auto"/>
              <w:bottom w:val="single" w:sz="4" w:space="0" w:color="auto"/>
            </w:tcBorders>
            <w:noWrap/>
            <w:textDirection w:val="btLr"/>
            <w:hideMark/>
          </w:tcPr>
          <w:p w:rsidR="000704D6" w:rsidRDefault="0001276C" w:rsidP="000704D6">
            <w:pPr>
              <w:spacing w:before="0" w:after="0" w:line="240" w:lineRule="auto"/>
              <w:ind w:left="113" w:right="113"/>
            </w:pPr>
            <w:r w:rsidRPr="00D25E5D">
              <w:t>DGW</w:t>
            </w:r>
          </w:p>
          <w:p w:rsidR="0001276C" w:rsidRPr="00D25E5D" w:rsidRDefault="0001276C" w:rsidP="000704D6">
            <w:pPr>
              <w:spacing w:before="0" w:after="0" w:line="240" w:lineRule="auto"/>
              <w:ind w:left="113" w:right="113"/>
            </w:pPr>
            <w:r w:rsidRPr="00D25E5D">
              <w:t>PZ</w:t>
            </w:r>
          </w:p>
        </w:tc>
        <w:tc>
          <w:tcPr>
            <w:tcW w:w="543" w:type="pct"/>
            <w:tcBorders>
              <w:top w:val="single" w:sz="4" w:space="0" w:color="auto"/>
              <w:bottom w:val="single" w:sz="4" w:space="0" w:color="auto"/>
            </w:tcBorders>
            <w:noWrap/>
            <w:textDirection w:val="btLr"/>
            <w:hideMark/>
          </w:tcPr>
          <w:p w:rsidR="000704D6" w:rsidRDefault="0001276C" w:rsidP="000704D6">
            <w:pPr>
              <w:spacing w:before="0" w:after="0" w:line="240" w:lineRule="auto"/>
              <w:ind w:left="113" w:right="113"/>
            </w:pPr>
            <w:r w:rsidRPr="00D25E5D">
              <w:t>AGW</w:t>
            </w:r>
          </w:p>
          <w:p w:rsidR="0001276C" w:rsidRPr="00D25E5D" w:rsidRDefault="0001276C" w:rsidP="000704D6">
            <w:pPr>
              <w:spacing w:before="0" w:after="0" w:line="240" w:lineRule="auto"/>
              <w:ind w:left="113" w:right="113"/>
            </w:pPr>
            <w:r w:rsidRPr="00D25E5D">
              <w:t>PZ</w:t>
            </w:r>
          </w:p>
        </w:tc>
      </w:tr>
      <w:tr w:rsidR="00D25E5D" w:rsidRPr="0001276C" w:rsidTr="000704D6">
        <w:trPr>
          <w:trHeight w:val="300"/>
        </w:trPr>
        <w:tc>
          <w:tcPr>
            <w:tcW w:w="391" w:type="pct"/>
            <w:tcBorders>
              <w:top w:val="single" w:sz="4" w:space="0" w:color="auto"/>
            </w:tcBorders>
            <w:noWrap/>
            <w:hideMark/>
          </w:tcPr>
          <w:p w:rsidR="0001276C" w:rsidRPr="0001276C" w:rsidRDefault="0001276C" w:rsidP="0001276C">
            <w:pPr>
              <w:spacing w:before="0" w:after="0" w:line="240" w:lineRule="auto"/>
            </w:pPr>
            <w:r w:rsidRPr="0001276C">
              <w:t>1</w:t>
            </w:r>
          </w:p>
        </w:tc>
        <w:tc>
          <w:tcPr>
            <w:tcW w:w="1133" w:type="pct"/>
            <w:tcBorders>
              <w:top w:val="single" w:sz="4" w:space="0" w:color="auto"/>
            </w:tcBorders>
            <w:noWrap/>
            <w:hideMark/>
          </w:tcPr>
          <w:p w:rsidR="0001276C" w:rsidRPr="0001276C" w:rsidRDefault="0001276C" w:rsidP="0001276C">
            <w:pPr>
              <w:spacing w:before="0" w:after="0" w:line="240" w:lineRule="auto"/>
            </w:pPr>
            <w:r w:rsidRPr="0001276C">
              <w:t>Koso Lega</w:t>
            </w:r>
          </w:p>
        </w:tc>
        <w:tc>
          <w:tcPr>
            <w:tcW w:w="500" w:type="pct"/>
            <w:tcBorders>
              <w:top w:val="single" w:sz="4" w:space="0" w:color="auto"/>
            </w:tcBorders>
            <w:noWrap/>
            <w:hideMark/>
          </w:tcPr>
          <w:p w:rsidR="0001276C" w:rsidRPr="0001276C" w:rsidRDefault="0001276C" w:rsidP="0001276C">
            <w:pPr>
              <w:spacing w:before="0" w:after="0" w:line="240" w:lineRule="auto"/>
            </w:pPr>
            <w:r w:rsidRPr="0001276C">
              <w:t>621667</w:t>
            </w:r>
          </w:p>
        </w:tc>
        <w:tc>
          <w:tcPr>
            <w:tcW w:w="500" w:type="pct"/>
            <w:tcBorders>
              <w:top w:val="single" w:sz="4" w:space="0" w:color="auto"/>
            </w:tcBorders>
            <w:noWrap/>
            <w:hideMark/>
          </w:tcPr>
          <w:p w:rsidR="0001276C" w:rsidRPr="0001276C" w:rsidRDefault="0001276C" w:rsidP="0001276C">
            <w:pPr>
              <w:spacing w:before="0" w:after="0" w:line="240" w:lineRule="auto"/>
            </w:pPr>
            <w:r w:rsidRPr="0001276C">
              <w:t>776447</w:t>
            </w:r>
          </w:p>
        </w:tc>
        <w:tc>
          <w:tcPr>
            <w:tcW w:w="519" w:type="pct"/>
            <w:tcBorders>
              <w:top w:val="single" w:sz="4" w:space="0" w:color="auto"/>
            </w:tcBorders>
            <w:noWrap/>
            <w:hideMark/>
          </w:tcPr>
          <w:p w:rsidR="0001276C" w:rsidRPr="0001276C" w:rsidRDefault="0001276C" w:rsidP="0001276C">
            <w:pPr>
              <w:spacing w:before="0" w:after="0" w:line="240" w:lineRule="auto"/>
            </w:pPr>
            <w:r w:rsidRPr="0001276C">
              <w:t>1.5</w:t>
            </w:r>
          </w:p>
        </w:tc>
        <w:tc>
          <w:tcPr>
            <w:tcW w:w="506" w:type="pct"/>
            <w:tcBorders>
              <w:top w:val="single" w:sz="4" w:space="0" w:color="auto"/>
            </w:tcBorders>
            <w:noWrap/>
            <w:hideMark/>
          </w:tcPr>
          <w:p w:rsidR="0001276C" w:rsidRPr="0001276C" w:rsidRDefault="0001276C" w:rsidP="0001276C">
            <w:pPr>
              <w:spacing w:before="0" w:after="0" w:line="240" w:lineRule="auto"/>
            </w:pPr>
            <w:r w:rsidRPr="0001276C">
              <w:t>2422</w:t>
            </w:r>
          </w:p>
        </w:tc>
        <w:tc>
          <w:tcPr>
            <w:tcW w:w="364" w:type="pct"/>
            <w:tcBorders>
              <w:top w:val="single" w:sz="4" w:space="0" w:color="auto"/>
            </w:tcBorders>
            <w:noWrap/>
            <w:hideMark/>
          </w:tcPr>
          <w:p w:rsidR="0001276C" w:rsidRPr="0001276C" w:rsidRDefault="0001276C" w:rsidP="0001276C">
            <w:pPr>
              <w:spacing w:before="0" w:after="0" w:line="240" w:lineRule="auto"/>
            </w:pPr>
            <w:r w:rsidRPr="0001276C">
              <w:t xml:space="preserve"> </w:t>
            </w:r>
          </w:p>
        </w:tc>
        <w:tc>
          <w:tcPr>
            <w:tcW w:w="543" w:type="pct"/>
            <w:tcBorders>
              <w:top w:val="single" w:sz="4" w:space="0" w:color="auto"/>
            </w:tcBorders>
            <w:noWrap/>
            <w:hideMark/>
          </w:tcPr>
          <w:p w:rsidR="0001276C" w:rsidRPr="0001276C" w:rsidRDefault="0001276C" w:rsidP="0001276C">
            <w:pPr>
              <w:spacing w:before="0" w:after="0" w:line="240" w:lineRule="auto"/>
            </w:pPr>
            <w:r w:rsidRPr="0001276C">
              <w:t>M</w:t>
            </w:r>
          </w:p>
        </w:tc>
        <w:tc>
          <w:tcPr>
            <w:tcW w:w="543" w:type="pct"/>
            <w:tcBorders>
              <w:top w:val="single" w:sz="4" w:space="0" w:color="auto"/>
            </w:tcBorders>
            <w:noWrap/>
            <w:hideMark/>
          </w:tcPr>
          <w:p w:rsidR="0001276C" w:rsidRPr="0001276C" w:rsidRDefault="0001276C" w:rsidP="0001276C">
            <w:pPr>
              <w:spacing w:before="0" w:after="0" w:line="240" w:lineRule="auto"/>
            </w:pPr>
            <w:r w:rsidRPr="0001276C">
              <w:t>M</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2</w:t>
            </w:r>
          </w:p>
        </w:tc>
        <w:tc>
          <w:tcPr>
            <w:tcW w:w="1133" w:type="pct"/>
            <w:noWrap/>
            <w:hideMark/>
          </w:tcPr>
          <w:p w:rsidR="0001276C" w:rsidRPr="0001276C" w:rsidRDefault="0001276C" w:rsidP="0001276C">
            <w:pPr>
              <w:spacing w:before="0" w:after="0" w:line="240" w:lineRule="auto"/>
            </w:pPr>
            <w:r w:rsidRPr="0001276C">
              <w:t>Ali_a</w:t>
            </w:r>
          </w:p>
        </w:tc>
        <w:tc>
          <w:tcPr>
            <w:tcW w:w="500" w:type="pct"/>
            <w:noWrap/>
            <w:hideMark/>
          </w:tcPr>
          <w:p w:rsidR="0001276C" w:rsidRPr="0001276C" w:rsidRDefault="0001276C" w:rsidP="0001276C">
            <w:pPr>
              <w:spacing w:before="0" w:after="0" w:line="240" w:lineRule="auto"/>
            </w:pPr>
            <w:r w:rsidRPr="0001276C">
              <w:t>601367</w:t>
            </w:r>
          </w:p>
        </w:tc>
        <w:tc>
          <w:tcPr>
            <w:tcW w:w="500" w:type="pct"/>
            <w:noWrap/>
            <w:hideMark/>
          </w:tcPr>
          <w:p w:rsidR="0001276C" w:rsidRPr="0001276C" w:rsidRDefault="0001276C" w:rsidP="0001276C">
            <w:pPr>
              <w:spacing w:before="0" w:after="0" w:line="240" w:lineRule="auto"/>
            </w:pPr>
            <w:r w:rsidRPr="0001276C">
              <w:t>802109</w:t>
            </w:r>
          </w:p>
        </w:tc>
        <w:tc>
          <w:tcPr>
            <w:tcW w:w="519" w:type="pct"/>
            <w:noWrap/>
            <w:hideMark/>
          </w:tcPr>
          <w:p w:rsidR="0001276C" w:rsidRPr="0001276C" w:rsidRDefault="0001276C" w:rsidP="0001276C">
            <w:pPr>
              <w:spacing w:before="0" w:after="0" w:line="240" w:lineRule="auto"/>
            </w:pPr>
            <w:r w:rsidRPr="0001276C">
              <w:t>4</w:t>
            </w:r>
          </w:p>
        </w:tc>
        <w:tc>
          <w:tcPr>
            <w:tcW w:w="506" w:type="pct"/>
            <w:noWrap/>
            <w:hideMark/>
          </w:tcPr>
          <w:p w:rsidR="0001276C" w:rsidRPr="0001276C" w:rsidRDefault="0001276C" w:rsidP="0001276C">
            <w:pPr>
              <w:spacing w:before="0" w:after="0" w:line="240" w:lineRule="auto"/>
            </w:pPr>
            <w:r w:rsidRPr="0001276C">
              <w:t>2421.4</w:t>
            </w:r>
          </w:p>
        </w:tc>
        <w:tc>
          <w:tcPr>
            <w:tcW w:w="364"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M</w:t>
            </w:r>
          </w:p>
        </w:tc>
        <w:tc>
          <w:tcPr>
            <w:tcW w:w="543" w:type="pct"/>
            <w:noWrap/>
            <w:hideMark/>
          </w:tcPr>
          <w:p w:rsidR="0001276C" w:rsidRPr="0001276C" w:rsidRDefault="0001276C" w:rsidP="0001276C">
            <w:pPr>
              <w:spacing w:before="0" w:after="0" w:line="240" w:lineRule="auto"/>
            </w:pPr>
            <w:r w:rsidRPr="0001276C">
              <w:t>H</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3</w:t>
            </w:r>
          </w:p>
        </w:tc>
        <w:tc>
          <w:tcPr>
            <w:tcW w:w="1133" w:type="pct"/>
            <w:noWrap/>
            <w:hideMark/>
          </w:tcPr>
          <w:p w:rsidR="0001276C" w:rsidRPr="0001276C" w:rsidRDefault="0001276C" w:rsidP="0001276C">
            <w:pPr>
              <w:spacing w:before="0" w:after="0" w:line="240" w:lineRule="auto"/>
            </w:pPr>
            <w:r w:rsidRPr="0001276C">
              <w:t>Robe TTI_2</w:t>
            </w:r>
          </w:p>
        </w:tc>
        <w:tc>
          <w:tcPr>
            <w:tcW w:w="500" w:type="pct"/>
            <w:noWrap/>
            <w:hideMark/>
          </w:tcPr>
          <w:p w:rsidR="0001276C" w:rsidRPr="0001276C" w:rsidRDefault="0001276C" w:rsidP="0001276C">
            <w:pPr>
              <w:spacing w:before="0" w:after="0" w:line="240" w:lineRule="auto"/>
            </w:pPr>
            <w:r w:rsidRPr="0001276C">
              <w:t>610410</w:t>
            </w:r>
          </w:p>
        </w:tc>
        <w:tc>
          <w:tcPr>
            <w:tcW w:w="500" w:type="pct"/>
            <w:noWrap/>
            <w:hideMark/>
          </w:tcPr>
          <w:p w:rsidR="0001276C" w:rsidRPr="0001276C" w:rsidRDefault="0001276C" w:rsidP="0001276C">
            <w:pPr>
              <w:spacing w:before="0" w:after="0" w:line="240" w:lineRule="auto"/>
            </w:pPr>
            <w:r w:rsidRPr="0001276C">
              <w:t>786164</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2419</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H</w:t>
            </w:r>
          </w:p>
        </w:tc>
        <w:tc>
          <w:tcPr>
            <w:tcW w:w="543" w:type="pct"/>
            <w:noWrap/>
            <w:hideMark/>
          </w:tcPr>
          <w:p w:rsidR="0001276C" w:rsidRPr="0001276C" w:rsidRDefault="0001276C" w:rsidP="0001276C">
            <w:pPr>
              <w:spacing w:before="0" w:after="0" w:line="240" w:lineRule="auto"/>
            </w:pPr>
            <w:r w:rsidRPr="0001276C">
              <w:t>H</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4</w:t>
            </w:r>
          </w:p>
        </w:tc>
        <w:tc>
          <w:tcPr>
            <w:tcW w:w="1133" w:type="pct"/>
            <w:noWrap/>
            <w:hideMark/>
          </w:tcPr>
          <w:p w:rsidR="0001276C" w:rsidRPr="0001276C" w:rsidRDefault="0001276C" w:rsidP="0001276C">
            <w:pPr>
              <w:spacing w:before="0" w:after="0" w:line="240" w:lineRule="auto"/>
            </w:pPr>
            <w:r w:rsidRPr="0001276C">
              <w:t>Oyora_2</w:t>
            </w:r>
          </w:p>
        </w:tc>
        <w:tc>
          <w:tcPr>
            <w:tcW w:w="500" w:type="pct"/>
            <w:noWrap/>
            <w:hideMark/>
          </w:tcPr>
          <w:p w:rsidR="0001276C" w:rsidRPr="0001276C" w:rsidRDefault="0001276C" w:rsidP="0001276C">
            <w:pPr>
              <w:spacing w:before="0" w:after="0" w:line="240" w:lineRule="auto"/>
            </w:pPr>
            <w:r w:rsidRPr="0001276C">
              <w:t>622382</w:t>
            </w:r>
          </w:p>
        </w:tc>
        <w:tc>
          <w:tcPr>
            <w:tcW w:w="500" w:type="pct"/>
            <w:noWrap/>
            <w:hideMark/>
          </w:tcPr>
          <w:p w:rsidR="0001276C" w:rsidRPr="0001276C" w:rsidRDefault="0001276C" w:rsidP="0001276C">
            <w:pPr>
              <w:spacing w:before="0" w:after="0" w:line="240" w:lineRule="auto"/>
            </w:pPr>
            <w:r w:rsidRPr="0001276C">
              <w:t>779466</w:t>
            </w:r>
          </w:p>
        </w:tc>
        <w:tc>
          <w:tcPr>
            <w:tcW w:w="519" w:type="pct"/>
            <w:noWrap/>
            <w:hideMark/>
          </w:tcPr>
          <w:p w:rsidR="0001276C" w:rsidRPr="0001276C" w:rsidRDefault="0001276C" w:rsidP="0001276C">
            <w:pPr>
              <w:spacing w:before="0" w:after="0" w:line="240" w:lineRule="auto"/>
            </w:pPr>
            <w:r w:rsidRPr="0001276C">
              <w:t>2.5</w:t>
            </w:r>
          </w:p>
        </w:tc>
        <w:tc>
          <w:tcPr>
            <w:tcW w:w="506" w:type="pct"/>
            <w:noWrap/>
            <w:hideMark/>
          </w:tcPr>
          <w:p w:rsidR="0001276C" w:rsidRPr="0001276C" w:rsidRDefault="0001276C" w:rsidP="0001276C">
            <w:pPr>
              <w:spacing w:before="0" w:after="0" w:line="240" w:lineRule="auto"/>
            </w:pPr>
            <w:r w:rsidRPr="0001276C">
              <w:t>2417</w:t>
            </w:r>
          </w:p>
        </w:tc>
        <w:tc>
          <w:tcPr>
            <w:tcW w:w="364"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M</w:t>
            </w:r>
          </w:p>
        </w:tc>
        <w:tc>
          <w:tcPr>
            <w:tcW w:w="543" w:type="pct"/>
            <w:noWrap/>
            <w:hideMark/>
          </w:tcPr>
          <w:p w:rsidR="0001276C" w:rsidRPr="0001276C" w:rsidRDefault="0001276C" w:rsidP="0001276C">
            <w:pPr>
              <w:spacing w:before="0" w:after="0" w:line="240" w:lineRule="auto"/>
            </w:pPr>
            <w:r w:rsidRPr="0001276C">
              <w:t>M</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5</w:t>
            </w:r>
          </w:p>
        </w:tc>
        <w:tc>
          <w:tcPr>
            <w:tcW w:w="1133" w:type="pct"/>
            <w:noWrap/>
            <w:hideMark/>
          </w:tcPr>
          <w:p w:rsidR="0001276C" w:rsidRPr="0001276C" w:rsidRDefault="0001276C" w:rsidP="0001276C">
            <w:pPr>
              <w:spacing w:before="0" w:after="0" w:line="240" w:lineRule="auto"/>
            </w:pPr>
            <w:r w:rsidRPr="0001276C">
              <w:t>Sheydeba-Ar</w:t>
            </w:r>
          </w:p>
        </w:tc>
        <w:tc>
          <w:tcPr>
            <w:tcW w:w="500" w:type="pct"/>
            <w:noWrap/>
            <w:hideMark/>
          </w:tcPr>
          <w:p w:rsidR="0001276C" w:rsidRPr="0001276C" w:rsidRDefault="0001276C" w:rsidP="0001276C">
            <w:pPr>
              <w:spacing w:before="0" w:after="0" w:line="240" w:lineRule="auto"/>
            </w:pPr>
            <w:r w:rsidRPr="0001276C">
              <w:t>620729</w:t>
            </w:r>
          </w:p>
        </w:tc>
        <w:tc>
          <w:tcPr>
            <w:tcW w:w="500" w:type="pct"/>
            <w:noWrap/>
            <w:hideMark/>
          </w:tcPr>
          <w:p w:rsidR="0001276C" w:rsidRPr="0001276C" w:rsidRDefault="0001276C" w:rsidP="0001276C">
            <w:pPr>
              <w:spacing w:before="0" w:after="0" w:line="240" w:lineRule="auto"/>
            </w:pPr>
            <w:r w:rsidRPr="0001276C">
              <w:t>778201</w:t>
            </w:r>
          </w:p>
        </w:tc>
        <w:tc>
          <w:tcPr>
            <w:tcW w:w="519" w:type="pct"/>
            <w:noWrap/>
            <w:hideMark/>
          </w:tcPr>
          <w:p w:rsidR="0001276C" w:rsidRPr="0001276C" w:rsidRDefault="0001276C" w:rsidP="0001276C">
            <w:pPr>
              <w:spacing w:before="0" w:after="0" w:line="240" w:lineRule="auto"/>
            </w:pPr>
            <w:r w:rsidRPr="0001276C">
              <w:t>2</w:t>
            </w:r>
          </w:p>
        </w:tc>
        <w:tc>
          <w:tcPr>
            <w:tcW w:w="506" w:type="pct"/>
            <w:noWrap/>
            <w:hideMark/>
          </w:tcPr>
          <w:p w:rsidR="0001276C" w:rsidRPr="0001276C" w:rsidRDefault="0001276C" w:rsidP="0001276C">
            <w:pPr>
              <w:spacing w:before="0" w:after="0" w:line="240" w:lineRule="auto"/>
            </w:pPr>
            <w:r w:rsidRPr="0001276C">
              <w:t>2416</w:t>
            </w:r>
          </w:p>
        </w:tc>
        <w:tc>
          <w:tcPr>
            <w:tcW w:w="364"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H</w:t>
            </w:r>
          </w:p>
        </w:tc>
        <w:tc>
          <w:tcPr>
            <w:tcW w:w="543" w:type="pct"/>
            <w:noWrap/>
            <w:hideMark/>
          </w:tcPr>
          <w:p w:rsidR="0001276C" w:rsidRPr="0001276C" w:rsidRDefault="0001276C" w:rsidP="0001276C">
            <w:pPr>
              <w:spacing w:before="0" w:after="0" w:line="240" w:lineRule="auto"/>
            </w:pPr>
            <w:r w:rsidRPr="0001276C">
              <w:t>M</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6</w:t>
            </w:r>
          </w:p>
        </w:tc>
        <w:tc>
          <w:tcPr>
            <w:tcW w:w="1133" w:type="pct"/>
            <w:noWrap/>
            <w:hideMark/>
          </w:tcPr>
          <w:p w:rsidR="0001276C" w:rsidRPr="0001276C" w:rsidRDefault="0001276C" w:rsidP="0001276C">
            <w:pPr>
              <w:spacing w:before="0" w:after="0" w:line="240" w:lineRule="auto"/>
            </w:pPr>
            <w:r w:rsidRPr="0001276C">
              <w:t>Ali No_14</w:t>
            </w:r>
          </w:p>
        </w:tc>
        <w:tc>
          <w:tcPr>
            <w:tcW w:w="500" w:type="pct"/>
            <w:noWrap/>
            <w:hideMark/>
          </w:tcPr>
          <w:p w:rsidR="0001276C" w:rsidRPr="0001276C" w:rsidRDefault="0001276C" w:rsidP="0001276C">
            <w:pPr>
              <w:spacing w:before="0" w:after="0" w:line="240" w:lineRule="auto"/>
            </w:pPr>
            <w:r w:rsidRPr="0001276C">
              <w:t>603042</w:t>
            </w:r>
          </w:p>
        </w:tc>
        <w:tc>
          <w:tcPr>
            <w:tcW w:w="500" w:type="pct"/>
            <w:noWrap/>
            <w:hideMark/>
          </w:tcPr>
          <w:p w:rsidR="0001276C" w:rsidRPr="0001276C" w:rsidRDefault="0001276C" w:rsidP="0001276C">
            <w:pPr>
              <w:spacing w:before="0" w:after="0" w:line="240" w:lineRule="auto"/>
            </w:pPr>
            <w:r w:rsidRPr="0001276C">
              <w:t>799576</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2411</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L</w:t>
            </w:r>
          </w:p>
        </w:tc>
        <w:tc>
          <w:tcPr>
            <w:tcW w:w="543" w:type="pct"/>
            <w:noWrap/>
            <w:hideMark/>
          </w:tcPr>
          <w:p w:rsidR="0001276C" w:rsidRPr="0001276C" w:rsidRDefault="0001276C" w:rsidP="0001276C">
            <w:pPr>
              <w:spacing w:before="0" w:after="0" w:line="240" w:lineRule="auto"/>
            </w:pPr>
            <w:r w:rsidRPr="0001276C">
              <w:t>L</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7</w:t>
            </w:r>
          </w:p>
        </w:tc>
        <w:tc>
          <w:tcPr>
            <w:tcW w:w="1133" w:type="pct"/>
            <w:noWrap/>
            <w:hideMark/>
          </w:tcPr>
          <w:p w:rsidR="0001276C" w:rsidRPr="0001276C" w:rsidRDefault="0001276C" w:rsidP="0001276C">
            <w:pPr>
              <w:spacing w:before="0" w:after="0" w:line="240" w:lineRule="auto"/>
            </w:pPr>
            <w:r w:rsidRPr="0001276C">
              <w:t>Fasil Sura</w:t>
            </w:r>
          </w:p>
        </w:tc>
        <w:tc>
          <w:tcPr>
            <w:tcW w:w="500" w:type="pct"/>
            <w:noWrap/>
            <w:hideMark/>
          </w:tcPr>
          <w:p w:rsidR="0001276C" w:rsidRPr="0001276C" w:rsidRDefault="0001276C" w:rsidP="0001276C">
            <w:pPr>
              <w:spacing w:before="0" w:after="0" w:line="240" w:lineRule="auto"/>
            </w:pPr>
            <w:r w:rsidRPr="0001276C">
              <w:t>622767</w:t>
            </w:r>
          </w:p>
        </w:tc>
        <w:tc>
          <w:tcPr>
            <w:tcW w:w="500" w:type="pct"/>
            <w:noWrap/>
            <w:hideMark/>
          </w:tcPr>
          <w:p w:rsidR="0001276C" w:rsidRPr="0001276C" w:rsidRDefault="0001276C" w:rsidP="0001276C">
            <w:pPr>
              <w:spacing w:before="0" w:after="0" w:line="240" w:lineRule="auto"/>
            </w:pPr>
            <w:r w:rsidRPr="0001276C">
              <w:t>780108</w:t>
            </w:r>
          </w:p>
        </w:tc>
        <w:tc>
          <w:tcPr>
            <w:tcW w:w="519" w:type="pct"/>
            <w:noWrap/>
            <w:hideMark/>
          </w:tcPr>
          <w:p w:rsidR="0001276C" w:rsidRPr="0001276C" w:rsidRDefault="0001276C" w:rsidP="0001276C">
            <w:pPr>
              <w:spacing w:before="0" w:after="0" w:line="240" w:lineRule="auto"/>
            </w:pPr>
            <w:r w:rsidRPr="0001276C">
              <w:t>2.5</w:t>
            </w:r>
          </w:p>
        </w:tc>
        <w:tc>
          <w:tcPr>
            <w:tcW w:w="506" w:type="pct"/>
            <w:noWrap/>
            <w:hideMark/>
          </w:tcPr>
          <w:p w:rsidR="0001276C" w:rsidRPr="0001276C" w:rsidRDefault="0001276C" w:rsidP="0001276C">
            <w:pPr>
              <w:spacing w:before="0" w:after="0" w:line="240" w:lineRule="auto"/>
            </w:pPr>
            <w:r w:rsidRPr="0001276C">
              <w:t>2409</w:t>
            </w:r>
          </w:p>
        </w:tc>
        <w:tc>
          <w:tcPr>
            <w:tcW w:w="364"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M</w:t>
            </w:r>
          </w:p>
        </w:tc>
        <w:tc>
          <w:tcPr>
            <w:tcW w:w="543" w:type="pct"/>
            <w:noWrap/>
            <w:hideMark/>
          </w:tcPr>
          <w:p w:rsidR="0001276C" w:rsidRPr="0001276C" w:rsidRDefault="0001276C" w:rsidP="0001276C">
            <w:pPr>
              <w:spacing w:before="0" w:after="0" w:line="240" w:lineRule="auto"/>
            </w:pPr>
            <w:r w:rsidRPr="0001276C">
              <w:t>M</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8</w:t>
            </w:r>
          </w:p>
        </w:tc>
        <w:tc>
          <w:tcPr>
            <w:tcW w:w="1133" w:type="pct"/>
            <w:noWrap/>
            <w:hideMark/>
          </w:tcPr>
          <w:p w:rsidR="0001276C" w:rsidRPr="0001276C" w:rsidRDefault="0001276C" w:rsidP="0001276C">
            <w:pPr>
              <w:spacing w:before="0" w:after="0" w:line="240" w:lineRule="auto"/>
            </w:pPr>
            <w:r w:rsidRPr="0001276C">
              <w:t>Ali W_No_4</w:t>
            </w:r>
          </w:p>
        </w:tc>
        <w:tc>
          <w:tcPr>
            <w:tcW w:w="500" w:type="pct"/>
            <w:noWrap/>
            <w:hideMark/>
          </w:tcPr>
          <w:p w:rsidR="0001276C" w:rsidRPr="0001276C" w:rsidRDefault="0001276C" w:rsidP="0001276C">
            <w:pPr>
              <w:spacing w:before="0" w:after="0" w:line="240" w:lineRule="auto"/>
            </w:pPr>
            <w:r w:rsidRPr="0001276C">
              <w:t>593834</w:t>
            </w:r>
          </w:p>
        </w:tc>
        <w:tc>
          <w:tcPr>
            <w:tcW w:w="500" w:type="pct"/>
            <w:noWrap/>
            <w:hideMark/>
          </w:tcPr>
          <w:p w:rsidR="0001276C" w:rsidRPr="0001276C" w:rsidRDefault="0001276C" w:rsidP="0001276C">
            <w:pPr>
              <w:spacing w:before="0" w:after="0" w:line="240" w:lineRule="auto"/>
            </w:pPr>
            <w:r w:rsidRPr="0001276C">
              <w:t>803243</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2399</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H</w:t>
            </w:r>
          </w:p>
        </w:tc>
        <w:tc>
          <w:tcPr>
            <w:tcW w:w="543" w:type="pct"/>
            <w:noWrap/>
            <w:hideMark/>
          </w:tcPr>
          <w:p w:rsidR="0001276C" w:rsidRPr="0001276C" w:rsidRDefault="0001276C" w:rsidP="0001276C">
            <w:pPr>
              <w:spacing w:before="0" w:after="0" w:line="240" w:lineRule="auto"/>
            </w:pPr>
            <w:r w:rsidRPr="0001276C">
              <w:t>H</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9</w:t>
            </w:r>
          </w:p>
        </w:tc>
        <w:tc>
          <w:tcPr>
            <w:tcW w:w="1133" w:type="pct"/>
            <w:noWrap/>
            <w:hideMark/>
          </w:tcPr>
          <w:p w:rsidR="0001276C" w:rsidRPr="0001276C" w:rsidRDefault="0001276C" w:rsidP="0001276C">
            <w:pPr>
              <w:spacing w:before="0" w:after="0" w:line="240" w:lineRule="auto"/>
            </w:pPr>
            <w:r w:rsidRPr="0001276C">
              <w:t>Ashuta</w:t>
            </w:r>
          </w:p>
        </w:tc>
        <w:tc>
          <w:tcPr>
            <w:tcW w:w="500" w:type="pct"/>
            <w:noWrap/>
            <w:hideMark/>
          </w:tcPr>
          <w:p w:rsidR="0001276C" w:rsidRPr="0001276C" w:rsidRDefault="0001276C" w:rsidP="0001276C">
            <w:pPr>
              <w:spacing w:before="0" w:after="0" w:line="240" w:lineRule="auto"/>
            </w:pPr>
            <w:r w:rsidRPr="0001276C">
              <w:t>619782</w:t>
            </w:r>
          </w:p>
        </w:tc>
        <w:tc>
          <w:tcPr>
            <w:tcW w:w="500" w:type="pct"/>
            <w:noWrap/>
            <w:hideMark/>
          </w:tcPr>
          <w:p w:rsidR="0001276C" w:rsidRPr="0001276C" w:rsidRDefault="0001276C" w:rsidP="0001276C">
            <w:pPr>
              <w:spacing w:before="0" w:after="0" w:line="240" w:lineRule="auto"/>
            </w:pPr>
            <w:r w:rsidRPr="0001276C">
              <w:t>780492</w:t>
            </w:r>
          </w:p>
        </w:tc>
        <w:tc>
          <w:tcPr>
            <w:tcW w:w="519" w:type="pct"/>
            <w:noWrap/>
            <w:hideMark/>
          </w:tcPr>
          <w:p w:rsidR="0001276C" w:rsidRPr="0001276C" w:rsidRDefault="0001276C" w:rsidP="0001276C">
            <w:pPr>
              <w:spacing w:before="0" w:after="0" w:line="240" w:lineRule="auto"/>
            </w:pPr>
            <w:r w:rsidRPr="0001276C">
              <w:t>4.5</w:t>
            </w:r>
          </w:p>
        </w:tc>
        <w:tc>
          <w:tcPr>
            <w:tcW w:w="506" w:type="pct"/>
            <w:noWrap/>
            <w:hideMark/>
          </w:tcPr>
          <w:p w:rsidR="0001276C" w:rsidRPr="0001276C" w:rsidRDefault="0001276C" w:rsidP="0001276C">
            <w:pPr>
              <w:spacing w:before="0" w:after="0" w:line="240" w:lineRule="auto"/>
            </w:pPr>
            <w:r w:rsidRPr="0001276C">
              <w:t>2394.3</w:t>
            </w:r>
          </w:p>
        </w:tc>
        <w:tc>
          <w:tcPr>
            <w:tcW w:w="364"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H</w:t>
            </w:r>
          </w:p>
        </w:tc>
        <w:tc>
          <w:tcPr>
            <w:tcW w:w="543" w:type="pct"/>
            <w:noWrap/>
            <w:hideMark/>
          </w:tcPr>
          <w:p w:rsidR="0001276C" w:rsidRPr="0001276C" w:rsidRDefault="0001276C" w:rsidP="0001276C">
            <w:pPr>
              <w:spacing w:before="0" w:after="0" w:line="240" w:lineRule="auto"/>
            </w:pPr>
            <w:r w:rsidRPr="0001276C">
              <w:t>H</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10</w:t>
            </w:r>
          </w:p>
        </w:tc>
        <w:tc>
          <w:tcPr>
            <w:tcW w:w="1133" w:type="pct"/>
            <w:noWrap/>
            <w:hideMark/>
          </w:tcPr>
          <w:p w:rsidR="0001276C" w:rsidRPr="0001276C" w:rsidRDefault="0001276C" w:rsidP="0001276C">
            <w:pPr>
              <w:spacing w:before="0" w:after="0" w:line="240" w:lineRule="auto"/>
            </w:pPr>
            <w:r w:rsidRPr="0001276C">
              <w:t>Ali W_011</w:t>
            </w:r>
          </w:p>
        </w:tc>
        <w:tc>
          <w:tcPr>
            <w:tcW w:w="500" w:type="pct"/>
            <w:noWrap/>
            <w:hideMark/>
          </w:tcPr>
          <w:p w:rsidR="0001276C" w:rsidRPr="0001276C" w:rsidRDefault="0001276C" w:rsidP="0001276C">
            <w:pPr>
              <w:spacing w:before="0" w:after="0" w:line="240" w:lineRule="auto"/>
            </w:pPr>
            <w:r w:rsidRPr="0001276C">
              <w:t>603042</w:t>
            </w:r>
          </w:p>
        </w:tc>
        <w:tc>
          <w:tcPr>
            <w:tcW w:w="500" w:type="pct"/>
            <w:noWrap/>
            <w:hideMark/>
          </w:tcPr>
          <w:p w:rsidR="0001276C" w:rsidRPr="0001276C" w:rsidRDefault="0001276C" w:rsidP="0001276C">
            <w:pPr>
              <w:spacing w:before="0" w:after="0" w:line="240" w:lineRule="auto"/>
            </w:pPr>
            <w:r w:rsidRPr="0001276C">
              <w:t>799576</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2381</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H</w:t>
            </w:r>
          </w:p>
        </w:tc>
        <w:tc>
          <w:tcPr>
            <w:tcW w:w="543" w:type="pct"/>
            <w:noWrap/>
            <w:hideMark/>
          </w:tcPr>
          <w:p w:rsidR="0001276C" w:rsidRPr="0001276C" w:rsidRDefault="0001276C" w:rsidP="0001276C">
            <w:pPr>
              <w:spacing w:before="0" w:after="0" w:line="240" w:lineRule="auto"/>
            </w:pPr>
            <w:r w:rsidRPr="0001276C">
              <w:t>H</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11</w:t>
            </w:r>
          </w:p>
        </w:tc>
        <w:tc>
          <w:tcPr>
            <w:tcW w:w="1133" w:type="pct"/>
            <w:noWrap/>
            <w:hideMark/>
          </w:tcPr>
          <w:p w:rsidR="0001276C" w:rsidRPr="0001276C" w:rsidRDefault="0001276C" w:rsidP="0001276C">
            <w:pPr>
              <w:spacing w:before="0" w:after="0" w:line="240" w:lineRule="auto"/>
            </w:pPr>
            <w:r w:rsidRPr="0001276C">
              <w:t>Ali town_2</w:t>
            </w:r>
          </w:p>
        </w:tc>
        <w:tc>
          <w:tcPr>
            <w:tcW w:w="500" w:type="pct"/>
            <w:noWrap/>
            <w:hideMark/>
          </w:tcPr>
          <w:p w:rsidR="0001276C" w:rsidRPr="0001276C" w:rsidRDefault="0001276C" w:rsidP="0001276C">
            <w:pPr>
              <w:spacing w:before="0" w:after="0" w:line="240" w:lineRule="auto"/>
            </w:pPr>
            <w:r w:rsidRPr="0001276C">
              <w:t>603062</w:t>
            </w:r>
          </w:p>
        </w:tc>
        <w:tc>
          <w:tcPr>
            <w:tcW w:w="500" w:type="pct"/>
            <w:noWrap/>
            <w:hideMark/>
          </w:tcPr>
          <w:p w:rsidR="0001276C" w:rsidRPr="0001276C" w:rsidRDefault="0001276C" w:rsidP="0001276C">
            <w:pPr>
              <w:spacing w:before="0" w:after="0" w:line="240" w:lineRule="auto"/>
            </w:pPr>
            <w:r w:rsidRPr="0001276C">
              <w:t>800338</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2373</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L</w:t>
            </w:r>
          </w:p>
        </w:tc>
        <w:tc>
          <w:tcPr>
            <w:tcW w:w="543" w:type="pct"/>
            <w:noWrap/>
            <w:hideMark/>
          </w:tcPr>
          <w:p w:rsidR="0001276C" w:rsidRPr="0001276C" w:rsidRDefault="0001276C" w:rsidP="0001276C">
            <w:pPr>
              <w:spacing w:before="0" w:after="0" w:line="240" w:lineRule="auto"/>
            </w:pPr>
            <w:r w:rsidRPr="0001276C">
              <w:t>L</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12</w:t>
            </w:r>
          </w:p>
        </w:tc>
        <w:tc>
          <w:tcPr>
            <w:tcW w:w="1133" w:type="pct"/>
            <w:noWrap/>
            <w:hideMark/>
          </w:tcPr>
          <w:p w:rsidR="0001276C" w:rsidRPr="0001276C" w:rsidRDefault="0001276C" w:rsidP="0001276C">
            <w:pPr>
              <w:spacing w:before="0" w:after="0" w:line="240" w:lineRule="auto"/>
            </w:pPr>
            <w:r w:rsidRPr="0001276C">
              <w:t>Amigna Shr1</w:t>
            </w:r>
          </w:p>
        </w:tc>
        <w:tc>
          <w:tcPr>
            <w:tcW w:w="500" w:type="pct"/>
            <w:noWrap/>
            <w:hideMark/>
          </w:tcPr>
          <w:p w:rsidR="0001276C" w:rsidRPr="0001276C" w:rsidRDefault="0001276C" w:rsidP="0001276C">
            <w:pPr>
              <w:spacing w:before="0" w:after="0" w:line="240" w:lineRule="auto"/>
            </w:pPr>
            <w:r w:rsidRPr="0001276C">
              <w:t>637389</w:t>
            </w:r>
          </w:p>
        </w:tc>
        <w:tc>
          <w:tcPr>
            <w:tcW w:w="500" w:type="pct"/>
            <w:noWrap/>
            <w:hideMark/>
          </w:tcPr>
          <w:p w:rsidR="0001276C" w:rsidRPr="0001276C" w:rsidRDefault="0001276C" w:rsidP="0001276C">
            <w:pPr>
              <w:spacing w:before="0" w:after="0" w:line="240" w:lineRule="auto"/>
            </w:pPr>
            <w:r w:rsidRPr="0001276C">
              <w:t>810924</w:t>
            </w:r>
          </w:p>
        </w:tc>
        <w:tc>
          <w:tcPr>
            <w:tcW w:w="519" w:type="pct"/>
            <w:noWrap/>
            <w:hideMark/>
          </w:tcPr>
          <w:p w:rsidR="0001276C" w:rsidRPr="0001276C" w:rsidRDefault="0001276C" w:rsidP="0001276C">
            <w:pPr>
              <w:spacing w:before="0" w:after="0" w:line="240" w:lineRule="auto"/>
            </w:pPr>
            <w:r w:rsidRPr="0001276C">
              <w:t>0.05</w:t>
            </w:r>
          </w:p>
        </w:tc>
        <w:tc>
          <w:tcPr>
            <w:tcW w:w="506" w:type="pct"/>
            <w:noWrap/>
            <w:hideMark/>
          </w:tcPr>
          <w:p w:rsidR="0001276C" w:rsidRPr="0001276C" w:rsidRDefault="0001276C" w:rsidP="0001276C">
            <w:pPr>
              <w:spacing w:before="0" w:after="0" w:line="240" w:lineRule="auto"/>
            </w:pPr>
            <w:r w:rsidRPr="0001276C">
              <w:t>2369</w:t>
            </w:r>
          </w:p>
        </w:tc>
        <w:tc>
          <w:tcPr>
            <w:tcW w:w="364" w:type="pct"/>
            <w:noWrap/>
            <w:hideMark/>
          </w:tcPr>
          <w:p w:rsidR="0001276C" w:rsidRPr="0001276C" w:rsidRDefault="0001276C" w:rsidP="0001276C">
            <w:pPr>
              <w:spacing w:before="0" w:after="0" w:line="240" w:lineRule="auto"/>
            </w:pPr>
            <w:r w:rsidRPr="0001276C">
              <w:t>DW</w:t>
            </w:r>
          </w:p>
        </w:tc>
        <w:tc>
          <w:tcPr>
            <w:tcW w:w="543" w:type="pct"/>
            <w:noWrap/>
            <w:hideMark/>
          </w:tcPr>
          <w:p w:rsidR="0001276C" w:rsidRPr="0001276C" w:rsidRDefault="0001276C" w:rsidP="0001276C">
            <w:pPr>
              <w:spacing w:before="0" w:after="0" w:line="240" w:lineRule="auto"/>
            </w:pPr>
            <w:r w:rsidRPr="0001276C">
              <w:t>M</w:t>
            </w:r>
          </w:p>
        </w:tc>
        <w:tc>
          <w:tcPr>
            <w:tcW w:w="543" w:type="pct"/>
            <w:noWrap/>
            <w:hideMark/>
          </w:tcPr>
          <w:p w:rsidR="0001276C" w:rsidRPr="0001276C" w:rsidRDefault="0001276C" w:rsidP="0001276C">
            <w:pPr>
              <w:spacing w:before="0" w:after="0" w:line="240" w:lineRule="auto"/>
            </w:pPr>
            <w:r w:rsidRPr="0001276C">
              <w:t>M</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13</w:t>
            </w:r>
          </w:p>
        </w:tc>
        <w:tc>
          <w:tcPr>
            <w:tcW w:w="1133" w:type="pct"/>
            <w:noWrap/>
            <w:hideMark/>
          </w:tcPr>
          <w:p w:rsidR="0001276C" w:rsidRPr="0001276C" w:rsidRDefault="0001276C" w:rsidP="0001276C">
            <w:pPr>
              <w:spacing w:before="0" w:after="0" w:line="240" w:lineRule="auto"/>
            </w:pPr>
            <w:r w:rsidRPr="0001276C">
              <w:t>Elanigde Mt</w:t>
            </w:r>
          </w:p>
        </w:tc>
        <w:tc>
          <w:tcPr>
            <w:tcW w:w="500" w:type="pct"/>
            <w:noWrap/>
            <w:hideMark/>
          </w:tcPr>
          <w:p w:rsidR="0001276C" w:rsidRPr="0001276C" w:rsidRDefault="0001276C" w:rsidP="0001276C">
            <w:pPr>
              <w:spacing w:before="0" w:after="0" w:line="240" w:lineRule="auto"/>
            </w:pPr>
            <w:r w:rsidRPr="0001276C">
              <w:t>593966</w:t>
            </w:r>
          </w:p>
        </w:tc>
        <w:tc>
          <w:tcPr>
            <w:tcW w:w="500" w:type="pct"/>
            <w:noWrap/>
            <w:hideMark/>
          </w:tcPr>
          <w:p w:rsidR="0001276C" w:rsidRPr="0001276C" w:rsidRDefault="0001276C" w:rsidP="0001276C">
            <w:pPr>
              <w:spacing w:before="0" w:after="0" w:line="240" w:lineRule="auto"/>
            </w:pPr>
            <w:r w:rsidRPr="0001276C">
              <w:t>803587</w:t>
            </w:r>
          </w:p>
        </w:tc>
        <w:tc>
          <w:tcPr>
            <w:tcW w:w="519" w:type="pct"/>
            <w:noWrap/>
            <w:hideMark/>
          </w:tcPr>
          <w:p w:rsidR="0001276C" w:rsidRPr="0001276C" w:rsidRDefault="0001276C" w:rsidP="0001276C">
            <w:pPr>
              <w:spacing w:before="0" w:after="0" w:line="240" w:lineRule="auto"/>
            </w:pPr>
            <w:r w:rsidRPr="0001276C">
              <w:t>2</w:t>
            </w:r>
          </w:p>
        </w:tc>
        <w:tc>
          <w:tcPr>
            <w:tcW w:w="506" w:type="pct"/>
            <w:noWrap/>
            <w:hideMark/>
          </w:tcPr>
          <w:p w:rsidR="0001276C" w:rsidRPr="0001276C" w:rsidRDefault="0001276C" w:rsidP="0001276C">
            <w:pPr>
              <w:spacing w:before="0" w:after="0" w:line="240" w:lineRule="auto"/>
            </w:pPr>
            <w:r w:rsidRPr="0001276C">
              <w:t>2362.6</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M</w:t>
            </w:r>
          </w:p>
        </w:tc>
        <w:tc>
          <w:tcPr>
            <w:tcW w:w="543" w:type="pct"/>
            <w:noWrap/>
            <w:hideMark/>
          </w:tcPr>
          <w:p w:rsidR="0001276C" w:rsidRPr="0001276C" w:rsidRDefault="0001276C" w:rsidP="0001276C">
            <w:pPr>
              <w:spacing w:before="0" w:after="0" w:line="240" w:lineRule="auto"/>
            </w:pPr>
            <w:r w:rsidRPr="0001276C">
              <w:t>M</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14</w:t>
            </w:r>
          </w:p>
        </w:tc>
        <w:tc>
          <w:tcPr>
            <w:tcW w:w="1133" w:type="pct"/>
            <w:noWrap/>
            <w:hideMark/>
          </w:tcPr>
          <w:p w:rsidR="0001276C" w:rsidRPr="0001276C" w:rsidRDefault="0001276C" w:rsidP="0001276C">
            <w:pPr>
              <w:spacing w:before="0" w:after="0" w:line="240" w:lineRule="auto"/>
            </w:pPr>
            <w:r w:rsidRPr="0001276C">
              <w:t>Mio(WR12k)</w:t>
            </w:r>
          </w:p>
        </w:tc>
        <w:tc>
          <w:tcPr>
            <w:tcW w:w="500" w:type="pct"/>
            <w:noWrap/>
            <w:hideMark/>
          </w:tcPr>
          <w:p w:rsidR="0001276C" w:rsidRPr="0001276C" w:rsidRDefault="0001276C" w:rsidP="0001276C">
            <w:pPr>
              <w:spacing w:before="0" w:after="0" w:line="240" w:lineRule="auto"/>
            </w:pPr>
            <w:r w:rsidRPr="0001276C">
              <w:t>589000</w:t>
            </w:r>
          </w:p>
        </w:tc>
        <w:tc>
          <w:tcPr>
            <w:tcW w:w="500" w:type="pct"/>
            <w:noWrap/>
            <w:hideMark/>
          </w:tcPr>
          <w:p w:rsidR="0001276C" w:rsidRPr="0001276C" w:rsidRDefault="0001276C" w:rsidP="0001276C">
            <w:pPr>
              <w:spacing w:before="0" w:after="0" w:line="240" w:lineRule="auto"/>
            </w:pPr>
            <w:r w:rsidRPr="0001276C">
              <w:t>785000</w:t>
            </w:r>
          </w:p>
        </w:tc>
        <w:tc>
          <w:tcPr>
            <w:tcW w:w="519" w:type="pct"/>
            <w:noWrap/>
            <w:hideMark/>
          </w:tcPr>
          <w:p w:rsidR="0001276C" w:rsidRPr="0001276C" w:rsidRDefault="0001276C" w:rsidP="0001276C">
            <w:pPr>
              <w:spacing w:before="0" w:after="0" w:line="240" w:lineRule="auto"/>
            </w:pPr>
            <w:r w:rsidRPr="0001276C">
              <w:t>15</w:t>
            </w:r>
          </w:p>
        </w:tc>
        <w:tc>
          <w:tcPr>
            <w:tcW w:w="506" w:type="pct"/>
            <w:noWrap/>
            <w:hideMark/>
          </w:tcPr>
          <w:p w:rsidR="0001276C" w:rsidRPr="0001276C" w:rsidRDefault="0001276C" w:rsidP="0001276C">
            <w:pPr>
              <w:spacing w:before="0" w:after="0" w:line="240" w:lineRule="auto"/>
            </w:pPr>
            <w:r w:rsidRPr="0001276C">
              <w:t>3107</w:t>
            </w:r>
          </w:p>
        </w:tc>
        <w:tc>
          <w:tcPr>
            <w:tcW w:w="364" w:type="pct"/>
            <w:noWrap/>
            <w:hideMark/>
          </w:tcPr>
          <w:p w:rsidR="0001276C" w:rsidRPr="0001276C" w:rsidRDefault="0001276C" w:rsidP="0001276C">
            <w:pPr>
              <w:spacing w:before="0" w:after="0" w:line="240" w:lineRule="auto"/>
            </w:pPr>
            <w:r w:rsidRPr="0001276C">
              <w:t>SP</w:t>
            </w:r>
          </w:p>
        </w:tc>
        <w:tc>
          <w:tcPr>
            <w:tcW w:w="543" w:type="pct"/>
            <w:noWrap/>
            <w:hideMark/>
          </w:tcPr>
          <w:p w:rsidR="0001276C" w:rsidRPr="0001276C" w:rsidRDefault="0001276C" w:rsidP="0001276C">
            <w:pPr>
              <w:spacing w:before="0" w:after="0" w:line="240" w:lineRule="auto"/>
            </w:pPr>
            <w:r w:rsidRPr="0001276C">
              <w:t>VH</w:t>
            </w:r>
          </w:p>
        </w:tc>
        <w:tc>
          <w:tcPr>
            <w:tcW w:w="543" w:type="pct"/>
            <w:noWrap/>
            <w:hideMark/>
          </w:tcPr>
          <w:p w:rsidR="0001276C" w:rsidRPr="0001276C" w:rsidRDefault="0001276C" w:rsidP="0001276C">
            <w:pPr>
              <w:spacing w:before="0" w:after="0" w:line="240" w:lineRule="auto"/>
            </w:pPr>
            <w:r w:rsidRPr="0001276C">
              <w:t>HV</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15</w:t>
            </w:r>
          </w:p>
        </w:tc>
        <w:tc>
          <w:tcPr>
            <w:tcW w:w="1133" w:type="pct"/>
            <w:noWrap/>
            <w:hideMark/>
          </w:tcPr>
          <w:p w:rsidR="0001276C" w:rsidRPr="0001276C" w:rsidRDefault="0001276C" w:rsidP="0001276C">
            <w:pPr>
              <w:spacing w:before="0" w:after="0" w:line="240" w:lineRule="auto"/>
            </w:pPr>
            <w:r w:rsidRPr="0001276C">
              <w:t>Zalo Abe_2</w:t>
            </w:r>
          </w:p>
        </w:tc>
        <w:tc>
          <w:tcPr>
            <w:tcW w:w="500" w:type="pct"/>
            <w:noWrap/>
            <w:hideMark/>
          </w:tcPr>
          <w:p w:rsidR="0001276C" w:rsidRPr="0001276C" w:rsidRDefault="0001276C" w:rsidP="0001276C">
            <w:pPr>
              <w:spacing w:before="0" w:after="0" w:line="240" w:lineRule="auto"/>
            </w:pPr>
            <w:r w:rsidRPr="0001276C">
              <w:t>587208</w:t>
            </w:r>
          </w:p>
        </w:tc>
        <w:tc>
          <w:tcPr>
            <w:tcW w:w="500" w:type="pct"/>
            <w:noWrap/>
            <w:hideMark/>
          </w:tcPr>
          <w:p w:rsidR="0001276C" w:rsidRPr="0001276C" w:rsidRDefault="0001276C" w:rsidP="0001276C">
            <w:pPr>
              <w:spacing w:before="0" w:after="0" w:line="240" w:lineRule="auto"/>
            </w:pPr>
            <w:r w:rsidRPr="0001276C">
              <w:t>786697</w:t>
            </w:r>
          </w:p>
        </w:tc>
        <w:tc>
          <w:tcPr>
            <w:tcW w:w="519" w:type="pct"/>
            <w:noWrap/>
            <w:hideMark/>
          </w:tcPr>
          <w:p w:rsidR="0001276C" w:rsidRPr="0001276C" w:rsidRDefault="0001276C" w:rsidP="0001276C">
            <w:pPr>
              <w:spacing w:before="0" w:after="0" w:line="240" w:lineRule="auto"/>
            </w:pPr>
            <w:r w:rsidRPr="0001276C">
              <w:t>0.2</w:t>
            </w:r>
          </w:p>
        </w:tc>
        <w:tc>
          <w:tcPr>
            <w:tcW w:w="506" w:type="pct"/>
            <w:noWrap/>
            <w:hideMark/>
          </w:tcPr>
          <w:p w:rsidR="0001276C" w:rsidRPr="0001276C" w:rsidRDefault="0001276C" w:rsidP="0001276C">
            <w:pPr>
              <w:spacing w:before="0" w:after="0" w:line="240" w:lineRule="auto"/>
            </w:pPr>
            <w:r w:rsidRPr="0001276C">
              <w:t>3086</w:t>
            </w:r>
          </w:p>
        </w:tc>
        <w:tc>
          <w:tcPr>
            <w:tcW w:w="364" w:type="pct"/>
            <w:noWrap/>
            <w:hideMark/>
          </w:tcPr>
          <w:p w:rsidR="0001276C" w:rsidRPr="0001276C" w:rsidRDefault="0001276C" w:rsidP="0001276C">
            <w:pPr>
              <w:spacing w:before="0" w:after="0" w:line="240" w:lineRule="auto"/>
            </w:pPr>
            <w:r w:rsidRPr="0001276C">
              <w:t>SP</w:t>
            </w:r>
          </w:p>
        </w:tc>
        <w:tc>
          <w:tcPr>
            <w:tcW w:w="543" w:type="pct"/>
            <w:noWrap/>
            <w:hideMark/>
          </w:tcPr>
          <w:p w:rsidR="0001276C" w:rsidRPr="0001276C" w:rsidRDefault="0001276C" w:rsidP="0001276C">
            <w:pPr>
              <w:spacing w:before="0" w:after="0" w:line="240" w:lineRule="auto"/>
            </w:pPr>
            <w:r w:rsidRPr="0001276C">
              <w:t>M</w:t>
            </w:r>
          </w:p>
        </w:tc>
        <w:tc>
          <w:tcPr>
            <w:tcW w:w="543" w:type="pct"/>
            <w:noWrap/>
            <w:hideMark/>
          </w:tcPr>
          <w:p w:rsidR="0001276C" w:rsidRPr="0001276C" w:rsidRDefault="0001276C" w:rsidP="0001276C">
            <w:pPr>
              <w:spacing w:before="0" w:after="0" w:line="240" w:lineRule="auto"/>
            </w:pPr>
            <w:r w:rsidRPr="0001276C">
              <w:t>L</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16</w:t>
            </w:r>
          </w:p>
        </w:tc>
        <w:tc>
          <w:tcPr>
            <w:tcW w:w="1133" w:type="pct"/>
            <w:noWrap/>
            <w:hideMark/>
          </w:tcPr>
          <w:p w:rsidR="0001276C" w:rsidRPr="0001276C" w:rsidRDefault="0001276C" w:rsidP="0001276C">
            <w:pPr>
              <w:spacing w:before="0" w:after="0" w:line="240" w:lineRule="auto"/>
            </w:pPr>
            <w:r w:rsidRPr="0001276C">
              <w:t>Abakrazal_2</w:t>
            </w:r>
          </w:p>
        </w:tc>
        <w:tc>
          <w:tcPr>
            <w:tcW w:w="500" w:type="pct"/>
            <w:noWrap/>
            <w:hideMark/>
          </w:tcPr>
          <w:p w:rsidR="0001276C" w:rsidRPr="0001276C" w:rsidRDefault="0001276C" w:rsidP="0001276C">
            <w:pPr>
              <w:spacing w:before="0" w:after="0" w:line="240" w:lineRule="auto"/>
            </w:pPr>
            <w:r w:rsidRPr="0001276C">
              <w:t>592941</w:t>
            </w:r>
          </w:p>
        </w:tc>
        <w:tc>
          <w:tcPr>
            <w:tcW w:w="500" w:type="pct"/>
            <w:noWrap/>
            <w:hideMark/>
          </w:tcPr>
          <w:p w:rsidR="0001276C" w:rsidRPr="0001276C" w:rsidRDefault="0001276C" w:rsidP="0001276C">
            <w:pPr>
              <w:spacing w:before="0" w:after="0" w:line="240" w:lineRule="auto"/>
            </w:pPr>
            <w:r w:rsidRPr="0001276C">
              <w:t>787853</w:t>
            </w:r>
          </w:p>
        </w:tc>
        <w:tc>
          <w:tcPr>
            <w:tcW w:w="519" w:type="pct"/>
            <w:noWrap/>
            <w:hideMark/>
          </w:tcPr>
          <w:p w:rsidR="0001276C" w:rsidRPr="0001276C" w:rsidRDefault="0001276C" w:rsidP="0001276C">
            <w:pPr>
              <w:spacing w:before="0" w:after="0" w:line="240" w:lineRule="auto"/>
            </w:pPr>
            <w:r w:rsidRPr="0001276C">
              <w:t>0.18</w:t>
            </w:r>
          </w:p>
        </w:tc>
        <w:tc>
          <w:tcPr>
            <w:tcW w:w="506" w:type="pct"/>
            <w:noWrap/>
            <w:hideMark/>
          </w:tcPr>
          <w:p w:rsidR="0001276C" w:rsidRPr="0001276C" w:rsidRDefault="0001276C" w:rsidP="0001276C">
            <w:pPr>
              <w:spacing w:before="0" w:after="0" w:line="240" w:lineRule="auto"/>
            </w:pPr>
            <w:r w:rsidRPr="0001276C">
              <w:t>2939</w:t>
            </w:r>
          </w:p>
        </w:tc>
        <w:tc>
          <w:tcPr>
            <w:tcW w:w="364" w:type="pct"/>
            <w:noWrap/>
            <w:hideMark/>
          </w:tcPr>
          <w:p w:rsidR="0001276C" w:rsidRPr="0001276C" w:rsidRDefault="0001276C" w:rsidP="0001276C">
            <w:pPr>
              <w:spacing w:before="0" w:after="0" w:line="240" w:lineRule="auto"/>
            </w:pPr>
            <w:r w:rsidRPr="0001276C">
              <w:t>SP</w:t>
            </w:r>
          </w:p>
        </w:tc>
        <w:tc>
          <w:tcPr>
            <w:tcW w:w="543" w:type="pct"/>
            <w:noWrap/>
            <w:hideMark/>
          </w:tcPr>
          <w:p w:rsidR="0001276C" w:rsidRPr="0001276C" w:rsidRDefault="0001276C" w:rsidP="0001276C">
            <w:pPr>
              <w:spacing w:before="0" w:after="0" w:line="240" w:lineRule="auto"/>
            </w:pPr>
            <w:r w:rsidRPr="0001276C">
              <w:t>L</w:t>
            </w:r>
          </w:p>
        </w:tc>
        <w:tc>
          <w:tcPr>
            <w:tcW w:w="543" w:type="pct"/>
            <w:noWrap/>
            <w:hideMark/>
          </w:tcPr>
          <w:p w:rsidR="0001276C" w:rsidRPr="0001276C" w:rsidRDefault="0001276C" w:rsidP="0001276C">
            <w:pPr>
              <w:spacing w:before="0" w:after="0" w:line="240" w:lineRule="auto"/>
            </w:pPr>
            <w:r w:rsidRPr="0001276C">
              <w:t>L</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17</w:t>
            </w:r>
          </w:p>
        </w:tc>
        <w:tc>
          <w:tcPr>
            <w:tcW w:w="1133" w:type="pct"/>
            <w:noWrap/>
            <w:hideMark/>
          </w:tcPr>
          <w:p w:rsidR="0001276C" w:rsidRPr="0001276C" w:rsidRDefault="0001276C" w:rsidP="0001276C">
            <w:pPr>
              <w:spacing w:before="0" w:after="0" w:line="240" w:lineRule="auto"/>
            </w:pPr>
            <w:r w:rsidRPr="0001276C">
              <w:t>Abkarazal_3</w:t>
            </w:r>
          </w:p>
        </w:tc>
        <w:tc>
          <w:tcPr>
            <w:tcW w:w="500" w:type="pct"/>
            <w:noWrap/>
            <w:hideMark/>
          </w:tcPr>
          <w:p w:rsidR="0001276C" w:rsidRPr="0001276C" w:rsidRDefault="0001276C" w:rsidP="0001276C">
            <w:pPr>
              <w:spacing w:before="0" w:after="0" w:line="240" w:lineRule="auto"/>
            </w:pPr>
            <w:r w:rsidRPr="0001276C">
              <w:t>594319</w:t>
            </w:r>
          </w:p>
        </w:tc>
        <w:tc>
          <w:tcPr>
            <w:tcW w:w="500" w:type="pct"/>
            <w:noWrap/>
            <w:hideMark/>
          </w:tcPr>
          <w:p w:rsidR="0001276C" w:rsidRPr="0001276C" w:rsidRDefault="0001276C" w:rsidP="0001276C">
            <w:pPr>
              <w:spacing w:before="0" w:after="0" w:line="240" w:lineRule="auto"/>
            </w:pPr>
            <w:r w:rsidRPr="0001276C">
              <w:t>788161</w:t>
            </w:r>
          </w:p>
        </w:tc>
        <w:tc>
          <w:tcPr>
            <w:tcW w:w="519" w:type="pct"/>
            <w:noWrap/>
            <w:hideMark/>
          </w:tcPr>
          <w:p w:rsidR="0001276C" w:rsidRPr="0001276C" w:rsidRDefault="0001276C" w:rsidP="0001276C">
            <w:pPr>
              <w:spacing w:before="0" w:after="0" w:line="240" w:lineRule="auto"/>
            </w:pPr>
            <w:r w:rsidRPr="0001276C">
              <w:t>0.14</w:t>
            </w:r>
          </w:p>
        </w:tc>
        <w:tc>
          <w:tcPr>
            <w:tcW w:w="506" w:type="pct"/>
            <w:noWrap/>
            <w:hideMark/>
          </w:tcPr>
          <w:p w:rsidR="0001276C" w:rsidRPr="0001276C" w:rsidRDefault="0001276C" w:rsidP="0001276C">
            <w:pPr>
              <w:spacing w:before="0" w:after="0" w:line="240" w:lineRule="auto"/>
            </w:pPr>
            <w:r w:rsidRPr="0001276C">
              <w:t>2881</w:t>
            </w:r>
          </w:p>
        </w:tc>
        <w:tc>
          <w:tcPr>
            <w:tcW w:w="364" w:type="pct"/>
            <w:noWrap/>
            <w:hideMark/>
          </w:tcPr>
          <w:p w:rsidR="0001276C" w:rsidRPr="0001276C" w:rsidRDefault="0001276C" w:rsidP="0001276C">
            <w:pPr>
              <w:spacing w:before="0" w:after="0" w:line="240" w:lineRule="auto"/>
            </w:pPr>
            <w:r w:rsidRPr="0001276C">
              <w:t>SP</w:t>
            </w:r>
          </w:p>
        </w:tc>
        <w:tc>
          <w:tcPr>
            <w:tcW w:w="543" w:type="pct"/>
            <w:noWrap/>
            <w:hideMark/>
          </w:tcPr>
          <w:p w:rsidR="0001276C" w:rsidRPr="0001276C" w:rsidRDefault="0001276C" w:rsidP="0001276C">
            <w:pPr>
              <w:spacing w:before="0" w:after="0" w:line="240" w:lineRule="auto"/>
            </w:pPr>
            <w:r w:rsidRPr="0001276C">
              <w:t>L</w:t>
            </w:r>
          </w:p>
        </w:tc>
        <w:tc>
          <w:tcPr>
            <w:tcW w:w="543" w:type="pct"/>
            <w:noWrap/>
            <w:hideMark/>
          </w:tcPr>
          <w:p w:rsidR="0001276C" w:rsidRPr="0001276C" w:rsidRDefault="0001276C" w:rsidP="0001276C">
            <w:pPr>
              <w:spacing w:before="0" w:after="0" w:line="240" w:lineRule="auto"/>
            </w:pPr>
            <w:r w:rsidRPr="0001276C">
              <w:t>L</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18</w:t>
            </w:r>
          </w:p>
        </w:tc>
        <w:tc>
          <w:tcPr>
            <w:tcW w:w="1133" w:type="pct"/>
            <w:noWrap/>
            <w:hideMark/>
          </w:tcPr>
          <w:p w:rsidR="0001276C" w:rsidRPr="0001276C" w:rsidRDefault="0001276C" w:rsidP="0001276C">
            <w:pPr>
              <w:spacing w:before="0" w:after="0" w:line="240" w:lineRule="auto"/>
            </w:pPr>
            <w:r w:rsidRPr="0001276C">
              <w:t>Mio Gasera</w:t>
            </w:r>
          </w:p>
        </w:tc>
        <w:tc>
          <w:tcPr>
            <w:tcW w:w="500" w:type="pct"/>
            <w:noWrap/>
            <w:hideMark/>
          </w:tcPr>
          <w:p w:rsidR="0001276C" w:rsidRPr="0001276C" w:rsidRDefault="0001276C" w:rsidP="0001276C">
            <w:pPr>
              <w:spacing w:before="0" w:after="0" w:line="240" w:lineRule="auto"/>
            </w:pPr>
            <w:r w:rsidRPr="0001276C">
              <w:t>596266</w:t>
            </w:r>
          </w:p>
        </w:tc>
        <w:tc>
          <w:tcPr>
            <w:tcW w:w="500" w:type="pct"/>
            <w:noWrap/>
            <w:hideMark/>
          </w:tcPr>
          <w:p w:rsidR="0001276C" w:rsidRPr="0001276C" w:rsidRDefault="0001276C" w:rsidP="0001276C">
            <w:pPr>
              <w:spacing w:before="0" w:after="0" w:line="240" w:lineRule="auto"/>
            </w:pPr>
            <w:r w:rsidRPr="0001276C">
              <w:t>784965</w:t>
            </w:r>
          </w:p>
        </w:tc>
        <w:tc>
          <w:tcPr>
            <w:tcW w:w="519" w:type="pct"/>
            <w:noWrap/>
            <w:hideMark/>
          </w:tcPr>
          <w:p w:rsidR="0001276C" w:rsidRPr="0001276C" w:rsidRDefault="0001276C" w:rsidP="0001276C">
            <w:pPr>
              <w:spacing w:before="0" w:after="0" w:line="240" w:lineRule="auto"/>
            </w:pPr>
            <w:r w:rsidRPr="0001276C">
              <w:t>40</w:t>
            </w:r>
          </w:p>
        </w:tc>
        <w:tc>
          <w:tcPr>
            <w:tcW w:w="506" w:type="pct"/>
            <w:noWrap/>
            <w:hideMark/>
          </w:tcPr>
          <w:p w:rsidR="0001276C" w:rsidRPr="0001276C" w:rsidRDefault="0001276C" w:rsidP="0001276C">
            <w:pPr>
              <w:spacing w:before="0" w:after="0" w:line="240" w:lineRule="auto"/>
            </w:pPr>
            <w:r w:rsidRPr="0001276C">
              <w:t>2792</w:t>
            </w:r>
          </w:p>
        </w:tc>
        <w:tc>
          <w:tcPr>
            <w:tcW w:w="364" w:type="pct"/>
            <w:noWrap/>
            <w:hideMark/>
          </w:tcPr>
          <w:p w:rsidR="0001276C" w:rsidRPr="0001276C" w:rsidRDefault="0001276C" w:rsidP="0001276C">
            <w:pPr>
              <w:spacing w:before="0" w:after="0" w:line="240" w:lineRule="auto"/>
            </w:pPr>
            <w:r w:rsidRPr="0001276C">
              <w:t>SP</w:t>
            </w:r>
          </w:p>
        </w:tc>
        <w:tc>
          <w:tcPr>
            <w:tcW w:w="543" w:type="pct"/>
            <w:noWrap/>
            <w:hideMark/>
          </w:tcPr>
          <w:p w:rsidR="0001276C" w:rsidRPr="0001276C" w:rsidRDefault="0001276C" w:rsidP="0001276C">
            <w:pPr>
              <w:spacing w:before="0" w:after="0" w:line="240" w:lineRule="auto"/>
            </w:pPr>
            <w:r w:rsidRPr="0001276C">
              <w:t>H</w:t>
            </w:r>
          </w:p>
        </w:tc>
        <w:tc>
          <w:tcPr>
            <w:tcW w:w="543" w:type="pct"/>
            <w:noWrap/>
            <w:hideMark/>
          </w:tcPr>
          <w:p w:rsidR="0001276C" w:rsidRPr="0001276C" w:rsidRDefault="0001276C" w:rsidP="0001276C">
            <w:pPr>
              <w:spacing w:before="0" w:after="0" w:line="240" w:lineRule="auto"/>
            </w:pPr>
            <w:r w:rsidRPr="0001276C">
              <w:t>VH</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19</w:t>
            </w:r>
          </w:p>
        </w:tc>
        <w:tc>
          <w:tcPr>
            <w:tcW w:w="1133" w:type="pct"/>
            <w:noWrap/>
            <w:hideMark/>
          </w:tcPr>
          <w:p w:rsidR="0001276C" w:rsidRPr="0001276C" w:rsidRDefault="0001276C" w:rsidP="0001276C">
            <w:pPr>
              <w:spacing w:before="0" w:after="0" w:line="240" w:lineRule="auto"/>
            </w:pPr>
            <w:r w:rsidRPr="0001276C">
              <w:t>Goba1</w:t>
            </w:r>
          </w:p>
        </w:tc>
        <w:tc>
          <w:tcPr>
            <w:tcW w:w="500" w:type="pct"/>
            <w:noWrap/>
            <w:hideMark/>
          </w:tcPr>
          <w:p w:rsidR="0001276C" w:rsidRPr="0001276C" w:rsidRDefault="0001276C" w:rsidP="0001276C">
            <w:pPr>
              <w:spacing w:before="0" w:after="0" w:line="240" w:lineRule="auto"/>
            </w:pPr>
            <w:r w:rsidRPr="0001276C">
              <w:t>606911</w:t>
            </w:r>
          </w:p>
        </w:tc>
        <w:tc>
          <w:tcPr>
            <w:tcW w:w="500" w:type="pct"/>
            <w:noWrap/>
            <w:hideMark/>
          </w:tcPr>
          <w:p w:rsidR="0001276C" w:rsidRPr="0001276C" w:rsidRDefault="0001276C" w:rsidP="0001276C">
            <w:pPr>
              <w:spacing w:before="0" w:after="0" w:line="240" w:lineRule="auto"/>
            </w:pPr>
            <w:r w:rsidRPr="0001276C">
              <w:t>771199</w:t>
            </w:r>
          </w:p>
        </w:tc>
        <w:tc>
          <w:tcPr>
            <w:tcW w:w="519" w:type="pct"/>
            <w:noWrap/>
            <w:hideMark/>
          </w:tcPr>
          <w:p w:rsidR="0001276C" w:rsidRPr="0001276C" w:rsidRDefault="0001276C" w:rsidP="0001276C">
            <w:pPr>
              <w:spacing w:before="0" w:after="0" w:line="240" w:lineRule="auto"/>
            </w:pPr>
            <w:r w:rsidRPr="0001276C">
              <w:t>4.5</w:t>
            </w:r>
          </w:p>
        </w:tc>
        <w:tc>
          <w:tcPr>
            <w:tcW w:w="506" w:type="pct"/>
            <w:noWrap/>
            <w:hideMark/>
          </w:tcPr>
          <w:p w:rsidR="0001276C" w:rsidRPr="0001276C" w:rsidRDefault="0001276C" w:rsidP="0001276C">
            <w:pPr>
              <w:spacing w:before="0" w:after="0" w:line="240" w:lineRule="auto"/>
            </w:pPr>
            <w:r w:rsidRPr="0001276C">
              <w:t>2770.5</w:t>
            </w:r>
          </w:p>
        </w:tc>
        <w:tc>
          <w:tcPr>
            <w:tcW w:w="364"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H</w:t>
            </w:r>
          </w:p>
        </w:tc>
        <w:tc>
          <w:tcPr>
            <w:tcW w:w="543" w:type="pct"/>
            <w:noWrap/>
            <w:hideMark/>
          </w:tcPr>
          <w:p w:rsidR="0001276C" w:rsidRPr="0001276C" w:rsidRDefault="0001276C" w:rsidP="0001276C">
            <w:pPr>
              <w:spacing w:before="0" w:after="0" w:line="240" w:lineRule="auto"/>
            </w:pPr>
            <w:r w:rsidRPr="0001276C">
              <w:t>H</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lastRenderedPageBreak/>
              <w:t>20</w:t>
            </w:r>
          </w:p>
        </w:tc>
        <w:tc>
          <w:tcPr>
            <w:tcW w:w="1133" w:type="pct"/>
            <w:noWrap/>
            <w:hideMark/>
          </w:tcPr>
          <w:p w:rsidR="0001276C" w:rsidRPr="0001276C" w:rsidRDefault="0001276C" w:rsidP="0001276C">
            <w:pPr>
              <w:spacing w:before="0" w:after="0" w:line="240" w:lineRule="auto"/>
            </w:pPr>
            <w:r w:rsidRPr="0001276C">
              <w:t>Goba3</w:t>
            </w:r>
          </w:p>
        </w:tc>
        <w:tc>
          <w:tcPr>
            <w:tcW w:w="500" w:type="pct"/>
            <w:noWrap/>
            <w:hideMark/>
          </w:tcPr>
          <w:p w:rsidR="0001276C" w:rsidRPr="0001276C" w:rsidRDefault="0001276C" w:rsidP="0001276C">
            <w:pPr>
              <w:spacing w:before="0" w:after="0" w:line="240" w:lineRule="auto"/>
            </w:pPr>
            <w:r w:rsidRPr="0001276C">
              <w:t>607202</w:t>
            </w:r>
          </w:p>
        </w:tc>
        <w:tc>
          <w:tcPr>
            <w:tcW w:w="500" w:type="pct"/>
            <w:noWrap/>
            <w:hideMark/>
          </w:tcPr>
          <w:p w:rsidR="0001276C" w:rsidRPr="0001276C" w:rsidRDefault="0001276C" w:rsidP="0001276C">
            <w:pPr>
              <w:spacing w:before="0" w:after="0" w:line="240" w:lineRule="auto"/>
            </w:pPr>
            <w:r w:rsidRPr="0001276C">
              <w:t>771329</w:t>
            </w:r>
          </w:p>
        </w:tc>
        <w:tc>
          <w:tcPr>
            <w:tcW w:w="519" w:type="pct"/>
            <w:noWrap/>
            <w:hideMark/>
          </w:tcPr>
          <w:p w:rsidR="0001276C" w:rsidRPr="0001276C" w:rsidRDefault="0001276C" w:rsidP="0001276C">
            <w:pPr>
              <w:spacing w:before="0" w:after="0" w:line="240" w:lineRule="auto"/>
            </w:pPr>
            <w:r w:rsidRPr="0001276C">
              <w:t>4</w:t>
            </w:r>
          </w:p>
        </w:tc>
        <w:tc>
          <w:tcPr>
            <w:tcW w:w="506" w:type="pct"/>
            <w:noWrap/>
            <w:hideMark/>
          </w:tcPr>
          <w:p w:rsidR="0001276C" w:rsidRPr="0001276C" w:rsidRDefault="0001276C" w:rsidP="0001276C">
            <w:pPr>
              <w:spacing w:before="0" w:after="0" w:line="240" w:lineRule="auto"/>
            </w:pPr>
            <w:r w:rsidRPr="0001276C">
              <w:t>2756</w:t>
            </w:r>
          </w:p>
        </w:tc>
        <w:tc>
          <w:tcPr>
            <w:tcW w:w="364"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H</w:t>
            </w:r>
          </w:p>
        </w:tc>
        <w:tc>
          <w:tcPr>
            <w:tcW w:w="543" w:type="pct"/>
            <w:noWrap/>
            <w:hideMark/>
          </w:tcPr>
          <w:p w:rsidR="0001276C" w:rsidRPr="0001276C" w:rsidRDefault="0001276C" w:rsidP="0001276C">
            <w:pPr>
              <w:spacing w:before="0" w:after="0" w:line="240" w:lineRule="auto"/>
            </w:pPr>
            <w:r w:rsidRPr="0001276C">
              <w:t>H</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21</w:t>
            </w:r>
          </w:p>
        </w:tc>
        <w:tc>
          <w:tcPr>
            <w:tcW w:w="1133" w:type="pct"/>
            <w:noWrap/>
            <w:hideMark/>
          </w:tcPr>
          <w:p w:rsidR="0001276C" w:rsidRPr="0001276C" w:rsidRDefault="0001276C" w:rsidP="0001276C">
            <w:pPr>
              <w:spacing w:before="0" w:after="0" w:line="240" w:lineRule="auto"/>
            </w:pPr>
            <w:r w:rsidRPr="0001276C">
              <w:t>Goba2</w:t>
            </w:r>
          </w:p>
        </w:tc>
        <w:tc>
          <w:tcPr>
            <w:tcW w:w="500" w:type="pct"/>
            <w:noWrap/>
            <w:hideMark/>
          </w:tcPr>
          <w:p w:rsidR="0001276C" w:rsidRPr="0001276C" w:rsidRDefault="0001276C" w:rsidP="0001276C">
            <w:pPr>
              <w:spacing w:before="0" w:after="0" w:line="240" w:lineRule="auto"/>
            </w:pPr>
            <w:r w:rsidRPr="0001276C">
              <w:t>607647</w:t>
            </w:r>
          </w:p>
        </w:tc>
        <w:tc>
          <w:tcPr>
            <w:tcW w:w="500" w:type="pct"/>
            <w:noWrap/>
            <w:hideMark/>
          </w:tcPr>
          <w:p w:rsidR="0001276C" w:rsidRPr="0001276C" w:rsidRDefault="0001276C" w:rsidP="0001276C">
            <w:pPr>
              <w:spacing w:before="0" w:after="0" w:line="240" w:lineRule="auto"/>
            </w:pPr>
            <w:r w:rsidRPr="0001276C">
              <w:t>771571</w:t>
            </w:r>
          </w:p>
        </w:tc>
        <w:tc>
          <w:tcPr>
            <w:tcW w:w="519" w:type="pct"/>
            <w:noWrap/>
            <w:hideMark/>
          </w:tcPr>
          <w:p w:rsidR="0001276C" w:rsidRPr="0001276C" w:rsidRDefault="0001276C" w:rsidP="0001276C">
            <w:pPr>
              <w:spacing w:before="0" w:after="0" w:line="240" w:lineRule="auto"/>
            </w:pPr>
            <w:r w:rsidRPr="0001276C">
              <w:t>3</w:t>
            </w:r>
          </w:p>
        </w:tc>
        <w:tc>
          <w:tcPr>
            <w:tcW w:w="506" w:type="pct"/>
            <w:noWrap/>
            <w:hideMark/>
          </w:tcPr>
          <w:p w:rsidR="0001276C" w:rsidRPr="0001276C" w:rsidRDefault="0001276C" w:rsidP="0001276C">
            <w:pPr>
              <w:spacing w:before="0" w:after="0" w:line="240" w:lineRule="auto"/>
            </w:pPr>
            <w:r w:rsidRPr="0001276C">
              <w:t>2745.5</w:t>
            </w:r>
          </w:p>
        </w:tc>
        <w:tc>
          <w:tcPr>
            <w:tcW w:w="364"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H</w:t>
            </w:r>
          </w:p>
        </w:tc>
        <w:tc>
          <w:tcPr>
            <w:tcW w:w="543" w:type="pct"/>
            <w:noWrap/>
            <w:hideMark/>
          </w:tcPr>
          <w:p w:rsidR="0001276C" w:rsidRPr="0001276C" w:rsidRDefault="0001276C" w:rsidP="0001276C">
            <w:pPr>
              <w:spacing w:before="0" w:after="0" w:line="240" w:lineRule="auto"/>
            </w:pPr>
            <w:r w:rsidRPr="0001276C">
              <w:t>M</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22</w:t>
            </w:r>
          </w:p>
        </w:tc>
        <w:tc>
          <w:tcPr>
            <w:tcW w:w="1133" w:type="pct"/>
            <w:noWrap/>
            <w:hideMark/>
          </w:tcPr>
          <w:p w:rsidR="0001276C" w:rsidRPr="0001276C" w:rsidRDefault="0001276C" w:rsidP="0001276C">
            <w:pPr>
              <w:spacing w:before="0" w:after="0" w:line="240" w:lineRule="auto"/>
            </w:pPr>
            <w:r w:rsidRPr="0001276C">
              <w:t>Chelo_RMly</w:t>
            </w:r>
          </w:p>
        </w:tc>
        <w:tc>
          <w:tcPr>
            <w:tcW w:w="500" w:type="pct"/>
            <w:noWrap/>
            <w:hideMark/>
          </w:tcPr>
          <w:p w:rsidR="0001276C" w:rsidRPr="0001276C" w:rsidRDefault="0001276C" w:rsidP="0001276C">
            <w:pPr>
              <w:spacing w:before="0" w:after="0" w:line="240" w:lineRule="auto"/>
            </w:pPr>
            <w:r w:rsidRPr="0001276C">
              <w:t>601204</w:t>
            </w:r>
          </w:p>
        </w:tc>
        <w:tc>
          <w:tcPr>
            <w:tcW w:w="500" w:type="pct"/>
            <w:noWrap/>
            <w:hideMark/>
          </w:tcPr>
          <w:p w:rsidR="0001276C" w:rsidRPr="0001276C" w:rsidRDefault="0001276C" w:rsidP="0001276C">
            <w:pPr>
              <w:spacing w:before="0" w:after="0" w:line="240" w:lineRule="auto"/>
            </w:pPr>
            <w:r w:rsidRPr="0001276C">
              <w:t>783645</w:t>
            </w:r>
          </w:p>
        </w:tc>
        <w:tc>
          <w:tcPr>
            <w:tcW w:w="519" w:type="pct"/>
            <w:noWrap/>
            <w:hideMark/>
          </w:tcPr>
          <w:p w:rsidR="0001276C" w:rsidRPr="0001276C" w:rsidRDefault="0001276C" w:rsidP="0001276C">
            <w:pPr>
              <w:spacing w:before="0" w:after="0" w:line="240" w:lineRule="auto"/>
            </w:pPr>
            <w:r w:rsidRPr="0001276C">
              <w:t>9</w:t>
            </w:r>
          </w:p>
        </w:tc>
        <w:tc>
          <w:tcPr>
            <w:tcW w:w="506" w:type="pct"/>
            <w:noWrap/>
            <w:hideMark/>
          </w:tcPr>
          <w:p w:rsidR="0001276C" w:rsidRPr="0001276C" w:rsidRDefault="0001276C" w:rsidP="0001276C">
            <w:pPr>
              <w:spacing w:before="0" w:after="0" w:line="240" w:lineRule="auto"/>
            </w:pPr>
            <w:r w:rsidRPr="0001276C">
              <w:t>2661</w:t>
            </w:r>
          </w:p>
        </w:tc>
        <w:tc>
          <w:tcPr>
            <w:tcW w:w="364" w:type="pct"/>
            <w:noWrap/>
            <w:hideMark/>
          </w:tcPr>
          <w:p w:rsidR="0001276C" w:rsidRPr="0001276C" w:rsidRDefault="0001276C" w:rsidP="0001276C">
            <w:pPr>
              <w:spacing w:before="0" w:after="0" w:line="240" w:lineRule="auto"/>
            </w:pPr>
            <w:r w:rsidRPr="0001276C">
              <w:t>SP</w:t>
            </w:r>
          </w:p>
        </w:tc>
        <w:tc>
          <w:tcPr>
            <w:tcW w:w="543" w:type="pct"/>
            <w:noWrap/>
            <w:hideMark/>
          </w:tcPr>
          <w:p w:rsidR="0001276C" w:rsidRPr="0001276C" w:rsidRDefault="0001276C" w:rsidP="0001276C">
            <w:pPr>
              <w:spacing w:before="0" w:after="0" w:line="240" w:lineRule="auto"/>
            </w:pPr>
            <w:r w:rsidRPr="0001276C">
              <w:t>H</w:t>
            </w:r>
          </w:p>
        </w:tc>
        <w:tc>
          <w:tcPr>
            <w:tcW w:w="543" w:type="pct"/>
            <w:noWrap/>
            <w:hideMark/>
          </w:tcPr>
          <w:p w:rsidR="0001276C" w:rsidRPr="0001276C" w:rsidRDefault="0001276C" w:rsidP="0001276C">
            <w:pPr>
              <w:spacing w:before="0" w:after="0" w:line="240" w:lineRule="auto"/>
            </w:pPr>
            <w:r w:rsidRPr="0001276C">
              <w:t>H</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23</w:t>
            </w:r>
          </w:p>
        </w:tc>
        <w:tc>
          <w:tcPr>
            <w:tcW w:w="1133" w:type="pct"/>
            <w:noWrap/>
            <w:hideMark/>
          </w:tcPr>
          <w:p w:rsidR="0001276C" w:rsidRPr="0001276C" w:rsidRDefault="0001276C" w:rsidP="0001276C">
            <w:pPr>
              <w:spacing w:before="0" w:after="0" w:line="240" w:lineRule="auto"/>
            </w:pPr>
            <w:r w:rsidRPr="0001276C">
              <w:t>Werbo_RMl</w:t>
            </w:r>
          </w:p>
        </w:tc>
        <w:tc>
          <w:tcPr>
            <w:tcW w:w="500" w:type="pct"/>
            <w:noWrap/>
            <w:hideMark/>
          </w:tcPr>
          <w:p w:rsidR="0001276C" w:rsidRPr="0001276C" w:rsidRDefault="0001276C" w:rsidP="0001276C">
            <w:pPr>
              <w:spacing w:before="0" w:after="0" w:line="240" w:lineRule="auto"/>
            </w:pPr>
            <w:r w:rsidRPr="0001276C">
              <w:t>599691</w:t>
            </w:r>
          </w:p>
        </w:tc>
        <w:tc>
          <w:tcPr>
            <w:tcW w:w="500" w:type="pct"/>
            <w:noWrap/>
            <w:hideMark/>
          </w:tcPr>
          <w:p w:rsidR="0001276C" w:rsidRPr="0001276C" w:rsidRDefault="0001276C" w:rsidP="0001276C">
            <w:pPr>
              <w:spacing w:before="0" w:after="0" w:line="240" w:lineRule="auto"/>
            </w:pPr>
            <w:r w:rsidRPr="0001276C">
              <w:t>785277</w:t>
            </w:r>
          </w:p>
        </w:tc>
        <w:tc>
          <w:tcPr>
            <w:tcW w:w="519" w:type="pct"/>
            <w:noWrap/>
            <w:hideMark/>
          </w:tcPr>
          <w:p w:rsidR="0001276C" w:rsidRPr="0001276C" w:rsidRDefault="0001276C" w:rsidP="0001276C">
            <w:pPr>
              <w:spacing w:before="0" w:after="0" w:line="240" w:lineRule="auto"/>
            </w:pPr>
            <w:r w:rsidRPr="0001276C">
              <w:t>8</w:t>
            </w:r>
          </w:p>
        </w:tc>
        <w:tc>
          <w:tcPr>
            <w:tcW w:w="506" w:type="pct"/>
            <w:noWrap/>
            <w:hideMark/>
          </w:tcPr>
          <w:p w:rsidR="0001276C" w:rsidRPr="0001276C" w:rsidRDefault="0001276C" w:rsidP="0001276C">
            <w:pPr>
              <w:spacing w:before="0" w:after="0" w:line="240" w:lineRule="auto"/>
            </w:pPr>
            <w:r w:rsidRPr="0001276C">
              <w:t>2656</w:t>
            </w:r>
          </w:p>
        </w:tc>
        <w:tc>
          <w:tcPr>
            <w:tcW w:w="364" w:type="pct"/>
            <w:noWrap/>
            <w:hideMark/>
          </w:tcPr>
          <w:p w:rsidR="0001276C" w:rsidRPr="0001276C" w:rsidRDefault="0001276C" w:rsidP="0001276C">
            <w:pPr>
              <w:spacing w:before="0" w:after="0" w:line="240" w:lineRule="auto"/>
            </w:pPr>
            <w:r w:rsidRPr="0001276C">
              <w:t>SP</w:t>
            </w:r>
          </w:p>
        </w:tc>
        <w:tc>
          <w:tcPr>
            <w:tcW w:w="543" w:type="pct"/>
            <w:noWrap/>
            <w:hideMark/>
          </w:tcPr>
          <w:p w:rsidR="0001276C" w:rsidRPr="0001276C" w:rsidRDefault="0001276C" w:rsidP="0001276C">
            <w:pPr>
              <w:spacing w:before="0" w:after="0" w:line="240" w:lineRule="auto"/>
            </w:pPr>
            <w:r w:rsidRPr="0001276C">
              <w:t>H</w:t>
            </w:r>
          </w:p>
        </w:tc>
        <w:tc>
          <w:tcPr>
            <w:tcW w:w="543" w:type="pct"/>
            <w:noWrap/>
            <w:hideMark/>
          </w:tcPr>
          <w:p w:rsidR="0001276C" w:rsidRPr="0001276C" w:rsidRDefault="0001276C" w:rsidP="0001276C">
            <w:pPr>
              <w:spacing w:before="0" w:after="0" w:line="240" w:lineRule="auto"/>
            </w:pPr>
            <w:r w:rsidRPr="0001276C">
              <w:t>H</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24</w:t>
            </w:r>
          </w:p>
        </w:tc>
        <w:tc>
          <w:tcPr>
            <w:tcW w:w="1133" w:type="pct"/>
            <w:noWrap/>
            <w:hideMark/>
          </w:tcPr>
          <w:p w:rsidR="0001276C" w:rsidRPr="0001276C" w:rsidRDefault="0001276C" w:rsidP="0001276C">
            <w:pPr>
              <w:spacing w:before="0" w:after="0" w:line="240" w:lineRule="auto"/>
            </w:pPr>
            <w:r w:rsidRPr="0001276C">
              <w:t>Robe_ORMl</w:t>
            </w:r>
          </w:p>
        </w:tc>
        <w:tc>
          <w:tcPr>
            <w:tcW w:w="500" w:type="pct"/>
            <w:noWrap/>
            <w:hideMark/>
          </w:tcPr>
          <w:p w:rsidR="0001276C" w:rsidRPr="0001276C" w:rsidRDefault="0001276C" w:rsidP="0001276C">
            <w:pPr>
              <w:spacing w:before="0" w:after="0" w:line="240" w:lineRule="auto"/>
            </w:pPr>
            <w:r w:rsidRPr="0001276C">
              <w:t>599555</w:t>
            </w:r>
          </w:p>
        </w:tc>
        <w:tc>
          <w:tcPr>
            <w:tcW w:w="500" w:type="pct"/>
            <w:noWrap/>
            <w:hideMark/>
          </w:tcPr>
          <w:p w:rsidR="0001276C" w:rsidRPr="0001276C" w:rsidRDefault="0001276C" w:rsidP="0001276C">
            <w:pPr>
              <w:spacing w:before="0" w:after="0" w:line="240" w:lineRule="auto"/>
            </w:pPr>
            <w:r w:rsidRPr="0001276C">
              <w:t>785878</w:t>
            </w:r>
          </w:p>
        </w:tc>
        <w:tc>
          <w:tcPr>
            <w:tcW w:w="519" w:type="pct"/>
            <w:noWrap/>
            <w:hideMark/>
          </w:tcPr>
          <w:p w:rsidR="0001276C" w:rsidRPr="0001276C" w:rsidRDefault="0001276C" w:rsidP="0001276C">
            <w:pPr>
              <w:spacing w:before="0" w:after="0" w:line="240" w:lineRule="auto"/>
            </w:pPr>
            <w:r w:rsidRPr="0001276C">
              <w:t>20</w:t>
            </w:r>
          </w:p>
        </w:tc>
        <w:tc>
          <w:tcPr>
            <w:tcW w:w="506" w:type="pct"/>
            <w:noWrap/>
            <w:hideMark/>
          </w:tcPr>
          <w:p w:rsidR="0001276C" w:rsidRPr="0001276C" w:rsidRDefault="0001276C" w:rsidP="0001276C">
            <w:pPr>
              <w:spacing w:before="0" w:after="0" w:line="240" w:lineRule="auto"/>
            </w:pPr>
            <w:r w:rsidRPr="0001276C">
              <w:t>2642</w:t>
            </w:r>
          </w:p>
        </w:tc>
        <w:tc>
          <w:tcPr>
            <w:tcW w:w="364" w:type="pct"/>
            <w:noWrap/>
            <w:hideMark/>
          </w:tcPr>
          <w:p w:rsidR="0001276C" w:rsidRPr="0001276C" w:rsidRDefault="0001276C" w:rsidP="0001276C">
            <w:pPr>
              <w:spacing w:before="0" w:after="0" w:line="240" w:lineRule="auto"/>
            </w:pPr>
            <w:r w:rsidRPr="0001276C">
              <w:t>SP</w:t>
            </w:r>
          </w:p>
        </w:tc>
        <w:tc>
          <w:tcPr>
            <w:tcW w:w="543" w:type="pct"/>
            <w:noWrap/>
            <w:hideMark/>
          </w:tcPr>
          <w:p w:rsidR="0001276C" w:rsidRPr="0001276C" w:rsidRDefault="0001276C" w:rsidP="0001276C">
            <w:pPr>
              <w:spacing w:before="0" w:after="0" w:line="240" w:lineRule="auto"/>
            </w:pPr>
            <w:r w:rsidRPr="0001276C">
              <w:t>VH</w:t>
            </w:r>
          </w:p>
        </w:tc>
        <w:tc>
          <w:tcPr>
            <w:tcW w:w="543" w:type="pct"/>
            <w:noWrap/>
            <w:hideMark/>
          </w:tcPr>
          <w:p w:rsidR="0001276C" w:rsidRPr="0001276C" w:rsidRDefault="0001276C" w:rsidP="0001276C">
            <w:pPr>
              <w:spacing w:before="0" w:after="0" w:line="240" w:lineRule="auto"/>
            </w:pPr>
            <w:r w:rsidRPr="0001276C">
              <w:t>VH</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25</w:t>
            </w:r>
          </w:p>
        </w:tc>
        <w:tc>
          <w:tcPr>
            <w:tcW w:w="1133" w:type="pct"/>
            <w:noWrap/>
            <w:hideMark/>
          </w:tcPr>
          <w:p w:rsidR="0001276C" w:rsidRPr="0001276C" w:rsidRDefault="0001276C" w:rsidP="0001276C">
            <w:pPr>
              <w:spacing w:before="0" w:after="0" w:line="240" w:lineRule="auto"/>
            </w:pPr>
            <w:r w:rsidRPr="0001276C">
              <w:t>Kasowara</w:t>
            </w:r>
          </w:p>
        </w:tc>
        <w:tc>
          <w:tcPr>
            <w:tcW w:w="500" w:type="pct"/>
            <w:noWrap/>
            <w:hideMark/>
          </w:tcPr>
          <w:p w:rsidR="0001276C" w:rsidRPr="0001276C" w:rsidRDefault="0001276C" w:rsidP="0001276C">
            <w:pPr>
              <w:spacing w:before="0" w:after="0" w:line="240" w:lineRule="auto"/>
            </w:pPr>
            <w:r w:rsidRPr="0001276C">
              <w:t>597012</w:t>
            </w:r>
          </w:p>
        </w:tc>
        <w:tc>
          <w:tcPr>
            <w:tcW w:w="500" w:type="pct"/>
            <w:noWrap/>
            <w:hideMark/>
          </w:tcPr>
          <w:p w:rsidR="0001276C" w:rsidRPr="0001276C" w:rsidRDefault="0001276C" w:rsidP="0001276C">
            <w:pPr>
              <w:spacing w:before="0" w:after="0" w:line="240" w:lineRule="auto"/>
            </w:pPr>
            <w:r w:rsidRPr="0001276C">
              <w:t>796128</w:t>
            </w:r>
          </w:p>
        </w:tc>
        <w:tc>
          <w:tcPr>
            <w:tcW w:w="519" w:type="pct"/>
            <w:noWrap/>
            <w:hideMark/>
          </w:tcPr>
          <w:p w:rsidR="0001276C" w:rsidRPr="0001276C" w:rsidRDefault="0001276C" w:rsidP="0001276C">
            <w:pPr>
              <w:spacing w:before="0" w:after="0" w:line="240" w:lineRule="auto"/>
            </w:pPr>
            <w:r w:rsidRPr="0001276C">
              <w:t>0.27</w:t>
            </w:r>
          </w:p>
        </w:tc>
        <w:tc>
          <w:tcPr>
            <w:tcW w:w="506" w:type="pct"/>
            <w:noWrap/>
            <w:hideMark/>
          </w:tcPr>
          <w:p w:rsidR="0001276C" w:rsidRPr="0001276C" w:rsidRDefault="0001276C" w:rsidP="0001276C">
            <w:pPr>
              <w:spacing w:before="0" w:after="0" w:line="240" w:lineRule="auto"/>
            </w:pPr>
            <w:r w:rsidRPr="0001276C">
              <w:t>2582</w:t>
            </w:r>
          </w:p>
        </w:tc>
        <w:tc>
          <w:tcPr>
            <w:tcW w:w="364" w:type="pct"/>
            <w:noWrap/>
            <w:hideMark/>
          </w:tcPr>
          <w:p w:rsidR="0001276C" w:rsidRPr="0001276C" w:rsidRDefault="0001276C" w:rsidP="0001276C">
            <w:pPr>
              <w:spacing w:before="0" w:after="0" w:line="240" w:lineRule="auto"/>
            </w:pPr>
            <w:r w:rsidRPr="0001276C">
              <w:t>SP</w:t>
            </w:r>
          </w:p>
        </w:tc>
        <w:tc>
          <w:tcPr>
            <w:tcW w:w="543" w:type="pct"/>
            <w:noWrap/>
            <w:hideMark/>
          </w:tcPr>
          <w:p w:rsidR="0001276C" w:rsidRPr="0001276C" w:rsidRDefault="0001276C" w:rsidP="0001276C">
            <w:pPr>
              <w:spacing w:before="0" w:after="0" w:line="240" w:lineRule="auto"/>
            </w:pPr>
            <w:r w:rsidRPr="0001276C">
              <w:t>L</w:t>
            </w:r>
          </w:p>
        </w:tc>
        <w:tc>
          <w:tcPr>
            <w:tcW w:w="543" w:type="pct"/>
            <w:noWrap/>
            <w:hideMark/>
          </w:tcPr>
          <w:p w:rsidR="0001276C" w:rsidRPr="0001276C" w:rsidRDefault="0001276C" w:rsidP="0001276C">
            <w:pPr>
              <w:spacing w:before="0" w:after="0" w:line="240" w:lineRule="auto"/>
            </w:pPr>
            <w:r w:rsidRPr="0001276C">
              <w:t>L</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26</w:t>
            </w:r>
          </w:p>
        </w:tc>
        <w:tc>
          <w:tcPr>
            <w:tcW w:w="1133" w:type="pct"/>
            <w:noWrap/>
            <w:hideMark/>
          </w:tcPr>
          <w:p w:rsidR="0001276C" w:rsidRPr="0001276C" w:rsidRDefault="0001276C" w:rsidP="0001276C">
            <w:pPr>
              <w:spacing w:before="0" w:after="0" w:line="240" w:lineRule="auto"/>
            </w:pPr>
            <w:r w:rsidRPr="0001276C">
              <w:t>kedu</w:t>
            </w:r>
          </w:p>
        </w:tc>
        <w:tc>
          <w:tcPr>
            <w:tcW w:w="500" w:type="pct"/>
            <w:noWrap/>
            <w:hideMark/>
          </w:tcPr>
          <w:p w:rsidR="0001276C" w:rsidRPr="0001276C" w:rsidRDefault="0001276C" w:rsidP="0001276C">
            <w:pPr>
              <w:spacing w:before="0" w:after="0" w:line="240" w:lineRule="auto"/>
            </w:pPr>
            <w:r w:rsidRPr="0001276C">
              <w:t>613500</w:t>
            </w:r>
          </w:p>
        </w:tc>
        <w:tc>
          <w:tcPr>
            <w:tcW w:w="500" w:type="pct"/>
            <w:noWrap/>
            <w:hideMark/>
          </w:tcPr>
          <w:p w:rsidR="0001276C" w:rsidRPr="0001276C" w:rsidRDefault="0001276C" w:rsidP="0001276C">
            <w:pPr>
              <w:spacing w:before="0" w:after="0" w:line="240" w:lineRule="auto"/>
            </w:pPr>
            <w:r w:rsidRPr="0001276C">
              <w:t>767963</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2542</w:t>
            </w:r>
          </w:p>
        </w:tc>
        <w:tc>
          <w:tcPr>
            <w:tcW w:w="364"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M</w:t>
            </w:r>
          </w:p>
        </w:tc>
        <w:tc>
          <w:tcPr>
            <w:tcW w:w="543" w:type="pct"/>
            <w:noWrap/>
            <w:hideMark/>
          </w:tcPr>
          <w:p w:rsidR="0001276C" w:rsidRPr="0001276C" w:rsidRDefault="0001276C" w:rsidP="0001276C">
            <w:pPr>
              <w:spacing w:before="0" w:after="0" w:line="240" w:lineRule="auto"/>
            </w:pPr>
            <w:r w:rsidRPr="0001276C">
              <w:t>M</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27</w:t>
            </w:r>
          </w:p>
        </w:tc>
        <w:tc>
          <w:tcPr>
            <w:tcW w:w="1133" w:type="pct"/>
            <w:noWrap/>
            <w:hideMark/>
          </w:tcPr>
          <w:p w:rsidR="0001276C" w:rsidRPr="0001276C" w:rsidRDefault="0001276C" w:rsidP="0001276C">
            <w:pPr>
              <w:spacing w:before="0" w:after="0" w:line="240" w:lineRule="auto"/>
            </w:pPr>
            <w:r w:rsidRPr="0001276C">
              <w:t>Aloshe</w:t>
            </w:r>
          </w:p>
        </w:tc>
        <w:tc>
          <w:tcPr>
            <w:tcW w:w="500" w:type="pct"/>
            <w:noWrap/>
            <w:hideMark/>
          </w:tcPr>
          <w:p w:rsidR="0001276C" w:rsidRPr="0001276C" w:rsidRDefault="0001276C" w:rsidP="0001276C">
            <w:pPr>
              <w:spacing w:before="0" w:after="0" w:line="240" w:lineRule="auto"/>
            </w:pPr>
            <w:r w:rsidRPr="0001276C">
              <w:t>612589</w:t>
            </w:r>
          </w:p>
        </w:tc>
        <w:tc>
          <w:tcPr>
            <w:tcW w:w="500" w:type="pct"/>
            <w:noWrap/>
            <w:hideMark/>
          </w:tcPr>
          <w:p w:rsidR="0001276C" w:rsidRPr="0001276C" w:rsidRDefault="0001276C" w:rsidP="0001276C">
            <w:pPr>
              <w:spacing w:before="0" w:after="0" w:line="240" w:lineRule="auto"/>
            </w:pPr>
            <w:r w:rsidRPr="0001276C">
              <w:t>774143</w:t>
            </w:r>
          </w:p>
        </w:tc>
        <w:tc>
          <w:tcPr>
            <w:tcW w:w="519" w:type="pct"/>
            <w:noWrap/>
            <w:hideMark/>
          </w:tcPr>
          <w:p w:rsidR="0001276C" w:rsidRPr="0001276C" w:rsidRDefault="0001276C" w:rsidP="0001276C">
            <w:pPr>
              <w:spacing w:before="0" w:after="0" w:line="240" w:lineRule="auto"/>
            </w:pPr>
            <w:r w:rsidRPr="0001276C">
              <w:t>2.5</w:t>
            </w:r>
          </w:p>
        </w:tc>
        <w:tc>
          <w:tcPr>
            <w:tcW w:w="506" w:type="pct"/>
            <w:noWrap/>
            <w:hideMark/>
          </w:tcPr>
          <w:p w:rsidR="0001276C" w:rsidRPr="0001276C" w:rsidRDefault="0001276C" w:rsidP="0001276C">
            <w:pPr>
              <w:spacing w:before="0" w:after="0" w:line="240" w:lineRule="auto"/>
            </w:pPr>
            <w:r w:rsidRPr="0001276C">
              <w:t>2522</w:t>
            </w:r>
          </w:p>
        </w:tc>
        <w:tc>
          <w:tcPr>
            <w:tcW w:w="364"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M</w:t>
            </w:r>
          </w:p>
        </w:tc>
        <w:tc>
          <w:tcPr>
            <w:tcW w:w="543" w:type="pct"/>
            <w:noWrap/>
            <w:hideMark/>
          </w:tcPr>
          <w:p w:rsidR="0001276C" w:rsidRPr="0001276C" w:rsidRDefault="0001276C" w:rsidP="0001276C">
            <w:pPr>
              <w:spacing w:before="0" w:after="0" w:line="240" w:lineRule="auto"/>
            </w:pPr>
            <w:r w:rsidRPr="0001276C">
              <w:t>M</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28</w:t>
            </w:r>
          </w:p>
        </w:tc>
        <w:tc>
          <w:tcPr>
            <w:tcW w:w="1133" w:type="pct"/>
            <w:noWrap/>
            <w:hideMark/>
          </w:tcPr>
          <w:p w:rsidR="0001276C" w:rsidRPr="0001276C" w:rsidRDefault="0001276C" w:rsidP="0001276C">
            <w:pPr>
              <w:spacing w:before="0" w:after="0" w:line="240" w:lineRule="auto"/>
            </w:pPr>
            <w:r w:rsidRPr="0001276C">
              <w:t>oyora1</w:t>
            </w:r>
          </w:p>
        </w:tc>
        <w:tc>
          <w:tcPr>
            <w:tcW w:w="500" w:type="pct"/>
            <w:noWrap/>
            <w:hideMark/>
          </w:tcPr>
          <w:p w:rsidR="0001276C" w:rsidRPr="0001276C" w:rsidRDefault="0001276C" w:rsidP="0001276C">
            <w:pPr>
              <w:spacing w:before="0" w:after="0" w:line="240" w:lineRule="auto"/>
            </w:pPr>
            <w:r w:rsidRPr="0001276C">
              <w:t>612597</w:t>
            </w:r>
          </w:p>
        </w:tc>
        <w:tc>
          <w:tcPr>
            <w:tcW w:w="500" w:type="pct"/>
            <w:noWrap/>
            <w:hideMark/>
          </w:tcPr>
          <w:p w:rsidR="0001276C" w:rsidRPr="0001276C" w:rsidRDefault="0001276C" w:rsidP="0001276C">
            <w:pPr>
              <w:spacing w:before="0" w:after="0" w:line="240" w:lineRule="auto"/>
            </w:pPr>
            <w:r w:rsidRPr="0001276C">
              <w:t>774254</w:t>
            </w:r>
          </w:p>
        </w:tc>
        <w:tc>
          <w:tcPr>
            <w:tcW w:w="519" w:type="pct"/>
            <w:noWrap/>
            <w:hideMark/>
          </w:tcPr>
          <w:p w:rsidR="0001276C" w:rsidRPr="0001276C" w:rsidRDefault="0001276C" w:rsidP="0001276C">
            <w:pPr>
              <w:spacing w:before="0" w:after="0" w:line="240" w:lineRule="auto"/>
            </w:pPr>
            <w:r w:rsidRPr="0001276C">
              <w:t>2</w:t>
            </w:r>
          </w:p>
        </w:tc>
        <w:tc>
          <w:tcPr>
            <w:tcW w:w="506" w:type="pct"/>
            <w:noWrap/>
            <w:hideMark/>
          </w:tcPr>
          <w:p w:rsidR="0001276C" w:rsidRPr="0001276C" w:rsidRDefault="0001276C" w:rsidP="0001276C">
            <w:pPr>
              <w:spacing w:before="0" w:after="0" w:line="240" w:lineRule="auto"/>
            </w:pPr>
            <w:r w:rsidRPr="0001276C">
              <w:t>2519</w:t>
            </w:r>
          </w:p>
        </w:tc>
        <w:tc>
          <w:tcPr>
            <w:tcW w:w="364"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M</w:t>
            </w:r>
          </w:p>
        </w:tc>
        <w:tc>
          <w:tcPr>
            <w:tcW w:w="543" w:type="pct"/>
            <w:noWrap/>
            <w:hideMark/>
          </w:tcPr>
          <w:p w:rsidR="0001276C" w:rsidRPr="0001276C" w:rsidRDefault="0001276C" w:rsidP="0001276C">
            <w:pPr>
              <w:spacing w:before="0" w:after="0" w:line="240" w:lineRule="auto"/>
            </w:pPr>
            <w:r w:rsidRPr="0001276C">
              <w:t>M</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29</w:t>
            </w:r>
          </w:p>
        </w:tc>
        <w:tc>
          <w:tcPr>
            <w:tcW w:w="1133" w:type="pct"/>
            <w:noWrap/>
            <w:hideMark/>
          </w:tcPr>
          <w:p w:rsidR="0001276C" w:rsidRPr="0001276C" w:rsidRDefault="0001276C" w:rsidP="0001276C">
            <w:pPr>
              <w:spacing w:before="0" w:after="0" w:line="240" w:lineRule="auto"/>
            </w:pPr>
            <w:r w:rsidRPr="0001276C">
              <w:t>Aloshe1</w:t>
            </w:r>
          </w:p>
        </w:tc>
        <w:tc>
          <w:tcPr>
            <w:tcW w:w="500" w:type="pct"/>
            <w:noWrap/>
            <w:hideMark/>
          </w:tcPr>
          <w:p w:rsidR="0001276C" w:rsidRPr="0001276C" w:rsidRDefault="0001276C" w:rsidP="0001276C">
            <w:pPr>
              <w:spacing w:before="0" w:after="0" w:line="240" w:lineRule="auto"/>
            </w:pPr>
            <w:r w:rsidRPr="0001276C">
              <w:t>612401</w:t>
            </w:r>
          </w:p>
        </w:tc>
        <w:tc>
          <w:tcPr>
            <w:tcW w:w="500" w:type="pct"/>
            <w:noWrap/>
            <w:hideMark/>
          </w:tcPr>
          <w:p w:rsidR="0001276C" w:rsidRPr="0001276C" w:rsidRDefault="0001276C" w:rsidP="0001276C">
            <w:pPr>
              <w:spacing w:before="0" w:after="0" w:line="240" w:lineRule="auto"/>
            </w:pPr>
            <w:r w:rsidRPr="0001276C">
              <w:t>775436</w:t>
            </w:r>
          </w:p>
        </w:tc>
        <w:tc>
          <w:tcPr>
            <w:tcW w:w="519" w:type="pct"/>
            <w:noWrap/>
            <w:hideMark/>
          </w:tcPr>
          <w:p w:rsidR="0001276C" w:rsidRPr="0001276C" w:rsidRDefault="0001276C" w:rsidP="0001276C">
            <w:pPr>
              <w:spacing w:before="0" w:after="0" w:line="240" w:lineRule="auto"/>
            </w:pPr>
            <w:r w:rsidRPr="0001276C">
              <w:t>2</w:t>
            </w:r>
          </w:p>
        </w:tc>
        <w:tc>
          <w:tcPr>
            <w:tcW w:w="506" w:type="pct"/>
            <w:noWrap/>
            <w:hideMark/>
          </w:tcPr>
          <w:p w:rsidR="0001276C" w:rsidRPr="0001276C" w:rsidRDefault="0001276C" w:rsidP="0001276C">
            <w:pPr>
              <w:spacing w:before="0" w:after="0" w:line="240" w:lineRule="auto"/>
            </w:pPr>
            <w:r w:rsidRPr="0001276C">
              <w:t>2516</w:t>
            </w:r>
          </w:p>
        </w:tc>
        <w:tc>
          <w:tcPr>
            <w:tcW w:w="364"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M</w:t>
            </w:r>
          </w:p>
        </w:tc>
        <w:tc>
          <w:tcPr>
            <w:tcW w:w="543" w:type="pct"/>
            <w:noWrap/>
            <w:hideMark/>
          </w:tcPr>
          <w:p w:rsidR="0001276C" w:rsidRPr="0001276C" w:rsidRDefault="0001276C" w:rsidP="0001276C">
            <w:pPr>
              <w:spacing w:before="0" w:after="0" w:line="240" w:lineRule="auto"/>
            </w:pPr>
            <w:r w:rsidRPr="0001276C">
              <w:t>M</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30</w:t>
            </w:r>
          </w:p>
        </w:tc>
        <w:tc>
          <w:tcPr>
            <w:tcW w:w="1133" w:type="pct"/>
            <w:noWrap/>
            <w:hideMark/>
          </w:tcPr>
          <w:p w:rsidR="0001276C" w:rsidRPr="0001276C" w:rsidRDefault="0001276C" w:rsidP="0001276C">
            <w:pPr>
              <w:spacing w:before="0" w:after="0" w:line="240" w:lineRule="auto"/>
            </w:pPr>
            <w:r w:rsidRPr="0001276C">
              <w:t>Robe No 1</w:t>
            </w:r>
          </w:p>
        </w:tc>
        <w:tc>
          <w:tcPr>
            <w:tcW w:w="500" w:type="pct"/>
            <w:noWrap/>
            <w:hideMark/>
          </w:tcPr>
          <w:p w:rsidR="0001276C" w:rsidRPr="0001276C" w:rsidRDefault="0001276C" w:rsidP="0001276C">
            <w:pPr>
              <w:spacing w:before="0" w:after="0" w:line="240" w:lineRule="auto"/>
            </w:pPr>
            <w:r w:rsidRPr="0001276C">
              <w:t>611048</w:t>
            </w:r>
          </w:p>
        </w:tc>
        <w:tc>
          <w:tcPr>
            <w:tcW w:w="500" w:type="pct"/>
            <w:noWrap/>
            <w:hideMark/>
          </w:tcPr>
          <w:p w:rsidR="0001276C" w:rsidRPr="0001276C" w:rsidRDefault="0001276C" w:rsidP="0001276C">
            <w:pPr>
              <w:spacing w:before="0" w:after="0" w:line="240" w:lineRule="auto"/>
            </w:pPr>
            <w:r w:rsidRPr="0001276C">
              <w:t>784924</w:t>
            </w:r>
          </w:p>
        </w:tc>
        <w:tc>
          <w:tcPr>
            <w:tcW w:w="519" w:type="pct"/>
            <w:noWrap/>
            <w:hideMark/>
          </w:tcPr>
          <w:p w:rsidR="0001276C" w:rsidRPr="0001276C" w:rsidRDefault="0001276C" w:rsidP="0001276C">
            <w:pPr>
              <w:spacing w:before="0" w:after="0" w:line="240" w:lineRule="auto"/>
            </w:pPr>
            <w:r w:rsidRPr="0001276C">
              <w:t>1</w:t>
            </w:r>
          </w:p>
        </w:tc>
        <w:tc>
          <w:tcPr>
            <w:tcW w:w="506" w:type="pct"/>
            <w:noWrap/>
            <w:hideMark/>
          </w:tcPr>
          <w:p w:rsidR="0001276C" w:rsidRPr="0001276C" w:rsidRDefault="0001276C" w:rsidP="0001276C">
            <w:pPr>
              <w:spacing w:before="0" w:after="0" w:line="240" w:lineRule="auto"/>
            </w:pPr>
            <w:r w:rsidRPr="0001276C">
              <w:t>2516</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M</w:t>
            </w:r>
          </w:p>
        </w:tc>
        <w:tc>
          <w:tcPr>
            <w:tcW w:w="543" w:type="pct"/>
            <w:noWrap/>
            <w:hideMark/>
          </w:tcPr>
          <w:p w:rsidR="0001276C" w:rsidRPr="0001276C" w:rsidRDefault="0001276C" w:rsidP="0001276C">
            <w:pPr>
              <w:spacing w:before="0" w:after="0" w:line="240" w:lineRule="auto"/>
            </w:pPr>
            <w:r w:rsidRPr="0001276C">
              <w:t>M</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31</w:t>
            </w:r>
          </w:p>
        </w:tc>
        <w:tc>
          <w:tcPr>
            <w:tcW w:w="1133" w:type="pct"/>
            <w:noWrap/>
            <w:hideMark/>
          </w:tcPr>
          <w:p w:rsidR="0001276C" w:rsidRPr="0001276C" w:rsidRDefault="0001276C" w:rsidP="0001276C">
            <w:pPr>
              <w:spacing w:before="0" w:after="0" w:line="240" w:lineRule="auto"/>
            </w:pPr>
            <w:r w:rsidRPr="0001276C">
              <w:t>Aloshe3</w:t>
            </w:r>
          </w:p>
        </w:tc>
        <w:tc>
          <w:tcPr>
            <w:tcW w:w="500" w:type="pct"/>
            <w:noWrap/>
            <w:hideMark/>
          </w:tcPr>
          <w:p w:rsidR="0001276C" w:rsidRPr="0001276C" w:rsidRDefault="0001276C" w:rsidP="0001276C">
            <w:pPr>
              <w:spacing w:before="0" w:after="0" w:line="240" w:lineRule="auto"/>
            </w:pPr>
            <w:r w:rsidRPr="0001276C">
              <w:t>612495</w:t>
            </w:r>
          </w:p>
        </w:tc>
        <w:tc>
          <w:tcPr>
            <w:tcW w:w="500" w:type="pct"/>
            <w:noWrap/>
            <w:hideMark/>
          </w:tcPr>
          <w:p w:rsidR="0001276C" w:rsidRPr="0001276C" w:rsidRDefault="0001276C" w:rsidP="0001276C">
            <w:pPr>
              <w:spacing w:before="0" w:after="0" w:line="240" w:lineRule="auto"/>
            </w:pPr>
            <w:r w:rsidRPr="0001276C">
              <w:t>775999</w:t>
            </w:r>
          </w:p>
        </w:tc>
        <w:tc>
          <w:tcPr>
            <w:tcW w:w="519" w:type="pct"/>
            <w:noWrap/>
            <w:hideMark/>
          </w:tcPr>
          <w:p w:rsidR="0001276C" w:rsidRPr="0001276C" w:rsidRDefault="0001276C" w:rsidP="0001276C">
            <w:pPr>
              <w:spacing w:before="0" w:after="0" w:line="240" w:lineRule="auto"/>
            </w:pPr>
            <w:r w:rsidRPr="0001276C">
              <w:t>2</w:t>
            </w:r>
          </w:p>
        </w:tc>
        <w:tc>
          <w:tcPr>
            <w:tcW w:w="506" w:type="pct"/>
            <w:noWrap/>
            <w:hideMark/>
          </w:tcPr>
          <w:p w:rsidR="0001276C" w:rsidRPr="0001276C" w:rsidRDefault="0001276C" w:rsidP="0001276C">
            <w:pPr>
              <w:spacing w:before="0" w:after="0" w:line="240" w:lineRule="auto"/>
            </w:pPr>
            <w:r w:rsidRPr="0001276C">
              <w:t>2512.5</w:t>
            </w:r>
          </w:p>
        </w:tc>
        <w:tc>
          <w:tcPr>
            <w:tcW w:w="364"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M</w:t>
            </w:r>
          </w:p>
        </w:tc>
        <w:tc>
          <w:tcPr>
            <w:tcW w:w="543" w:type="pct"/>
            <w:noWrap/>
            <w:hideMark/>
          </w:tcPr>
          <w:p w:rsidR="0001276C" w:rsidRPr="0001276C" w:rsidRDefault="0001276C" w:rsidP="0001276C">
            <w:pPr>
              <w:spacing w:before="0" w:after="0" w:line="240" w:lineRule="auto"/>
            </w:pPr>
            <w:r w:rsidRPr="0001276C">
              <w:t>M</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32</w:t>
            </w:r>
          </w:p>
        </w:tc>
        <w:tc>
          <w:tcPr>
            <w:tcW w:w="1133" w:type="pct"/>
            <w:noWrap/>
            <w:hideMark/>
          </w:tcPr>
          <w:p w:rsidR="0001276C" w:rsidRPr="0001276C" w:rsidRDefault="0001276C" w:rsidP="0001276C">
            <w:pPr>
              <w:spacing w:before="0" w:after="0" w:line="240" w:lineRule="auto"/>
            </w:pPr>
            <w:r w:rsidRPr="0001276C">
              <w:t>Robe_C_Sch</w:t>
            </w:r>
          </w:p>
        </w:tc>
        <w:tc>
          <w:tcPr>
            <w:tcW w:w="500" w:type="pct"/>
            <w:noWrap/>
            <w:hideMark/>
          </w:tcPr>
          <w:p w:rsidR="0001276C" w:rsidRPr="0001276C" w:rsidRDefault="0001276C" w:rsidP="0001276C">
            <w:pPr>
              <w:spacing w:before="0" w:after="0" w:line="240" w:lineRule="auto"/>
            </w:pPr>
            <w:r w:rsidRPr="0001276C">
              <w:t>610824</w:t>
            </w:r>
          </w:p>
        </w:tc>
        <w:tc>
          <w:tcPr>
            <w:tcW w:w="500" w:type="pct"/>
            <w:noWrap/>
            <w:hideMark/>
          </w:tcPr>
          <w:p w:rsidR="0001276C" w:rsidRPr="0001276C" w:rsidRDefault="0001276C" w:rsidP="0001276C">
            <w:pPr>
              <w:spacing w:before="0" w:after="0" w:line="240" w:lineRule="auto"/>
            </w:pPr>
            <w:r w:rsidRPr="0001276C">
              <w:t>784977</w:t>
            </w:r>
          </w:p>
        </w:tc>
        <w:tc>
          <w:tcPr>
            <w:tcW w:w="519" w:type="pct"/>
            <w:noWrap/>
            <w:hideMark/>
          </w:tcPr>
          <w:p w:rsidR="0001276C" w:rsidRPr="0001276C" w:rsidRDefault="0001276C" w:rsidP="0001276C">
            <w:pPr>
              <w:spacing w:before="0" w:after="0" w:line="240" w:lineRule="auto"/>
            </w:pPr>
            <w:r w:rsidRPr="0001276C">
              <w:t>1</w:t>
            </w:r>
          </w:p>
        </w:tc>
        <w:tc>
          <w:tcPr>
            <w:tcW w:w="506" w:type="pct"/>
            <w:noWrap/>
            <w:hideMark/>
          </w:tcPr>
          <w:p w:rsidR="0001276C" w:rsidRPr="0001276C" w:rsidRDefault="0001276C" w:rsidP="0001276C">
            <w:pPr>
              <w:spacing w:before="0" w:after="0" w:line="240" w:lineRule="auto"/>
            </w:pPr>
            <w:r w:rsidRPr="0001276C">
              <w:t>2512</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H</w:t>
            </w:r>
          </w:p>
        </w:tc>
        <w:tc>
          <w:tcPr>
            <w:tcW w:w="543" w:type="pct"/>
            <w:noWrap/>
            <w:hideMark/>
          </w:tcPr>
          <w:p w:rsidR="0001276C" w:rsidRPr="0001276C" w:rsidRDefault="0001276C" w:rsidP="0001276C">
            <w:pPr>
              <w:spacing w:before="0" w:after="0" w:line="240" w:lineRule="auto"/>
            </w:pPr>
            <w:r w:rsidRPr="0001276C">
              <w:t>M</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33</w:t>
            </w:r>
          </w:p>
        </w:tc>
        <w:tc>
          <w:tcPr>
            <w:tcW w:w="1133" w:type="pct"/>
            <w:noWrap/>
            <w:hideMark/>
          </w:tcPr>
          <w:p w:rsidR="0001276C" w:rsidRPr="0001276C" w:rsidRDefault="0001276C" w:rsidP="0001276C">
            <w:pPr>
              <w:spacing w:before="0" w:after="0" w:line="240" w:lineRule="auto"/>
            </w:pPr>
            <w:r w:rsidRPr="0001276C">
              <w:t>Aloshe2</w:t>
            </w:r>
          </w:p>
        </w:tc>
        <w:tc>
          <w:tcPr>
            <w:tcW w:w="500" w:type="pct"/>
            <w:noWrap/>
            <w:hideMark/>
          </w:tcPr>
          <w:p w:rsidR="0001276C" w:rsidRPr="0001276C" w:rsidRDefault="0001276C" w:rsidP="0001276C">
            <w:pPr>
              <w:spacing w:before="0" w:after="0" w:line="240" w:lineRule="auto"/>
            </w:pPr>
            <w:r w:rsidRPr="0001276C">
              <w:t>613058</w:t>
            </w:r>
          </w:p>
        </w:tc>
        <w:tc>
          <w:tcPr>
            <w:tcW w:w="500" w:type="pct"/>
            <w:noWrap/>
            <w:hideMark/>
          </w:tcPr>
          <w:p w:rsidR="0001276C" w:rsidRPr="0001276C" w:rsidRDefault="0001276C" w:rsidP="0001276C">
            <w:pPr>
              <w:spacing w:before="0" w:after="0" w:line="240" w:lineRule="auto"/>
            </w:pPr>
            <w:r w:rsidRPr="0001276C">
              <w:t>775624</w:t>
            </w:r>
          </w:p>
        </w:tc>
        <w:tc>
          <w:tcPr>
            <w:tcW w:w="519" w:type="pct"/>
            <w:noWrap/>
            <w:hideMark/>
          </w:tcPr>
          <w:p w:rsidR="0001276C" w:rsidRPr="0001276C" w:rsidRDefault="0001276C" w:rsidP="0001276C">
            <w:pPr>
              <w:spacing w:before="0" w:after="0" w:line="240" w:lineRule="auto"/>
            </w:pPr>
            <w:r w:rsidRPr="0001276C">
              <w:t>2</w:t>
            </w:r>
          </w:p>
        </w:tc>
        <w:tc>
          <w:tcPr>
            <w:tcW w:w="506" w:type="pct"/>
            <w:noWrap/>
            <w:hideMark/>
          </w:tcPr>
          <w:p w:rsidR="0001276C" w:rsidRPr="0001276C" w:rsidRDefault="0001276C" w:rsidP="0001276C">
            <w:pPr>
              <w:spacing w:before="0" w:after="0" w:line="240" w:lineRule="auto"/>
            </w:pPr>
            <w:r w:rsidRPr="0001276C">
              <w:t>2510</w:t>
            </w:r>
          </w:p>
        </w:tc>
        <w:tc>
          <w:tcPr>
            <w:tcW w:w="364"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M</w:t>
            </w:r>
          </w:p>
        </w:tc>
        <w:tc>
          <w:tcPr>
            <w:tcW w:w="543" w:type="pct"/>
            <w:noWrap/>
            <w:hideMark/>
          </w:tcPr>
          <w:p w:rsidR="0001276C" w:rsidRPr="0001276C" w:rsidRDefault="0001276C" w:rsidP="0001276C">
            <w:pPr>
              <w:spacing w:before="0" w:after="0" w:line="240" w:lineRule="auto"/>
            </w:pPr>
            <w:r w:rsidRPr="0001276C">
              <w:t>M</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34</w:t>
            </w:r>
          </w:p>
        </w:tc>
        <w:tc>
          <w:tcPr>
            <w:tcW w:w="1133" w:type="pct"/>
            <w:noWrap/>
            <w:hideMark/>
          </w:tcPr>
          <w:p w:rsidR="0001276C" w:rsidRPr="0001276C" w:rsidRDefault="0001276C" w:rsidP="0001276C">
            <w:pPr>
              <w:spacing w:before="0" w:after="0" w:line="240" w:lineRule="auto"/>
            </w:pPr>
            <w:r w:rsidRPr="0001276C">
              <w:t>Aloshe4</w:t>
            </w:r>
          </w:p>
        </w:tc>
        <w:tc>
          <w:tcPr>
            <w:tcW w:w="500" w:type="pct"/>
            <w:noWrap/>
            <w:hideMark/>
          </w:tcPr>
          <w:p w:rsidR="0001276C" w:rsidRPr="0001276C" w:rsidRDefault="0001276C" w:rsidP="0001276C">
            <w:pPr>
              <w:spacing w:before="0" w:after="0" w:line="240" w:lineRule="auto"/>
            </w:pPr>
            <w:r w:rsidRPr="0001276C">
              <w:t>613151</w:t>
            </w:r>
          </w:p>
        </w:tc>
        <w:tc>
          <w:tcPr>
            <w:tcW w:w="500" w:type="pct"/>
            <w:noWrap/>
            <w:hideMark/>
          </w:tcPr>
          <w:p w:rsidR="0001276C" w:rsidRPr="0001276C" w:rsidRDefault="0001276C" w:rsidP="0001276C">
            <w:pPr>
              <w:spacing w:before="0" w:after="0" w:line="240" w:lineRule="auto"/>
            </w:pPr>
            <w:r w:rsidRPr="0001276C">
              <w:t>775061</w:t>
            </w:r>
          </w:p>
        </w:tc>
        <w:tc>
          <w:tcPr>
            <w:tcW w:w="519" w:type="pct"/>
            <w:noWrap/>
            <w:hideMark/>
          </w:tcPr>
          <w:p w:rsidR="0001276C" w:rsidRPr="0001276C" w:rsidRDefault="0001276C" w:rsidP="0001276C">
            <w:pPr>
              <w:spacing w:before="0" w:after="0" w:line="240" w:lineRule="auto"/>
            </w:pPr>
            <w:r w:rsidRPr="0001276C">
              <w:t>2</w:t>
            </w:r>
          </w:p>
        </w:tc>
        <w:tc>
          <w:tcPr>
            <w:tcW w:w="506" w:type="pct"/>
            <w:noWrap/>
            <w:hideMark/>
          </w:tcPr>
          <w:p w:rsidR="0001276C" w:rsidRPr="0001276C" w:rsidRDefault="0001276C" w:rsidP="0001276C">
            <w:pPr>
              <w:spacing w:before="0" w:after="0" w:line="240" w:lineRule="auto"/>
            </w:pPr>
            <w:r w:rsidRPr="0001276C">
              <w:t>2510</w:t>
            </w:r>
          </w:p>
        </w:tc>
        <w:tc>
          <w:tcPr>
            <w:tcW w:w="364"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M</w:t>
            </w:r>
          </w:p>
        </w:tc>
        <w:tc>
          <w:tcPr>
            <w:tcW w:w="543" w:type="pct"/>
            <w:noWrap/>
            <w:hideMark/>
          </w:tcPr>
          <w:p w:rsidR="0001276C" w:rsidRPr="0001276C" w:rsidRDefault="0001276C" w:rsidP="0001276C">
            <w:pPr>
              <w:spacing w:before="0" w:after="0" w:line="240" w:lineRule="auto"/>
            </w:pPr>
            <w:r w:rsidRPr="0001276C">
              <w:t>M</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35</w:t>
            </w:r>
          </w:p>
        </w:tc>
        <w:tc>
          <w:tcPr>
            <w:tcW w:w="1133" w:type="pct"/>
            <w:noWrap/>
            <w:hideMark/>
          </w:tcPr>
          <w:p w:rsidR="0001276C" w:rsidRPr="0001276C" w:rsidRDefault="0001276C" w:rsidP="0001276C">
            <w:pPr>
              <w:spacing w:before="0" w:after="0" w:line="240" w:lineRule="auto"/>
            </w:pPr>
            <w:r w:rsidRPr="0001276C">
              <w:t>Robe1</w:t>
            </w:r>
          </w:p>
        </w:tc>
        <w:tc>
          <w:tcPr>
            <w:tcW w:w="500" w:type="pct"/>
            <w:noWrap/>
            <w:hideMark/>
          </w:tcPr>
          <w:p w:rsidR="0001276C" w:rsidRPr="0001276C" w:rsidRDefault="0001276C" w:rsidP="0001276C">
            <w:pPr>
              <w:spacing w:before="0" w:after="0" w:line="240" w:lineRule="auto"/>
            </w:pPr>
            <w:r w:rsidRPr="0001276C">
              <w:t>609686</w:t>
            </w:r>
          </w:p>
        </w:tc>
        <w:tc>
          <w:tcPr>
            <w:tcW w:w="500" w:type="pct"/>
            <w:noWrap/>
            <w:hideMark/>
          </w:tcPr>
          <w:p w:rsidR="0001276C" w:rsidRPr="0001276C" w:rsidRDefault="0001276C" w:rsidP="0001276C">
            <w:pPr>
              <w:spacing w:before="0" w:after="0" w:line="240" w:lineRule="auto"/>
            </w:pPr>
            <w:r w:rsidRPr="0001276C">
              <w:t>784235</w:t>
            </w:r>
          </w:p>
        </w:tc>
        <w:tc>
          <w:tcPr>
            <w:tcW w:w="519" w:type="pct"/>
            <w:noWrap/>
            <w:hideMark/>
          </w:tcPr>
          <w:p w:rsidR="0001276C" w:rsidRPr="0001276C" w:rsidRDefault="0001276C" w:rsidP="0001276C">
            <w:pPr>
              <w:spacing w:before="0" w:after="0" w:line="240" w:lineRule="auto"/>
            </w:pPr>
            <w:r w:rsidRPr="0001276C">
              <w:t>7</w:t>
            </w:r>
          </w:p>
        </w:tc>
        <w:tc>
          <w:tcPr>
            <w:tcW w:w="506" w:type="pct"/>
            <w:noWrap/>
            <w:hideMark/>
          </w:tcPr>
          <w:p w:rsidR="0001276C" w:rsidRPr="0001276C" w:rsidRDefault="0001276C" w:rsidP="0001276C">
            <w:pPr>
              <w:spacing w:before="0" w:after="0" w:line="240" w:lineRule="auto"/>
            </w:pPr>
            <w:r w:rsidRPr="0001276C">
              <w:t>2509.6</w:t>
            </w:r>
          </w:p>
        </w:tc>
        <w:tc>
          <w:tcPr>
            <w:tcW w:w="364"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H</w:t>
            </w:r>
          </w:p>
        </w:tc>
        <w:tc>
          <w:tcPr>
            <w:tcW w:w="543" w:type="pct"/>
            <w:noWrap/>
            <w:hideMark/>
          </w:tcPr>
          <w:p w:rsidR="0001276C" w:rsidRPr="0001276C" w:rsidRDefault="0001276C" w:rsidP="0001276C">
            <w:pPr>
              <w:spacing w:before="0" w:after="0" w:line="240" w:lineRule="auto"/>
            </w:pPr>
            <w:r w:rsidRPr="0001276C">
              <w:t>H</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36</w:t>
            </w:r>
          </w:p>
        </w:tc>
        <w:tc>
          <w:tcPr>
            <w:tcW w:w="1133" w:type="pct"/>
            <w:noWrap/>
            <w:hideMark/>
          </w:tcPr>
          <w:p w:rsidR="0001276C" w:rsidRPr="0001276C" w:rsidRDefault="0001276C" w:rsidP="0001276C">
            <w:pPr>
              <w:spacing w:before="0" w:after="0" w:line="240" w:lineRule="auto"/>
            </w:pPr>
            <w:r w:rsidRPr="0001276C">
              <w:t>Robe-Cth</w:t>
            </w:r>
          </w:p>
        </w:tc>
        <w:tc>
          <w:tcPr>
            <w:tcW w:w="500" w:type="pct"/>
            <w:noWrap/>
            <w:hideMark/>
          </w:tcPr>
          <w:p w:rsidR="0001276C" w:rsidRPr="0001276C" w:rsidRDefault="0001276C" w:rsidP="0001276C">
            <w:pPr>
              <w:spacing w:before="0" w:after="0" w:line="240" w:lineRule="auto"/>
            </w:pPr>
            <w:r w:rsidRPr="0001276C">
              <w:t>610601</w:t>
            </w:r>
          </w:p>
        </w:tc>
        <w:tc>
          <w:tcPr>
            <w:tcW w:w="500" w:type="pct"/>
            <w:noWrap/>
            <w:hideMark/>
          </w:tcPr>
          <w:p w:rsidR="0001276C" w:rsidRPr="0001276C" w:rsidRDefault="0001276C" w:rsidP="0001276C">
            <w:pPr>
              <w:spacing w:before="0" w:after="0" w:line="240" w:lineRule="auto"/>
            </w:pPr>
            <w:r w:rsidRPr="0001276C">
              <w:t>784670</w:t>
            </w:r>
          </w:p>
        </w:tc>
        <w:tc>
          <w:tcPr>
            <w:tcW w:w="519" w:type="pct"/>
            <w:noWrap/>
            <w:hideMark/>
          </w:tcPr>
          <w:p w:rsidR="0001276C" w:rsidRPr="0001276C" w:rsidRDefault="0001276C" w:rsidP="0001276C">
            <w:pPr>
              <w:spacing w:before="0" w:after="0" w:line="240" w:lineRule="auto"/>
            </w:pPr>
            <w:r w:rsidRPr="0001276C">
              <w:t>2.5</w:t>
            </w:r>
          </w:p>
        </w:tc>
        <w:tc>
          <w:tcPr>
            <w:tcW w:w="506" w:type="pct"/>
            <w:noWrap/>
            <w:hideMark/>
          </w:tcPr>
          <w:p w:rsidR="0001276C" w:rsidRPr="0001276C" w:rsidRDefault="0001276C" w:rsidP="0001276C">
            <w:pPr>
              <w:spacing w:before="0" w:after="0" w:line="240" w:lineRule="auto"/>
            </w:pPr>
            <w:r w:rsidRPr="0001276C">
              <w:t>2508.5</w:t>
            </w:r>
          </w:p>
        </w:tc>
        <w:tc>
          <w:tcPr>
            <w:tcW w:w="364"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M</w:t>
            </w:r>
          </w:p>
        </w:tc>
        <w:tc>
          <w:tcPr>
            <w:tcW w:w="543" w:type="pct"/>
            <w:noWrap/>
            <w:hideMark/>
          </w:tcPr>
          <w:p w:rsidR="0001276C" w:rsidRPr="0001276C" w:rsidRDefault="0001276C" w:rsidP="0001276C">
            <w:pPr>
              <w:spacing w:before="0" w:after="0" w:line="240" w:lineRule="auto"/>
            </w:pPr>
            <w:r w:rsidRPr="0001276C">
              <w:t>M</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37</w:t>
            </w:r>
          </w:p>
        </w:tc>
        <w:tc>
          <w:tcPr>
            <w:tcW w:w="1133" w:type="pct"/>
            <w:noWrap/>
            <w:hideMark/>
          </w:tcPr>
          <w:p w:rsidR="0001276C" w:rsidRPr="0001276C" w:rsidRDefault="0001276C" w:rsidP="0001276C">
            <w:pPr>
              <w:spacing w:before="0" w:after="0" w:line="240" w:lineRule="auto"/>
            </w:pPr>
            <w:r w:rsidRPr="0001276C">
              <w:t>Robe No 2</w:t>
            </w:r>
          </w:p>
        </w:tc>
        <w:tc>
          <w:tcPr>
            <w:tcW w:w="500" w:type="pct"/>
            <w:noWrap/>
            <w:hideMark/>
          </w:tcPr>
          <w:p w:rsidR="0001276C" w:rsidRPr="0001276C" w:rsidRDefault="0001276C" w:rsidP="0001276C">
            <w:pPr>
              <w:spacing w:before="0" w:after="0" w:line="240" w:lineRule="auto"/>
            </w:pPr>
            <w:r w:rsidRPr="0001276C">
              <w:t>611162</w:t>
            </w:r>
          </w:p>
        </w:tc>
        <w:tc>
          <w:tcPr>
            <w:tcW w:w="500" w:type="pct"/>
            <w:noWrap/>
            <w:hideMark/>
          </w:tcPr>
          <w:p w:rsidR="0001276C" w:rsidRPr="0001276C" w:rsidRDefault="0001276C" w:rsidP="0001276C">
            <w:pPr>
              <w:spacing w:before="0" w:after="0" w:line="240" w:lineRule="auto"/>
            </w:pPr>
            <w:r w:rsidRPr="0001276C">
              <w:t>785579</w:t>
            </w:r>
          </w:p>
        </w:tc>
        <w:tc>
          <w:tcPr>
            <w:tcW w:w="519" w:type="pct"/>
            <w:noWrap/>
            <w:hideMark/>
          </w:tcPr>
          <w:p w:rsidR="0001276C" w:rsidRPr="0001276C" w:rsidRDefault="0001276C" w:rsidP="0001276C">
            <w:pPr>
              <w:spacing w:before="0" w:after="0" w:line="240" w:lineRule="auto"/>
            </w:pPr>
            <w:r w:rsidRPr="0001276C">
              <w:t>2.42</w:t>
            </w:r>
          </w:p>
        </w:tc>
        <w:tc>
          <w:tcPr>
            <w:tcW w:w="506" w:type="pct"/>
            <w:noWrap/>
            <w:hideMark/>
          </w:tcPr>
          <w:p w:rsidR="0001276C" w:rsidRPr="0001276C" w:rsidRDefault="0001276C" w:rsidP="0001276C">
            <w:pPr>
              <w:spacing w:before="0" w:after="0" w:line="240" w:lineRule="auto"/>
            </w:pPr>
            <w:r w:rsidRPr="0001276C">
              <w:t>2507</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M</w:t>
            </w:r>
          </w:p>
        </w:tc>
        <w:tc>
          <w:tcPr>
            <w:tcW w:w="543" w:type="pct"/>
            <w:noWrap/>
            <w:hideMark/>
          </w:tcPr>
          <w:p w:rsidR="0001276C" w:rsidRPr="0001276C" w:rsidRDefault="0001276C" w:rsidP="0001276C">
            <w:pPr>
              <w:spacing w:before="0" w:after="0" w:line="240" w:lineRule="auto"/>
            </w:pPr>
            <w:r w:rsidRPr="0001276C">
              <w:t>M</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38</w:t>
            </w:r>
          </w:p>
        </w:tc>
        <w:tc>
          <w:tcPr>
            <w:tcW w:w="1133" w:type="pct"/>
            <w:noWrap/>
            <w:hideMark/>
          </w:tcPr>
          <w:p w:rsidR="0001276C" w:rsidRPr="0001276C" w:rsidRDefault="0001276C" w:rsidP="0001276C">
            <w:pPr>
              <w:spacing w:before="0" w:after="0" w:line="240" w:lineRule="auto"/>
            </w:pPr>
            <w:r w:rsidRPr="0001276C">
              <w:t>Robe3</w:t>
            </w:r>
          </w:p>
        </w:tc>
        <w:tc>
          <w:tcPr>
            <w:tcW w:w="500" w:type="pct"/>
            <w:noWrap/>
            <w:hideMark/>
          </w:tcPr>
          <w:p w:rsidR="0001276C" w:rsidRPr="0001276C" w:rsidRDefault="0001276C" w:rsidP="0001276C">
            <w:pPr>
              <w:spacing w:before="0" w:after="0" w:line="240" w:lineRule="auto"/>
            </w:pPr>
            <w:r w:rsidRPr="0001276C">
              <w:t>610442</w:t>
            </w:r>
          </w:p>
        </w:tc>
        <w:tc>
          <w:tcPr>
            <w:tcW w:w="500" w:type="pct"/>
            <w:noWrap/>
            <w:hideMark/>
          </w:tcPr>
          <w:p w:rsidR="0001276C" w:rsidRPr="0001276C" w:rsidRDefault="0001276C" w:rsidP="0001276C">
            <w:pPr>
              <w:spacing w:before="0" w:after="0" w:line="240" w:lineRule="auto"/>
            </w:pPr>
            <w:r w:rsidRPr="0001276C">
              <w:t>783383</w:t>
            </w:r>
          </w:p>
        </w:tc>
        <w:tc>
          <w:tcPr>
            <w:tcW w:w="519" w:type="pct"/>
            <w:noWrap/>
            <w:hideMark/>
          </w:tcPr>
          <w:p w:rsidR="0001276C" w:rsidRPr="0001276C" w:rsidRDefault="0001276C" w:rsidP="0001276C">
            <w:pPr>
              <w:spacing w:before="0" w:after="0" w:line="240" w:lineRule="auto"/>
            </w:pPr>
            <w:r w:rsidRPr="0001276C">
              <w:t>7</w:t>
            </w:r>
          </w:p>
        </w:tc>
        <w:tc>
          <w:tcPr>
            <w:tcW w:w="506" w:type="pct"/>
            <w:noWrap/>
            <w:hideMark/>
          </w:tcPr>
          <w:p w:rsidR="0001276C" w:rsidRPr="0001276C" w:rsidRDefault="0001276C" w:rsidP="0001276C">
            <w:pPr>
              <w:spacing w:before="0" w:after="0" w:line="240" w:lineRule="auto"/>
            </w:pPr>
            <w:r w:rsidRPr="0001276C">
              <w:t>2507</w:t>
            </w:r>
          </w:p>
        </w:tc>
        <w:tc>
          <w:tcPr>
            <w:tcW w:w="364"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H</w:t>
            </w:r>
          </w:p>
        </w:tc>
        <w:tc>
          <w:tcPr>
            <w:tcW w:w="543" w:type="pct"/>
            <w:noWrap/>
            <w:hideMark/>
          </w:tcPr>
          <w:p w:rsidR="0001276C" w:rsidRPr="0001276C" w:rsidRDefault="0001276C" w:rsidP="0001276C">
            <w:pPr>
              <w:spacing w:before="0" w:after="0" w:line="240" w:lineRule="auto"/>
            </w:pPr>
            <w:r w:rsidRPr="0001276C">
              <w:t>H</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39</w:t>
            </w:r>
          </w:p>
        </w:tc>
        <w:tc>
          <w:tcPr>
            <w:tcW w:w="1133" w:type="pct"/>
            <w:noWrap/>
            <w:hideMark/>
          </w:tcPr>
          <w:p w:rsidR="0001276C" w:rsidRPr="0001276C" w:rsidRDefault="0001276C" w:rsidP="0001276C">
            <w:pPr>
              <w:spacing w:before="0" w:after="0" w:line="240" w:lineRule="auto"/>
            </w:pPr>
            <w:r w:rsidRPr="0001276C">
              <w:t>Robe2</w:t>
            </w:r>
          </w:p>
        </w:tc>
        <w:tc>
          <w:tcPr>
            <w:tcW w:w="500" w:type="pct"/>
            <w:noWrap/>
            <w:hideMark/>
          </w:tcPr>
          <w:p w:rsidR="0001276C" w:rsidRPr="0001276C" w:rsidRDefault="0001276C" w:rsidP="0001276C">
            <w:pPr>
              <w:spacing w:before="0" w:after="0" w:line="240" w:lineRule="auto"/>
            </w:pPr>
            <w:r w:rsidRPr="0001276C">
              <w:t>609590</w:t>
            </w:r>
          </w:p>
        </w:tc>
        <w:tc>
          <w:tcPr>
            <w:tcW w:w="500" w:type="pct"/>
            <w:noWrap/>
            <w:hideMark/>
          </w:tcPr>
          <w:p w:rsidR="0001276C" w:rsidRPr="0001276C" w:rsidRDefault="0001276C" w:rsidP="0001276C">
            <w:pPr>
              <w:spacing w:before="0" w:after="0" w:line="240" w:lineRule="auto"/>
            </w:pPr>
            <w:r w:rsidRPr="0001276C">
              <w:t>785222</w:t>
            </w:r>
          </w:p>
        </w:tc>
        <w:tc>
          <w:tcPr>
            <w:tcW w:w="519" w:type="pct"/>
            <w:noWrap/>
            <w:hideMark/>
          </w:tcPr>
          <w:p w:rsidR="0001276C" w:rsidRPr="0001276C" w:rsidRDefault="0001276C" w:rsidP="0001276C">
            <w:pPr>
              <w:spacing w:before="0" w:after="0" w:line="240" w:lineRule="auto"/>
            </w:pPr>
            <w:r w:rsidRPr="0001276C">
              <w:t>4</w:t>
            </w:r>
          </w:p>
        </w:tc>
        <w:tc>
          <w:tcPr>
            <w:tcW w:w="506" w:type="pct"/>
            <w:noWrap/>
            <w:hideMark/>
          </w:tcPr>
          <w:p w:rsidR="0001276C" w:rsidRPr="0001276C" w:rsidRDefault="0001276C" w:rsidP="0001276C">
            <w:pPr>
              <w:spacing w:before="0" w:after="0" w:line="240" w:lineRule="auto"/>
            </w:pPr>
            <w:r w:rsidRPr="0001276C">
              <w:t>2499.7</w:t>
            </w:r>
          </w:p>
        </w:tc>
        <w:tc>
          <w:tcPr>
            <w:tcW w:w="364"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H</w:t>
            </w:r>
          </w:p>
        </w:tc>
        <w:tc>
          <w:tcPr>
            <w:tcW w:w="543" w:type="pct"/>
            <w:noWrap/>
            <w:hideMark/>
          </w:tcPr>
          <w:p w:rsidR="0001276C" w:rsidRPr="0001276C" w:rsidRDefault="0001276C" w:rsidP="0001276C">
            <w:pPr>
              <w:spacing w:before="0" w:after="0" w:line="240" w:lineRule="auto"/>
            </w:pPr>
            <w:r w:rsidRPr="0001276C">
              <w:t>H</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40</w:t>
            </w:r>
          </w:p>
        </w:tc>
        <w:tc>
          <w:tcPr>
            <w:tcW w:w="1133" w:type="pct"/>
            <w:noWrap/>
            <w:hideMark/>
          </w:tcPr>
          <w:p w:rsidR="0001276C" w:rsidRPr="0001276C" w:rsidRDefault="0001276C" w:rsidP="0001276C">
            <w:pPr>
              <w:spacing w:before="0" w:after="0" w:line="240" w:lineRule="auto"/>
            </w:pPr>
            <w:r w:rsidRPr="0001276C">
              <w:t>Haseno Gnt</w:t>
            </w:r>
          </w:p>
        </w:tc>
        <w:tc>
          <w:tcPr>
            <w:tcW w:w="500" w:type="pct"/>
            <w:noWrap/>
            <w:hideMark/>
          </w:tcPr>
          <w:p w:rsidR="0001276C" w:rsidRPr="0001276C" w:rsidRDefault="0001276C" w:rsidP="0001276C">
            <w:pPr>
              <w:spacing w:before="0" w:after="0" w:line="240" w:lineRule="auto"/>
            </w:pPr>
            <w:r w:rsidRPr="0001276C">
              <w:t>592389</w:t>
            </w:r>
          </w:p>
        </w:tc>
        <w:tc>
          <w:tcPr>
            <w:tcW w:w="500" w:type="pct"/>
            <w:noWrap/>
            <w:hideMark/>
          </w:tcPr>
          <w:p w:rsidR="0001276C" w:rsidRPr="0001276C" w:rsidRDefault="0001276C" w:rsidP="0001276C">
            <w:pPr>
              <w:spacing w:before="0" w:after="0" w:line="240" w:lineRule="auto"/>
            </w:pPr>
            <w:r w:rsidRPr="0001276C">
              <w:t>801962</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2496</w:t>
            </w:r>
          </w:p>
        </w:tc>
        <w:tc>
          <w:tcPr>
            <w:tcW w:w="364" w:type="pct"/>
            <w:noWrap/>
            <w:hideMark/>
          </w:tcPr>
          <w:p w:rsidR="0001276C" w:rsidRPr="0001276C" w:rsidRDefault="0001276C" w:rsidP="0001276C">
            <w:pPr>
              <w:spacing w:before="0" w:after="0" w:line="240" w:lineRule="auto"/>
            </w:pPr>
            <w:r w:rsidRPr="0001276C">
              <w:t>SP</w:t>
            </w:r>
          </w:p>
        </w:tc>
        <w:tc>
          <w:tcPr>
            <w:tcW w:w="543" w:type="pct"/>
            <w:noWrap/>
            <w:hideMark/>
          </w:tcPr>
          <w:p w:rsidR="0001276C" w:rsidRPr="0001276C" w:rsidRDefault="0001276C" w:rsidP="0001276C">
            <w:pPr>
              <w:spacing w:before="0" w:after="0" w:line="240" w:lineRule="auto"/>
            </w:pPr>
            <w:r w:rsidRPr="0001276C">
              <w:t>H</w:t>
            </w:r>
          </w:p>
        </w:tc>
        <w:tc>
          <w:tcPr>
            <w:tcW w:w="543" w:type="pct"/>
            <w:noWrap/>
            <w:hideMark/>
          </w:tcPr>
          <w:p w:rsidR="0001276C" w:rsidRPr="0001276C" w:rsidRDefault="0001276C" w:rsidP="0001276C">
            <w:pPr>
              <w:spacing w:before="0" w:after="0" w:line="240" w:lineRule="auto"/>
            </w:pPr>
            <w:r w:rsidRPr="0001276C">
              <w:t>H</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41</w:t>
            </w:r>
          </w:p>
        </w:tc>
        <w:tc>
          <w:tcPr>
            <w:tcW w:w="1133" w:type="pct"/>
            <w:noWrap/>
            <w:hideMark/>
          </w:tcPr>
          <w:p w:rsidR="0001276C" w:rsidRPr="0001276C" w:rsidRDefault="0001276C" w:rsidP="0001276C">
            <w:pPr>
              <w:spacing w:before="0" w:after="0" w:line="240" w:lineRule="auto"/>
            </w:pPr>
            <w:r w:rsidRPr="0001276C">
              <w:t>Robe No 4</w:t>
            </w:r>
          </w:p>
        </w:tc>
        <w:tc>
          <w:tcPr>
            <w:tcW w:w="500" w:type="pct"/>
            <w:noWrap/>
            <w:hideMark/>
          </w:tcPr>
          <w:p w:rsidR="0001276C" w:rsidRPr="0001276C" w:rsidRDefault="0001276C" w:rsidP="0001276C">
            <w:pPr>
              <w:spacing w:before="0" w:after="0" w:line="240" w:lineRule="auto"/>
            </w:pPr>
            <w:r w:rsidRPr="0001276C">
              <w:t>611139</w:t>
            </w:r>
          </w:p>
        </w:tc>
        <w:tc>
          <w:tcPr>
            <w:tcW w:w="500" w:type="pct"/>
            <w:noWrap/>
            <w:hideMark/>
          </w:tcPr>
          <w:p w:rsidR="0001276C" w:rsidRPr="0001276C" w:rsidRDefault="0001276C" w:rsidP="0001276C">
            <w:pPr>
              <w:spacing w:before="0" w:after="0" w:line="240" w:lineRule="auto"/>
            </w:pPr>
            <w:r w:rsidRPr="0001276C">
              <w:t>786804</w:t>
            </w:r>
          </w:p>
        </w:tc>
        <w:tc>
          <w:tcPr>
            <w:tcW w:w="519" w:type="pct"/>
            <w:noWrap/>
            <w:hideMark/>
          </w:tcPr>
          <w:p w:rsidR="0001276C" w:rsidRPr="0001276C" w:rsidRDefault="0001276C" w:rsidP="0001276C">
            <w:pPr>
              <w:spacing w:before="0" w:after="0" w:line="240" w:lineRule="auto"/>
            </w:pPr>
            <w:r w:rsidRPr="0001276C">
              <w:t>2</w:t>
            </w:r>
          </w:p>
        </w:tc>
        <w:tc>
          <w:tcPr>
            <w:tcW w:w="506" w:type="pct"/>
            <w:noWrap/>
            <w:hideMark/>
          </w:tcPr>
          <w:p w:rsidR="0001276C" w:rsidRPr="0001276C" w:rsidRDefault="0001276C" w:rsidP="0001276C">
            <w:pPr>
              <w:spacing w:before="0" w:after="0" w:line="240" w:lineRule="auto"/>
            </w:pPr>
            <w:r w:rsidRPr="0001276C">
              <w:t>2491</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M</w:t>
            </w:r>
          </w:p>
        </w:tc>
        <w:tc>
          <w:tcPr>
            <w:tcW w:w="543" w:type="pct"/>
            <w:noWrap/>
            <w:hideMark/>
          </w:tcPr>
          <w:p w:rsidR="0001276C" w:rsidRPr="0001276C" w:rsidRDefault="0001276C" w:rsidP="0001276C">
            <w:pPr>
              <w:spacing w:before="0" w:after="0" w:line="240" w:lineRule="auto"/>
            </w:pPr>
            <w:r w:rsidRPr="0001276C">
              <w:t>M</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42</w:t>
            </w:r>
          </w:p>
        </w:tc>
        <w:tc>
          <w:tcPr>
            <w:tcW w:w="1133" w:type="pct"/>
            <w:noWrap/>
            <w:hideMark/>
          </w:tcPr>
          <w:p w:rsidR="0001276C" w:rsidRPr="0001276C" w:rsidRDefault="0001276C" w:rsidP="0001276C">
            <w:pPr>
              <w:spacing w:before="0" w:after="0" w:line="240" w:lineRule="auto"/>
            </w:pPr>
            <w:r w:rsidRPr="0001276C">
              <w:t>D/Misra</w:t>
            </w:r>
          </w:p>
        </w:tc>
        <w:tc>
          <w:tcPr>
            <w:tcW w:w="500" w:type="pct"/>
            <w:noWrap/>
            <w:hideMark/>
          </w:tcPr>
          <w:p w:rsidR="0001276C" w:rsidRPr="0001276C" w:rsidRDefault="0001276C" w:rsidP="0001276C">
            <w:pPr>
              <w:spacing w:before="0" w:after="0" w:line="240" w:lineRule="auto"/>
            </w:pPr>
            <w:r w:rsidRPr="0001276C">
              <w:t>617673</w:t>
            </w:r>
          </w:p>
        </w:tc>
        <w:tc>
          <w:tcPr>
            <w:tcW w:w="500" w:type="pct"/>
            <w:noWrap/>
            <w:hideMark/>
          </w:tcPr>
          <w:p w:rsidR="0001276C" w:rsidRPr="0001276C" w:rsidRDefault="0001276C" w:rsidP="0001276C">
            <w:pPr>
              <w:spacing w:before="0" w:after="0" w:line="240" w:lineRule="auto"/>
            </w:pPr>
            <w:r w:rsidRPr="0001276C">
              <w:t>776271</w:t>
            </w:r>
          </w:p>
        </w:tc>
        <w:tc>
          <w:tcPr>
            <w:tcW w:w="519" w:type="pct"/>
            <w:noWrap/>
            <w:hideMark/>
          </w:tcPr>
          <w:p w:rsidR="0001276C" w:rsidRPr="0001276C" w:rsidRDefault="0001276C" w:rsidP="0001276C">
            <w:pPr>
              <w:spacing w:before="0" w:after="0" w:line="240" w:lineRule="auto"/>
            </w:pPr>
            <w:r w:rsidRPr="0001276C">
              <w:t>5</w:t>
            </w:r>
          </w:p>
        </w:tc>
        <w:tc>
          <w:tcPr>
            <w:tcW w:w="506" w:type="pct"/>
            <w:noWrap/>
            <w:hideMark/>
          </w:tcPr>
          <w:p w:rsidR="0001276C" w:rsidRPr="0001276C" w:rsidRDefault="0001276C" w:rsidP="0001276C">
            <w:pPr>
              <w:spacing w:before="0" w:after="0" w:line="240" w:lineRule="auto"/>
            </w:pPr>
            <w:r w:rsidRPr="0001276C">
              <w:t>2488.1</w:t>
            </w:r>
          </w:p>
        </w:tc>
        <w:tc>
          <w:tcPr>
            <w:tcW w:w="364"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H</w:t>
            </w:r>
          </w:p>
        </w:tc>
        <w:tc>
          <w:tcPr>
            <w:tcW w:w="543" w:type="pct"/>
            <w:noWrap/>
            <w:hideMark/>
          </w:tcPr>
          <w:p w:rsidR="0001276C" w:rsidRPr="0001276C" w:rsidRDefault="0001276C" w:rsidP="0001276C">
            <w:pPr>
              <w:spacing w:before="0" w:after="0" w:line="240" w:lineRule="auto"/>
            </w:pPr>
            <w:r w:rsidRPr="0001276C">
              <w:t>H</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43</w:t>
            </w:r>
          </w:p>
        </w:tc>
        <w:tc>
          <w:tcPr>
            <w:tcW w:w="1133" w:type="pct"/>
            <w:noWrap/>
            <w:hideMark/>
          </w:tcPr>
          <w:p w:rsidR="0001276C" w:rsidRPr="0001276C" w:rsidRDefault="0001276C" w:rsidP="0001276C">
            <w:pPr>
              <w:spacing w:before="0" w:after="0" w:line="240" w:lineRule="auto"/>
            </w:pPr>
            <w:r w:rsidRPr="0001276C">
              <w:t>Elasa</w:t>
            </w:r>
          </w:p>
        </w:tc>
        <w:tc>
          <w:tcPr>
            <w:tcW w:w="500" w:type="pct"/>
            <w:noWrap/>
            <w:hideMark/>
          </w:tcPr>
          <w:p w:rsidR="0001276C" w:rsidRPr="0001276C" w:rsidRDefault="0001276C" w:rsidP="0001276C">
            <w:pPr>
              <w:spacing w:before="0" w:after="0" w:line="240" w:lineRule="auto"/>
            </w:pPr>
            <w:r w:rsidRPr="0001276C">
              <w:t>617321</w:t>
            </w:r>
          </w:p>
        </w:tc>
        <w:tc>
          <w:tcPr>
            <w:tcW w:w="500" w:type="pct"/>
            <w:noWrap/>
            <w:hideMark/>
          </w:tcPr>
          <w:p w:rsidR="0001276C" w:rsidRPr="0001276C" w:rsidRDefault="0001276C" w:rsidP="0001276C">
            <w:pPr>
              <w:spacing w:before="0" w:after="0" w:line="240" w:lineRule="auto"/>
            </w:pPr>
            <w:r w:rsidRPr="0001276C">
              <w:t>772261</w:t>
            </w:r>
          </w:p>
        </w:tc>
        <w:tc>
          <w:tcPr>
            <w:tcW w:w="519" w:type="pct"/>
            <w:noWrap/>
            <w:hideMark/>
          </w:tcPr>
          <w:p w:rsidR="0001276C" w:rsidRPr="0001276C" w:rsidRDefault="0001276C" w:rsidP="0001276C">
            <w:pPr>
              <w:spacing w:before="0" w:after="0" w:line="240" w:lineRule="auto"/>
            </w:pPr>
            <w:r w:rsidRPr="0001276C">
              <w:t>4.5</w:t>
            </w:r>
          </w:p>
        </w:tc>
        <w:tc>
          <w:tcPr>
            <w:tcW w:w="506" w:type="pct"/>
            <w:noWrap/>
            <w:hideMark/>
          </w:tcPr>
          <w:p w:rsidR="0001276C" w:rsidRPr="0001276C" w:rsidRDefault="0001276C" w:rsidP="0001276C">
            <w:pPr>
              <w:spacing w:before="0" w:after="0" w:line="240" w:lineRule="auto"/>
            </w:pPr>
            <w:r w:rsidRPr="0001276C">
              <w:t>2485</w:t>
            </w:r>
          </w:p>
        </w:tc>
        <w:tc>
          <w:tcPr>
            <w:tcW w:w="364"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H</w:t>
            </w:r>
          </w:p>
        </w:tc>
        <w:tc>
          <w:tcPr>
            <w:tcW w:w="543" w:type="pct"/>
            <w:noWrap/>
            <w:hideMark/>
          </w:tcPr>
          <w:p w:rsidR="0001276C" w:rsidRPr="0001276C" w:rsidRDefault="0001276C" w:rsidP="0001276C">
            <w:pPr>
              <w:spacing w:before="0" w:after="0" w:line="240" w:lineRule="auto"/>
            </w:pPr>
            <w:r w:rsidRPr="0001276C">
              <w:t>H</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44</w:t>
            </w:r>
          </w:p>
        </w:tc>
        <w:tc>
          <w:tcPr>
            <w:tcW w:w="1133" w:type="pct"/>
            <w:noWrap/>
            <w:hideMark/>
          </w:tcPr>
          <w:p w:rsidR="0001276C" w:rsidRPr="0001276C" w:rsidRDefault="0001276C" w:rsidP="0001276C">
            <w:pPr>
              <w:spacing w:before="0" w:after="0" w:line="240" w:lineRule="auto"/>
            </w:pPr>
            <w:r w:rsidRPr="0001276C">
              <w:t>Robe Kndrg.</w:t>
            </w:r>
          </w:p>
        </w:tc>
        <w:tc>
          <w:tcPr>
            <w:tcW w:w="500" w:type="pct"/>
            <w:noWrap/>
            <w:hideMark/>
          </w:tcPr>
          <w:p w:rsidR="0001276C" w:rsidRPr="0001276C" w:rsidRDefault="0001276C" w:rsidP="0001276C">
            <w:pPr>
              <w:spacing w:before="0" w:after="0" w:line="240" w:lineRule="auto"/>
            </w:pPr>
            <w:r w:rsidRPr="0001276C">
              <w:t>611254</w:t>
            </w:r>
          </w:p>
        </w:tc>
        <w:tc>
          <w:tcPr>
            <w:tcW w:w="500" w:type="pct"/>
            <w:noWrap/>
            <w:hideMark/>
          </w:tcPr>
          <w:p w:rsidR="0001276C" w:rsidRPr="0001276C" w:rsidRDefault="0001276C" w:rsidP="0001276C">
            <w:pPr>
              <w:spacing w:before="0" w:after="0" w:line="240" w:lineRule="auto"/>
            </w:pPr>
            <w:r w:rsidRPr="0001276C">
              <w:t>787346</w:t>
            </w:r>
          </w:p>
        </w:tc>
        <w:tc>
          <w:tcPr>
            <w:tcW w:w="519" w:type="pct"/>
            <w:noWrap/>
            <w:hideMark/>
          </w:tcPr>
          <w:p w:rsidR="0001276C" w:rsidRPr="0001276C" w:rsidRDefault="0001276C" w:rsidP="0001276C">
            <w:pPr>
              <w:spacing w:before="0" w:after="0" w:line="240" w:lineRule="auto"/>
            </w:pPr>
            <w:r w:rsidRPr="0001276C">
              <w:t>1</w:t>
            </w:r>
          </w:p>
        </w:tc>
        <w:tc>
          <w:tcPr>
            <w:tcW w:w="506" w:type="pct"/>
            <w:noWrap/>
            <w:hideMark/>
          </w:tcPr>
          <w:p w:rsidR="0001276C" w:rsidRPr="0001276C" w:rsidRDefault="0001276C" w:rsidP="0001276C">
            <w:pPr>
              <w:spacing w:before="0" w:after="0" w:line="240" w:lineRule="auto"/>
            </w:pPr>
            <w:r w:rsidRPr="0001276C">
              <w:t>2483</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M</w:t>
            </w:r>
          </w:p>
        </w:tc>
        <w:tc>
          <w:tcPr>
            <w:tcW w:w="543" w:type="pct"/>
            <w:noWrap/>
            <w:hideMark/>
          </w:tcPr>
          <w:p w:rsidR="0001276C" w:rsidRPr="0001276C" w:rsidRDefault="0001276C" w:rsidP="0001276C">
            <w:pPr>
              <w:spacing w:before="0" w:after="0" w:line="240" w:lineRule="auto"/>
            </w:pPr>
            <w:r w:rsidRPr="0001276C">
              <w:t>M</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45</w:t>
            </w:r>
          </w:p>
        </w:tc>
        <w:tc>
          <w:tcPr>
            <w:tcW w:w="1133" w:type="pct"/>
            <w:noWrap/>
            <w:hideMark/>
          </w:tcPr>
          <w:p w:rsidR="0001276C" w:rsidRPr="0001276C" w:rsidRDefault="0001276C" w:rsidP="0001276C">
            <w:pPr>
              <w:spacing w:before="0" w:after="0" w:line="240" w:lineRule="auto"/>
            </w:pPr>
            <w:r w:rsidRPr="0001276C">
              <w:t>Robe town_6</w:t>
            </w:r>
          </w:p>
        </w:tc>
        <w:tc>
          <w:tcPr>
            <w:tcW w:w="500" w:type="pct"/>
            <w:noWrap/>
            <w:hideMark/>
          </w:tcPr>
          <w:p w:rsidR="0001276C" w:rsidRPr="0001276C" w:rsidRDefault="0001276C" w:rsidP="0001276C">
            <w:pPr>
              <w:spacing w:before="0" w:after="0" w:line="240" w:lineRule="auto"/>
            </w:pPr>
            <w:r w:rsidRPr="0001276C">
              <w:t>611730</w:t>
            </w:r>
          </w:p>
        </w:tc>
        <w:tc>
          <w:tcPr>
            <w:tcW w:w="500" w:type="pct"/>
            <w:noWrap/>
            <w:hideMark/>
          </w:tcPr>
          <w:p w:rsidR="0001276C" w:rsidRPr="0001276C" w:rsidRDefault="0001276C" w:rsidP="0001276C">
            <w:pPr>
              <w:spacing w:before="0" w:after="0" w:line="240" w:lineRule="auto"/>
            </w:pPr>
            <w:r w:rsidRPr="0001276C">
              <w:t>786993</w:t>
            </w:r>
          </w:p>
        </w:tc>
        <w:tc>
          <w:tcPr>
            <w:tcW w:w="519" w:type="pct"/>
            <w:noWrap/>
            <w:hideMark/>
          </w:tcPr>
          <w:p w:rsidR="0001276C" w:rsidRPr="0001276C" w:rsidRDefault="0001276C" w:rsidP="0001276C">
            <w:pPr>
              <w:spacing w:before="0" w:after="0" w:line="240" w:lineRule="auto"/>
            </w:pPr>
            <w:r w:rsidRPr="0001276C">
              <w:t>1</w:t>
            </w:r>
          </w:p>
        </w:tc>
        <w:tc>
          <w:tcPr>
            <w:tcW w:w="506" w:type="pct"/>
            <w:noWrap/>
            <w:hideMark/>
          </w:tcPr>
          <w:p w:rsidR="0001276C" w:rsidRPr="0001276C" w:rsidRDefault="0001276C" w:rsidP="0001276C">
            <w:pPr>
              <w:spacing w:before="0" w:after="0" w:line="240" w:lineRule="auto"/>
            </w:pPr>
            <w:r w:rsidRPr="0001276C">
              <w:t>2482</w:t>
            </w:r>
          </w:p>
        </w:tc>
        <w:tc>
          <w:tcPr>
            <w:tcW w:w="364" w:type="pct"/>
            <w:noWrap/>
            <w:hideMark/>
          </w:tcPr>
          <w:p w:rsidR="0001276C" w:rsidRPr="0001276C" w:rsidRDefault="0001276C" w:rsidP="0001276C">
            <w:pPr>
              <w:spacing w:before="0" w:after="0" w:line="240" w:lineRule="auto"/>
            </w:pPr>
            <w:r w:rsidRPr="0001276C">
              <w:t>SP</w:t>
            </w:r>
          </w:p>
        </w:tc>
        <w:tc>
          <w:tcPr>
            <w:tcW w:w="543" w:type="pct"/>
            <w:noWrap/>
            <w:hideMark/>
          </w:tcPr>
          <w:p w:rsidR="0001276C" w:rsidRPr="0001276C" w:rsidRDefault="0001276C" w:rsidP="0001276C">
            <w:pPr>
              <w:spacing w:before="0" w:after="0" w:line="240" w:lineRule="auto"/>
            </w:pPr>
            <w:r w:rsidRPr="0001276C">
              <w:t>M</w:t>
            </w:r>
          </w:p>
        </w:tc>
        <w:tc>
          <w:tcPr>
            <w:tcW w:w="543" w:type="pct"/>
            <w:noWrap/>
            <w:hideMark/>
          </w:tcPr>
          <w:p w:rsidR="0001276C" w:rsidRPr="0001276C" w:rsidRDefault="0001276C" w:rsidP="0001276C">
            <w:pPr>
              <w:spacing w:before="0" w:after="0" w:line="240" w:lineRule="auto"/>
            </w:pPr>
            <w:r w:rsidRPr="0001276C">
              <w:t>MM</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46</w:t>
            </w:r>
          </w:p>
        </w:tc>
        <w:tc>
          <w:tcPr>
            <w:tcW w:w="1133" w:type="pct"/>
            <w:noWrap/>
            <w:hideMark/>
          </w:tcPr>
          <w:p w:rsidR="0001276C" w:rsidRPr="0001276C" w:rsidRDefault="0001276C" w:rsidP="0001276C">
            <w:pPr>
              <w:spacing w:before="0" w:after="0" w:line="240" w:lineRule="auto"/>
            </w:pPr>
            <w:r w:rsidRPr="0001276C">
              <w:t>Robe OIDA</w:t>
            </w:r>
          </w:p>
        </w:tc>
        <w:tc>
          <w:tcPr>
            <w:tcW w:w="500" w:type="pct"/>
            <w:noWrap/>
            <w:hideMark/>
          </w:tcPr>
          <w:p w:rsidR="0001276C" w:rsidRPr="0001276C" w:rsidRDefault="0001276C" w:rsidP="0001276C">
            <w:pPr>
              <w:spacing w:before="0" w:after="0" w:line="240" w:lineRule="auto"/>
            </w:pPr>
            <w:r w:rsidRPr="0001276C">
              <w:t>610268</w:t>
            </w:r>
          </w:p>
        </w:tc>
        <w:tc>
          <w:tcPr>
            <w:tcW w:w="500" w:type="pct"/>
            <w:noWrap/>
            <w:hideMark/>
          </w:tcPr>
          <w:p w:rsidR="0001276C" w:rsidRPr="0001276C" w:rsidRDefault="0001276C" w:rsidP="0001276C">
            <w:pPr>
              <w:spacing w:before="0" w:after="0" w:line="240" w:lineRule="auto"/>
            </w:pPr>
            <w:r w:rsidRPr="0001276C">
              <w:t>785187</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2480</w:t>
            </w:r>
          </w:p>
        </w:tc>
        <w:tc>
          <w:tcPr>
            <w:tcW w:w="364" w:type="pct"/>
            <w:noWrap/>
            <w:hideMark/>
          </w:tcPr>
          <w:p w:rsidR="0001276C" w:rsidRPr="0001276C" w:rsidRDefault="0001276C" w:rsidP="0001276C">
            <w:pPr>
              <w:spacing w:before="0" w:after="0" w:line="240" w:lineRule="auto"/>
            </w:pPr>
            <w:r w:rsidRPr="0001276C">
              <w:t>SP</w:t>
            </w:r>
          </w:p>
        </w:tc>
        <w:tc>
          <w:tcPr>
            <w:tcW w:w="543" w:type="pct"/>
            <w:noWrap/>
            <w:hideMark/>
          </w:tcPr>
          <w:p w:rsidR="0001276C" w:rsidRPr="0001276C" w:rsidRDefault="0001276C" w:rsidP="0001276C">
            <w:pPr>
              <w:spacing w:before="0" w:after="0" w:line="240" w:lineRule="auto"/>
            </w:pPr>
            <w:r w:rsidRPr="0001276C">
              <w:t>M</w:t>
            </w:r>
          </w:p>
        </w:tc>
        <w:tc>
          <w:tcPr>
            <w:tcW w:w="543" w:type="pct"/>
            <w:noWrap/>
            <w:hideMark/>
          </w:tcPr>
          <w:p w:rsidR="0001276C" w:rsidRPr="0001276C" w:rsidRDefault="0001276C" w:rsidP="0001276C">
            <w:pPr>
              <w:spacing w:before="0" w:after="0" w:line="240" w:lineRule="auto"/>
            </w:pPr>
            <w:r w:rsidRPr="0001276C">
              <w:t>M</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47</w:t>
            </w:r>
          </w:p>
        </w:tc>
        <w:tc>
          <w:tcPr>
            <w:tcW w:w="1133" w:type="pct"/>
            <w:noWrap/>
            <w:hideMark/>
          </w:tcPr>
          <w:p w:rsidR="0001276C" w:rsidRPr="0001276C" w:rsidRDefault="0001276C" w:rsidP="0001276C">
            <w:pPr>
              <w:spacing w:before="0" w:after="0" w:line="240" w:lineRule="auto"/>
            </w:pPr>
            <w:r w:rsidRPr="0001276C">
              <w:t>Ali Akabi_4</w:t>
            </w:r>
          </w:p>
        </w:tc>
        <w:tc>
          <w:tcPr>
            <w:tcW w:w="500" w:type="pct"/>
            <w:noWrap/>
            <w:hideMark/>
          </w:tcPr>
          <w:p w:rsidR="0001276C" w:rsidRPr="0001276C" w:rsidRDefault="0001276C" w:rsidP="0001276C">
            <w:pPr>
              <w:spacing w:before="0" w:after="0" w:line="240" w:lineRule="auto"/>
            </w:pPr>
            <w:r w:rsidRPr="0001276C">
              <w:t>602659</w:t>
            </w:r>
          </w:p>
        </w:tc>
        <w:tc>
          <w:tcPr>
            <w:tcW w:w="500" w:type="pct"/>
            <w:noWrap/>
            <w:hideMark/>
          </w:tcPr>
          <w:p w:rsidR="0001276C" w:rsidRPr="0001276C" w:rsidRDefault="0001276C" w:rsidP="0001276C">
            <w:pPr>
              <w:spacing w:before="0" w:after="0" w:line="240" w:lineRule="auto"/>
            </w:pPr>
            <w:r w:rsidRPr="0001276C">
              <w:t>802014</w:t>
            </w:r>
          </w:p>
        </w:tc>
        <w:tc>
          <w:tcPr>
            <w:tcW w:w="519" w:type="pct"/>
            <w:noWrap/>
            <w:hideMark/>
          </w:tcPr>
          <w:p w:rsidR="0001276C" w:rsidRPr="0001276C" w:rsidRDefault="0001276C" w:rsidP="0001276C">
            <w:pPr>
              <w:spacing w:before="0" w:after="0" w:line="240" w:lineRule="auto"/>
            </w:pPr>
            <w:r w:rsidRPr="0001276C">
              <w:t>2.5</w:t>
            </w:r>
          </w:p>
        </w:tc>
        <w:tc>
          <w:tcPr>
            <w:tcW w:w="506" w:type="pct"/>
            <w:noWrap/>
            <w:hideMark/>
          </w:tcPr>
          <w:p w:rsidR="0001276C" w:rsidRPr="0001276C" w:rsidRDefault="0001276C" w:rsidP="0001276C">
            <w:pPr>
              <w:spacing w:before="0" w:after="0" w:line="240" w:lineRule="auto"/>
            </w:pPr>
            <w:r w:rsidRPr="0001276C">
              <w:t>2479</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M</w:t>
            </w:r>
          </w:p>
        </w:tc>
        <w:tc>
          <w:tcPr>
            <w:tcW w:w="543" w:type="pct"/>
            <w:noWrap/>
            <w:hideMark/>
          </w:tcPr>
          <w:p w:rsidR="0001276C" w:rsidRPr="0001276C" w:rsidRDefault="0001276C" w:rsidP="0001276C">
            <w:pPr>
              <w:spacing w:before="0" w:after="0" w:line="240" w:lineRule="auto"/>
            </w:pPr>
            <w:r w:rsidRPr="0001276C">
              <w:t>M</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48</w:t>
            </w:r>
          </w:p>
        </w:tc>
        <w:tc>
          <w:tcPr>
            <w:tcW w:w="1133" w:type="pct"/>
            <w:noWrap/>
            <w:hideMark/>
          </w:tcPr>
          <w:p w:rsidR="0001276C" w:rsidRPr="0001276C" w:rsidRDefault="0001276C" w:rsidP="0001276C">
            <w:pPr>
              <w:spacing w:before="0" w:after="0" w:line="240" w:lineRule="auto"/>
            </w:pPr>
            <w:r w:rsidRPr="0001276C">
              <w:t>Abakara</w:t>
            </w:r>
          </w:p>
        </w:tc>
        <w:tc>
          <w:tcPr>
            <w:tcW w:w="500" w:type="pct"/>
            <w:noWrap/>
            <w:hideMark/>
          </w:tcPr>
          <w:p w:rsidR="0001276C" w:rsidRPr="0001276C" w:rsidRDefault="0001276C" w:rsidP="0001276C">
            <w:pPr>
              <w:spacing w:before="0" w:after="0" w:line="240" w:lineRule="auto"/>
            </w:pPr>
            <w:r w:rsidRPr="0001276C">
              <w:t>616134</w:t>
            </w:r>
          </w:p>
        </w:tc>
        <w:tc>
          <w:tcPr>
            <w:tcW w:w="500" w:type="pct"/>
            <w:noWrap/>
            <w:hideMark/>
          </w:tcPr>
          <w:p w:rsidR="0001276C" w:rsidRPr="0001276C" w:rsidRDefault="0001276C" w:rsidP="0001276C">
            <w:pPr>
              <w:spacing w:before="0" w:after="0" w:line="240" w:lineRule="auto"/>
            </w:pPr>
            <w:r w:rsidRPr="0001276C">
              <w:t>776820</w:t>
            </w:r>
          </w:p>
        </w:tc>
        <w:tc>
          <w:tcPr>
            <w:tcW w:w="519" w:type="pct"/>
            <w:noWrap/>
            <w:hideMark/>
          </w:tcPr>
          <w:p w:rsidR="0001276C" w:rsidRPr="0001276C" w:rsidRDefault="0001276C" w:rsidP="0001276C">
            <w:pPr>
              <w:spacing w:before="0" w:after="0" w:line="240" w:lineRule="auto"/>
            </w:pPr>
            <w:r w:rsidRPr="0001276C">
              <w:t>2</w:t>
            </w:r>
          </w:p>
        </w:tc>
        <w:tc>
          <w:tcPr>
            <w:tcW w:w="506" w:type="pct"/>
            <w:noWrap/>
            <w:hideMark/>
          </w:tcPr>
          <w:p w:rsidR="0001276C" w:rsidRPr="0001276C" w:rsidRDefault="0001276C" w:rsidP="0001276C">
            <w:pPr>
              <w:spacing w:before="0" w:after="0" w:line="240" w:lineRule="auto"/>
            </w:pPr>
            <w:r w:rsidRPr="0001276C">
              <w:t>2474</w:t>
            </w:r>
          </w:p>
        </w:tc>
        <w:tc>
          <w:tcPr>
            <w:tcW w:w="364"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M</w:t>
            </w:r>
          </w:p>
        </w:tc>
        <w:tc>
          <w:tcPr>
            <w:tcW w:w="543" w:type="pct"/>
            <w:noWrap/>
            <w:hideMark/>
          </w:tcPr>
          <w:p w:rsidR="0001276C" w:rsidRPr="0001276C" w:rsidRDefault="0001276C" w:rsidP="0001276C">
            <w:pPr>
              <w:spacing w:before="0" w:after="0" w:line="240" w:lineRule="auto"/>
            </w:pPr>
            <w:r w:rsidRPr="0001276C">
              <w:t>M</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49</w:t>
            </w:r>
          </w:p>
        </w:tc>
        <w:tc>
          <w:tcPr>
            <w:tcW w:w="1133" w:type="pct"/>
            <w:noWrap/>
            <w:hideMark/>
          </w:tcPr>
          <w:p w:rsidR="0001276C" w:rsidRPr="0001276C" w:rsidRDefault="0001276C" w:rsidP="0001276C">
            <w:pPr>
              <w:spacing w:before="0" w:after="0" w:line="240" w:lineRule="auto"/>
            </w:pPr>
            <w:r w:rsidRPr="0001276C">
              <w:t>Elabidu No 4</w:t>
            </w:r>
          </w:p>
        </w:tc>
        <w:tc>
          <w:tcPr>
            <w:tcW w:w="500" w:type="pct"/>
            <w:noWrap/>
            <w:hideMark/>
          </w:tcPr>
          <w:p w:rsidR="0001276C" w:rsidRPr="0001276C" w:rsidRDefault="0001276C" w:rsidP="0001276C">
            <w:pPr>
              <w:spacing w:before="0" w:after="0" w:line="240" w:lineRule="auto"/>
            </w:pPr>
            <w:r w:rsidRPr="0001276C">
              <w:t>601716</w:t>
            </w:r>
          </w:p>
        </w:tc>
        <w:tc>
          <w:tcPr>
            <w:tcW w:w="500" w:type="pct"/>
            <w:noWrap/>
            <w:hideMark/>
          </w:tcPr>
          <w:p w:rsidR="0001276C" w:rsidRPr="0001276C" w:rsidRDefault="0001276C" w:rsidP="0001276C">
            <w:pPr>
              <w:spacing w:before="0" w:after="0" w:line="240" w:lineRule="auto"/>
            </w:pPr>
            <w:r w:rsidRPr="0001276C">
              <w:t>797936</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2474</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M</w:t>
            </w:r>
          </w:p>
        </w:tc>
        <w:tc>
          <w:tcPr>
            <w:tcW w:w="543" w:type="pct"/>
            <w:noWrap/>
            <w:hideMark/>
          </w:tcPr>
          <w:p w:rsidR="0001276C" w:rsidRPr="0001276C" w:rsidRDefault="0001276C" w:rsidP="0001276C">
            <w:pPr>
              <w:spacing w:before="0" w:after="0" w:line="240" w:lineRule="auto"/>
            </w:pPr>
            <w:r w:rsidRPr="0001276C">
              <w:t>M</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50</w:t>
            </w:r>
          </w:p>
        </w:tc>
        <w:tc>
          <w:tcPr>
            <w:tcW w:w="1133" w:type="pct"/>
            <w:noWrap/>
            <w:hideMark/>
          </w:tcPr>
          <w:p w:rsidR="0001276C" w:rsidRPr="0001276C" w:rsidRDefault="0001276C" w:rsidP="0001276C">
            <w:pPr>
              <w:spacing w:before="0" w:after="0" w:line="240" w:lineRule="auto"/>
            </w:pPr>
            <w:r w:rsidRPr="0001276C">
              <w:t>Elabidu No 5</w:t>
            </w:r>
          </w:p>
        </w:tc>
        <w:tc>
          <w:tcPr>
            <w:tcW w:w="500" w:type="pct"/>
            <w:noWrap/>
            <w:hideMark/>
          </w:tcPr>
          <w:p w:rsidR="0001276C" w:rsidRPr="0001276C" w:rsidRDefault="0001276C" w:rsidP="0001276C">
            <w:pPr>
              <w:spacing w:before="0" w:after="0" w:line="240" w:lineRule="auto"/>
            </w:pPr>
            <w:r w:rsidRPr="0001276C">
              <w:t>601507</w:t>
            </w:r>
          </w:p>
        </w:tc>
        <w:tc>
          <w:tcPr>
            <w:tcW w:w="500" w:type="pct"/>
            <w:noWrap/>
            <w:hideMark/>
          </w:tcPr>
          <w:p w:rsidR="0001276C" w:rsidRPr="0001276C" w:rsidRDefault="0001276C" w:rsidP="0001276C">
            <w:pPr>
              <w:spacing w:before="0" w:after="0" w:line="240" w:lineRule="auto"/>
            </w:pPr>
            <w:r w:rsidRPr="0001276C">
              <w:t>798213</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2468</w:t>
            </w:r>
          </w:p>
        </w:tc>
        <w:tc>
          <w:tcPr>
            <w:tcW w:w="364" w:type="pct"/>
            <w:noWrap/>
            <w:hideMark/>
          </w:tcPr>
          <w:p w:rsidR="0001276C" w:rsidRPr="0001276C" w:rsidRDefault="0001276C" w:rsidP="0001276C">
            <w:pPr>
              <w:spacing w:before="0" w:after="0" w:line="240" w:lineRule="auto"/>
            </w:pPr>
            <w:r w:rsidRPr="0001276C">
              <w:t>SP</w:t>
            </w:r>
          </w:p>
        </w:tc>
        <w:tc>
          <w:tcPr>
            <w:tcW w:w="543" w:type="pct"/>
            <w:noWrap/>
            <w:hideMark/>
          </w:tcPr>
          <w:p w:rsidR="0001276C" w:rsidRPr="0001276C" w:rsidRDefault="0001276C" w:rsidP="0001276C">
            <w:pPr>
              <w:spacing w:before="0" w:after="0" w:line="240" w:lineRule="auto"/>
            </w:pPr>
            <w:r w:rsidRPr="0001276C">
              <w:t>M</w:t>
            </w:r>
          </w:p>
        </w:tc>
        <w:tc>
          <w:tcPr>
            <w:tcW w:w="543" w:type="pct"/>
            <w:noWrap/>
            <w:hideMark/>
          </w:tcPr>
          <w:p w:rsidR="0001276C" w:rsidRPr="0001276C" w:rsidRDefault="0001276C" w:rsidP="0001276C">
            <w:pPr>
              <w:spacing w:before="0" w:after="0" w:line="240" w:lineRule="auto"/>
            </w:pPr>
            <w:r w:rsidRPr="0001276C">
              <w:t>M</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51</w:t>
            </w:r>
          </w:p>
        </w:tc>
        <w:tc>
          <w:tcPr>
            <w:tcW w:w="1133" w:type="pct"/>
            <w:noWrap/>
            <w:hideMark/>
          </w:tcPr>
          <w:p w:rsidR="0001276C" w:rsidRPr="0001276C" w:rsidRDefault="0001276C" w:rsidP="0001276C">
            <w:pPr>
              <w:spacing w:before="0" w:after="0" w:line="240" w:lineRule="auto"/>
            </w:pPr>
            <w:r w:rsidRPr="0001276C">
              <w:t>Misira</w:t>
            </w:r>
          </w:p>
        </w:tc>
        <w:tc>
          <w:tcPr>
            <w:tcW w:w="500" w:type="pct"/>
            <w:noWrap/>
            <w:hideMark/>
          </w:tcPr>
          <w:p w:rsidR="0001276C" w:rsidRPr="0001276C" w:rsidRDefault="0001276C" w:rsidP="0001276C">
            <w:pPr>
              <w:spacing w:before="0" w:after="0" w:line="240" w:lineRule="auto"/>
            </w:pPr>
            <w:r w:rsidRPr="0001276C">
              <w:t>619550</w:t>
            </w:r>
          </w:p>
        </w:tc>
        <w:tc>
          <w:tcPr>
            <w:tcW w:w="500" w:type="pct"/>
            <w:noWrap/>
            <w:hideMark/>
          </w:tcPr>
          <w:p w:rsidR="0001276C" w:rsidRPr="0001276C" w:rsidRDefault="0001276C" w:rsidP="0001276C">
            <w:pPr>
              <w:spacing w:before="0" w:after="0" w:line="240" w:lineRule="auto"/>
            </w:pPr>
            <w:r w:rsidRPr="0001276C">
              <w:t>775382</w:t>
            </w:r>
          </w:p>
        </w:tc>
        <w:tc>
          <w:tcPr>
            <w:tcW w:w="519" w:type="pct"/>
            <w:noWrap/>
            <w:hideMark/>
          </w:tcPr>
          <w:p w:rsidR="0001276C" w:rsidRPr="0001276C" w:rsidRDefault="0001276C" w:rsidP="0001276C">
            <w:pPr>
              <w:spacing w:before="0" w:after="0" w:line="240" w:lineRule="auto"/>
            </w:pPr>
            <w:r w:rsidRPr="0001276C">
              <w:t>0.25</w:t>
            </w:r>
          </w:p>
        </w:tc>
        <w:tc>
          <w:tcPr>
            <w:tcW w:w="506" w:type="pct"/>
            <w:noWrap/>
            <w:hideMark/>
          </w:tcPr>
          <w:p w:rsidR="0001276C" w:rsidRPr="0001276C" w:rsidRDefault="0001276C" w:rsidP="0001276C">
            <w:pPr>
              <w:spacing w:before="0" w:after="0" w:line="240" w:lineRule="auto"/>
            </w:pPr>
            <w:r w:rsidRPr="0001276C">
              <w:t>2465</w:t>
            </w:r>
          </w:p>
        </w:tc>
        <w:tc>
          <w:tcPr>
            <w:tcW w:w="364" w:type="pct"/>
            <w:noWrap/>
            <w:hideMark/>
          </w:tcPr>
          <w:p w:rsidR="0001276C" w:rsidRPr="0001276C" w:rsidRDefault="0001276C" w:rsidP="0001276C">
            <w:pPr>
              <w:spacing w:before="0" w:after="0" w:line="240" w:lineRule="auto"/>
            </w:pPr>
            <w:r w:rsidRPr="0001276C">
              <w:t>SP</w:t>
            </w:r>
          </w:p>
        </w:tc>
        <w:tc>
          <w:tcPr>
            <w:tcW w:w="543" w:type="pct"/>
            <w:noWrap/>
            <w:hideMark/>
          </w:tcPr>
          <w:p w:rsidR="0001276C" w:rsidRPr="0001276C" w:rsidRDefault="0001276C" w:rsidP="0001276C">
            <w:pPr>
              <w:spacing w:before="0" w:after="0" w:line="240" w:lineRule="auto"/>
            </w:pPr>
            <w:r w:rsidRPr="0001276C">
              <w:t>L</w:t>
            </w:r>
          </w:p>
        </w:tc>
        <w:tc>
          <w:tcPr>
            <w:tcW w:w="543" w:type="pct"/>
            <w:noWrap/>
            <w:hideMark/>
          </w:tcPr>
          <w:p w:rsidR="0001276C" w:rsidRPr="0001276C" w:rsidRDefault="0001276C" w:rsidP="0001276C">
            <w:pPr>
              <w:spacing w:before="0" w:after="0" w:line="240" w:lineRule="auto"/>
            </w:pPr>
            <w:r w:rsidRPr="0001276C">
              <w:t>L</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52</w:t>
            </w:r>
          </w:p>
        </w:tc>
        <w:tc>
          <w:tcPr>
            <w:tcW w:w="1133" w:type="pct"/>
            <w:noWrap/>
            <w:hideMark/>
          </w:tcPr>
          <w:p w:rsidR="0001276C" w:rsidRPr="0001276C" w:rsidRDefault="0001276C" w:rsidP="0001276C">
            <w:pPr>
              <w:spacing w:before="0" w:after="0" w:line="240" w:lineRule="auto"/>
            </w:pPr>
            <w:r w:rsidRPr="0001276C">
              <w:t>Elabidu No 3</w:t>
            </w:r>
          </w:p>
        </w:tc>
        <w:tc>
          <w:tcPr>
            <w:tcW w:w="500" w:type="pct"/>
            <w:noWrap/>
            <w:hideMark/>
          </w:tcPr>
          <w:p w:rsidR="0001276C" w:rsidRPr="0001276C" w:rsidRDefault="0001276C" w:rsidP="0001276C">
            <w:pPr>
              <w:spacing w:before="0" w:after="0" w:line="240" w:lineRule="auto"/>
            </w:pPr>
            <w:r w:rsidRPr="0001276C">
              <w:t>601958</w:t>
            </w:r>
          </w:p>
        </w:tc>
        <w:tc>
          <w:tcPr>
            <w:tcW w:w="500" w:type="pct"/>
            <w:noWrap/>
            <w:hideMark/>
          </w:tcPr>
          <w:p w:rsidR="0001276C" w:rsidRPr="0001276C" w:rsidRDefault="0001276C" w:rsidP="0001276C">
            <w:pPr>
              <w:spacing w:before="0" w:after="0" w:line="240" w:lineRule="auto"/>
            </w:pPr>
            <w:r w:rsidRPr="0001276C">
              <w:t>796984</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2462</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H</w:t>
            </w:r>
          </w:p>
        </w:tc>
        <w:tc>
          <w:tcPr>
            <w:tcW w:w="543" w:type="pct"/>
            <w:noWrap/>
            <w:hideMark/>
          </w:tcPr>
          <w:p w:rsidR="0001276C" w:rsidRPr="0001276C" w:rsidRDefault="0001276C" w:rsidP="0001276C">
            <w:pPr>
              <w:spacing w:before="0" w:after="0" w:line="240" w:lineRule="auto"/>
            </w:pPr>
            <w:r w:rsidRPr="0001276C">
              <w:t>H</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53</w:t>
            </w:r>
          </w:p>
        </w:tc>
        <w:tc>
          <w:tcPr>
            <w:tcW w:w="1133" w:type="pct"/>
            <w:noWrap/>
            <w:hideMark/>
          </w:tcPr>
          <w:p w:rsidR="0001276C" w:rsidRPr="0001276C" w:rsidRDefault="0001276C" w:rsidP="0001276C">
            <w:pPr>
              <w:spacing w:before="0" w:after="0" w:line="240" w:lineRule="auto"/>
            </w:pPr>
            <w:r w:rsidRPr="0001276C">
              <w:t>Elabidu No 1</w:t>
            </w:r>
          </w:p>
        </w:tc>
        <w:tc>
          <w:tcPr>
            <w:tcW w:w="500" w:type="pct"/>
            <w:noWrap/>
            <w:hideMark/>
          </w:tcPr>
          <w:p w:rsidR="0001276C" w:rsidRPr="0001276C" w:rsidRDefault="0001276C" w:rsidP="0001276C">
            <w:pPr>
              <w:spacing w:before="0" w:after="0" w:line="240" w:lineRule="auto"/>
            </w:pPr>
            <w:r w:rsidRPr="0001276C">
              <w:t>601519</w:t>
            </w:r>
          </w:p>
        </w:tc>
        <w:tc>
          <w:tcPr>
            <w:tcW w:w="500" w:type="pct"/>
            <w:noWrap/>
            <w:hideMark/>
          </w:tcPr>
          <w:p w:rsidR="0001276C" w:rsidRPr="0001276C" w:rsidRDefault="0001276C" w:rsidP="0001276C">
            <w:pPr>
              <w:spacing w:before="0" w:after="0" w:line="240" w:lineRule="auto"/>
            </w:pPr>
            <w:r w:rsidRPr="0001276C">
              <w:t>797776</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2460</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H</w:t>
            </w:r>
          </w:p>
        </w:tc>
        <w:tc>
          <w:tcPr>
            <w:tcW w:w="543" w:type="pct"/>
            <w:noWrap/>
            <w:hideMark/>
          </w:tcPr>
          <w:p w:rsidR="0001276C" w:rsidRPr="0001276C" w:rsidRDefault="0001276C" w:rsidP="0001276C">
            <w:pPr>
              <w:spacing w:before="0" w:after="0" w:line="240" w:lineRule="auto"/>
            </w:pPr>
            <w:r w:rsidRPr="0001276C">
              <w:t>H</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54</w:t>
            </w:r>
          </w:p>
        </w:tc>
        <w:tc>
          <w:tcPr>
            <w:tcW w:w="1133" w:type="pct"/>
            <w:noWrap/>
            <w:hideMark/>
          </w:tcPr>
          <w:p w:rsidR="0001276C" w:rsidRPr="0001276C" w:rsidRDefault="0001276C" w:rsidP="0001276C">
            <w:pPr>
              <w:spacing w:before="0" w:after="0" w:line="240" w:lineRule="auto"/>
            </w:pPr>
            <w:r w:rsidRPr="0001276C">
              <w:t>Elabidu No 2</w:t>
            </w:r>
          </w:p>
        </w:tc>
        <w:tc>
          <w:tcPr>
            <w:tcW w:w="500" w:type="pct"/>
            <w:noWrap/>
            <w:hideMark/>
          </w:tcPr>
          <w:p w:rsidR="0001276C" w:rsidRPr="0001276C" w:rsidRDefault="0001276C" w:rsidP="0001276C">
            <w:pPr>
              <w:spacing w:before="0" w:after="0" w:line="240" w:lineRule="auto"/>
            </w:pPr>
            <w:r w:rsidRPr="0001276C">
              <w:t>601645</w:t>
            </w:r>
          </w:p>
        </w:tc>
        <w:tc>
          <w:tcPr>
            <w:tcW w:w="500" w:type="pct"/>
            <w:noWrap/>
            <w:hideMark/>
          </w:tcPr>
          <w:p w:rsidR="0001276C" w:rsidRPr="0001276C" w:rsidRDefault="0001276C" w:rsidP="0001276C">
            <w:pPr>
              <w:spacing w:before="0" w:after="0" w:line="240" w:lineRule="auto"/>
            </w:pPr>
            <w:r w:rsidRPr="0001276C">
              <w:t>797714</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2456</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H</w:t>
            </w:r>
          </w:p>
        </w:tc>
        <w:tc>
          <w:tcPr>
            <w:tcW w:w="543" w:type="pct"/>
            <w:noWrap/>
            <w:hideMark/>
          </w:tcPr>
          <w:p w:rsidR="0001276C" w:rsidRPr="0001276C" w:rsidRDefault="0001276C" w:rsidP="0001276C">
            <w:pPr>
              <w:spacing w:before="0" w:after="0" w:line="240" w:lineRule="auto"/>
            </w:pPr>
            <w:r w:rsidRPr="0001276C">
              <w:t>H</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55</w:t>
            </w:r>
          </w:p>
        </w:tc>
        <w:tc>
          <w:tcPr>
            <w:tcW w:w="1133" w:type="pct"/>
            <w:noWrap/>
            <w:hideMark/>
          </w:tcPr>
          <w:p w:rsidR="0001276C" w:rsidRPr="0001276C" w:rsidRDefault="0001276C" w:rsidP="0001276C">
            <w:pPr>
              <w:spacing w:before="0" w:after="0" w:line="240" w:lineRule="auto"/>
            </w:pPr>
            <w:r w:rsidRPr="0001276C">
              <w:t>Robe No 3</w:t>
            </w:r>
          </w:p>
        </w:tc>
        <w:tc>
          <w:tcPr>
            <w:tcW w:w="500" w:type="pct"/>
            <w:noWrap/>
            <w:hideMark/>
          </w:tcPr>
          <w:p w:rsidR="0001276C" w:rsidRPr="0001276C" w:rsidRDefault="0001276C" w:rsidP="0001276C">
            <w:pPr>
              <w:spacing w:before="0" w:after="0" w:line="240" w:lineRule="auto"/>
            </w:pPr>
            <w:r w:rsidRPr="0001276C">
              <w:t>611249</w:t>
            </w:r>
          </w:p>
        </w:tc>
        <w:tc>
          <w:tcPr>
            <w:tcW w:w="500" w:type="pct"/>
            <w:noWrap/>
            <w:hideMark/>
          </w:tcPr>
          <w:p w:rsidR="0001276C" w:rsidRPr="0001276C" w:rsidRDefault="0001276C" w:rsidP="0001276C">
            <w:pPr>
              <w:spacing w:before="0" w:after="0" w:line="240" w:lineRule="auto"/>
            </w:pPr>
            <w:r w:rsidRPr="0001276C">
              <w:t>786148</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2455</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L</w:t>
            </w:r>
          </w:p>
        </w:tc>
        <w:tc>
          <w:tcPr>
            <w:tcW w:w="543" w:type="pct"/>
            <w:noWrap/>
            <w:hideMark/>
          </w:tcPr>
          <w:p w:rsidR="0001276C" w:rsidRPr="0001276C" w:rsidRDefault="0001276C" w:rsidP="0001276C">
            <w:pPr>
              <w:spacing w:before="0" w:after="0" w:line="240" w:lineRule="auto"/>
            </w:pPr>
            <w:r w:rsidRPr="0001276C">
              <w:t>L</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56</w:t>
            </w:r>
          </w:p>
        </w:tc>
        <w:tc>
          <w:tcPr>
            <w:tcW w:w="1133" w:type="pct"/>
            <w:noWrap/>
            <w:hideMark/>
          </w:tcPr>
          <w:p w:rsidR="0001276C" w:rsidRPr="0001276C" w:rsidRDefault="0001276C" w:rsidP="0001276C">
            <w:pPr>
              <w:spacing w:before="0" w:after="0" w:line="240" w:lineRule="auto"/>
            </w:pPr>
            <w:r w:rsidRPr="0001276C">
              <w:t>Robe TTC_1</w:t>
            </w:r>
          </w:p>
        </w:tc>
        <w:tc>
          <w:tcPr>
            <w:tcW w:w="500" w:type="pct"/>
            <w:noWrap/>
            <w:hideMark/>
          </w:tcPr>
          <w:p w:rsidR="0001276C" w:rsidRPr="0001276C" w:rsidRDefault="0001276C" w:rsidP="0001276C">
            <w:pPr>
              <w:spacing w:before="0" w:after="0" w:line="240" w:lineRule="auto"/>
            </w:pPr>
            <w:r w:rsidRPr="0001276C">
              <w:t>610276</w:t>
            </w:r>
          </w:p>
        </w:tc>
        <w:tc>
          <w:tcPr>
            <w:tcW w:w="500" w:type="pct"/>
            <w:noWrap/>
            <w:hideMark/>
          </w:tcPr>
          <w:p w:rsidR="0001276C" w:rsidRPr="0001276C" w:rsidRDefault="0001276C" w:rsidP="0001276C">
            <w:pPr>
              <w:spacing w:before="0" w:after="0" w:line="240" w:lineRule="auto"/>
            </w:pPr>
            <w:r w:rsidRPr="0001276C">
              <w:t>786068</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2455</w:t>
            </w:r>
          </w:p>
        </w:tc>
        <w:tc>
          <w:tcPr>
            <w:tcW w:w="364" w:type="pct"/>
            <w:noWrap/>
            <w:hideMark/>
          </w:tcPr>
          <w:p w:rsidR="0001276C" w:rsidRPr="0001276C" w:rsidRDefault="0001276C" w:rsidP="0001276C">
            <w:pPr>
              <w:spacing w:before="0" w:after="0" w:line="240" w:lineRule="auto"/>
            </w:pPr>
            <w:r w:rsidRPr="0001276C">
              <w:t>DW</w:t>
            </w:r>
          </w:p>
        </w:tc>
        <w:tc>
          <w:tcPr>
            <w:tcW w:w="543" w:type="pct"/>
            <w:noWrap/>
            <w:hideMark/>
          </w:tcPr>
          <w:p w:rsidR="0001276C" w:rsidRPr="0001276C" w:rsidRDefault="0001276C" w:rsidP="0001276C">
            <w:pPr>
              <w:spacing w:before="0" w:after="0" w:line="240" w:lineRule="auto"/>
            </w:pPr>
            <w:r w:rsidRPr="0001276C">
              <w:t>H</w:t>
            </w:r>
          </w:p>
        </w:tc>
        <w:tc>
          <w:tcPr>
            <w:tcW w:w="543" w:type="pct"/>
            <w:noWrap/>
            <w:hideMark/>
          </w:tcPr>
          <w:p w:rsidR="0001276C" w:rsidRPr="0001276C" w:rsidRDefault="0001276C" w:rsidP="0001276C">
            <w:pPr>
              <w:spacing w:before="0" w:after="0" w:line="240" w:lineRule="auto"/>
            </w:pPr>
            <w:r w:rsidRPr="0001276C">
              <w:t>H</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57</w:t>
            </w:r>
          </w:p>
        </w:tc>
        <w:tc>
          <w:tcPr>
            <w:tcW w:w="1133" w:type="pct"/>
            <w:noWrap/>
            <w:hideMark/>
          </w:tcPr>
          <w:p w:rsidR="0001276C" w:rsidRPr="0001276C" w:rsidRDefault="0001276C" w:rsidP="0001276C">
            <w:pPr>
              <w:spacing w:before="0" w:after="0" w:line="240" w:lineRule="auto"/>
            </w:pPr>
            <w:r w:rsidRPr="0001276C">
              <w:t>Ali town_1</w:t>
            </w:r>
          </w:p>
        </w:tc>
        <w:tc>
          <w:tcPr>
            <w:tcW w:w="500" w:type="pct"/>
            <w:noWrap/>
            <w:hideMark/>
          </w:tcPr>
          <w:p w:rsidR="0001276C" w:rsidRPr="0001276C" w:rsidRDefault="0001276C" w:rsidP="0001276C">
            <w:pPr>
              <w:spacing w:before="0" w:after="0" w:line="240" w:lineRule="auto"/>
            </w:pPr>
            <w:r w:rsidRPr="0001276C">
              <w:t>603061</w:t>
            </w:r>
          </w:p>
        </w:tc>
        <w:tc>
          <w:tcPr>
            <w:tcW w:w="500" w:type="pct"/>
            <w:noWrap/>
            <w:hideMark/>
          </w:tcPr>
          <w:p w:rsidR="0001276C" w:rsidRPr="0001276C" w:rsidRDefault="0001276C" w:rsidP="0001276C">
            <w:pPr>
              <w:spacing w:before="0" w:after="0" w:line="240" w:lineRule="auto"/>
            </w:pPr>
            <w:r w:rsidRPr="0001276C">
              <w:t>800340</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2453</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L</w:t>
            </w:r>
          </w:p>
        </w:tc>
        <w:tc>
          <w:tcPr>
            <w:tcW w:w="543" w:type="pct"/>
            <w:noWrap/>
            <w:hideMark/>
          </w:tcPr>
          <w:p w:rsidR="0001276C" w:rsidRPr="0001276C" w:rsidRDefault="0001276C" w:rsidP="0001276C">
            <w:pPr>
              <w:spacing w:before="0" w:after="0" w:line="240" w:lineRule="auto"/>
            </w:pPr>
            <w:r w:rsidRPr="0001276C">
              <w:t>L</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58</w:t>
            </w:r>
          </w:p>
        </w:tc>
        <w:tc>
          <w:tcPr>
            <w:tcW w:w="1133" w:type="pct"/>
            <w:noWrap/>
            <w:hideMark/>
          </w:tcPr>
          <w:p w:rsidR="0001276C" w:rsidRPr="0001276C" w:rsidRDefault="0001276C" w:rsidP="0001276C">
            <w:pPr>
              <w:spacing w:before="0" w:after="0" w:line="240" w:lineRule="auto"/>
            </w:pPr>
            <w:r w:rsidRPr="0001276C">
              <w:t>Haro Borama</w:t>
            </w:r>
          </w:p>
        </w:tc>
        <w:tc>
          <w:tcPr>
            <w:tcW w:w="500" w:type="pct"/>
            <w:noWrap/>
            <w:hideMark/>
          </w:tcPr>
          <w:p w:rsidR="0001276C" w:rsidRPr="0001276C" w:rsidRDefault="0001276C" w:rsidP="0001276C">
            <w:pPr>
              <w:spacing w:before="0" w:after="0" w:line="240" w:lineRule="auto"/>
            </w:pPr>
            <w:r w:rsidRPr="0001276C">
              <w:t>621532</w:t>
            </w:r>
          </w:p>
        </w:tc>
        <w:tc>
          <w:tcPr>
            <w:tcW w:w="500" w:type="pct"/>
            <w:noWrap/>
            <w:hideMark/>
          </w:tcPr>
          <w:p w:rsidR="0001276C" w:rsidRPr="0001276C" w:rsidRDefault="0001276C" w:rsidP="0001276C">
            <w:pPr>
              <w:spacing w:before="0" w:after="0" w:line="240" w:lineRule="auto"/>
            </w:pPr>
            <w:r w:rsidRPr="0001276C">
              <w:t>776810</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2451</w:t>
            </w:r>
          </w:p>
        </w:tc>
        <w:tc>
          <w:tcPr>
            <w:tcW w:w="364"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L</w:t>
            </w:r>
          </w:p>
        </w:tc>
        <w:tc>
          <w:tcPr>
            <w:tcW w:w="543" w:type="pct"/>
            <w:noWrap/>
            <w:hideMark/>
          </w:tcPr>
          <w:p w:rsidR="0001276C" w:rsidRPr="0001276C" w:rsidRDefault="0001276C" w:rsidP="0001276C">
            <w:pPr>
              <w:spacing w:before="0" w:after="0" w:line="240" w:lineRule="auto"/>
            </w:pPr>
            <w:r w:rsidRPr="0001276C">
              <w:t>L</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59</w:t>
            </w:r>
          </w:p>
        </w:tc>
        <w:tc>
          <w:tcPr>
            <w:tcW w:w="1133" w:type="pct"/>
            <w:noWrap/>
            <w:hideMark/>
          </w:tcPr>
          <w:p w:rsidR="0001276C" w:rsidRPr="0001276C" w:rsidRDefault="0001276C" w:rsidP="0001276C">
            <w:pPr>
              <w:spacing w:before="0" w:after="0" w:line="240" w:lineRule="auto"/>
            </w:pPr>
            <w:r w:rsidRPr="0001276C">
              <w:t>WachoMish.</w:t>
            </w:r>
          </w:p>
        </w:tc>
        <w:tc>
          <w:tcPr>
            <w:tcW w:w="500" w:type="pct"/>
            <w:noWrap/>
            <w:hideMark/>
          </w:tcPr>
          <w:p w:rsidR="0001276C" w:rsidRPr="0001276C" w:rsidRDefault="0001276C" w:rsidP="0001276C">
            <w:pPr>
              <w:spacing w:before="0" w:after="0" w:line="240" w:lineRule="auto"/>
            </w:pPr>
            <w:r w:rsidRPr="0001276C">
              <w:t>623861</w:t>
            </w:r>
          </w:p>
        </w:tc>
        <w:tc>
          <w:tcPr>
            <w:tcW w:w="500" w:type="pct"/>
            <w:noWrap/>
            <w:hideMark/>
          </w:tcPr>
          <w:p w:rsidR="0001276C" w:rsidRPr="0001276C" w:rsidRDefault="0001276C" w:rsidP="0001276C">
            <w:pPr>
              <w:spacing w:before="0" w:after="0" w:line="240" w:lineRule="auto"/>
            </w:pPr>
            <w:r w:rsidRPr="0001276C">
              <w:t>772782</w:t>
            </w:r>
          </w:p>
        </w:tc>
        <w:tc>
          <w:tcPr>
            <w:tcW w:w="519" w:type="pct"/>
            <w:noWrap/>
            <w:hideMark/>
          </w:tcPr>
          <w:p w:rsidR="0001276C" w:rsidRPr="0001276C" w:rsidRDefault="0001276C" w:rsidP="0001276C">
            <w:pPr>
              <w:spacing w:before="0" w:after="0" w:line="240" w:lineRule="auto"/>
            </w:pPr>
            <w:r w:rsidRPr="0001276C">
              <w:t>3.5</w:t>
            </w:r>
          </w:p>
        </w:tc>
        <w:tc>
          <w:tcPr>
            <w:tcW w:w="506" w:type="pct"/>
            <w:noWrap/>
            <w:hideMark/>
          </w:tcPr>
          <w:p w:rsidR="0001276C" w:rsidRPr="0001276C" w:rsidRDefault="0001276C" w:rsidP="0001276C">
            <w:pPr>
              <w:spacing w:before="0" w:after="0" w:line="240" w:lineRule="auto"/>
            </w:pPr>
            <w:r w:rsidRPr="0001276C">
              <w:t>2444.5</w:t>
            </w:r>
          </w:p>
        </w:tc>
        <w:tc>
          <w:tcPr>
            <w:tcW w:w="364"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H</w:t>
            </w:r>
          </w:p>
        </w:tc>
        <w:tc>
          <w:tcPr>
            <w:tcW w:w="543" w:type="pct"/>
            <w:noWrap/>
            <w:hideMark/>
          </w:tcPr>
          <w:p w:rsidR="0001276C" w:rsidRPr="0001276C" w:rsidRDefault="0001276C" w:rsidP="0001276C">
            <w:pPr>
              <w:spacing w:before="0" w:after="0" w:line="240" w:lineRule="auto"/>
            </w:pPr>
            <w:r w:rsidRPr="0001276C">
              <w:t>H</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60</w:t>
            </w:r>
          </w:p>
        </w:tc>
        <w:tc>
          <w:tcPr>
            <w:tcW w:w="1133" w:type="pct"/>
            <w:noWrap/>
            <w:hideMark/>
          </w:tcPr>
          <w:p w:rsidR="0001276C" w:rsidRPr="0001276C" w:rsidRDefault="0001276C" w:rsidP="0001276C">
            <w:pPr>
              <w:spacing w:before="0" w:after="0" w:line="240" w:lineRule="auto"/>
            </w:pPr>
            <w:r w:rsidRPr="0001276C">
              <w:t>Ali _No_17</w:t>
            </w:r>
          </w:p>
        </w:tc>
        <w:tc>
          <w:tcPr>
            <w:tcW w:w="500" w:type="pct"/>
            <w:noWrap/>
            <w:hideMark/>
          </w:tcPr>
          <w:p w:rsidR="0001276C" w:rsidRPr="0001276C" w:rsidRDefault="0001276C" w:rsidP="0001276C">
            <w:pPr>
              <w:spacing w:before="0" w:after="0" w:line="240" w:lineRule="auto"/>
            </w:pPr>
            <w:r w:rsidRPr="0001276C">
              <w:t>592001</w:t>
            </w:r>
          </w:p>
        </w:tc>
        <w:tc>
          <w:tcPr>
            <w:tcW w:w="500" w:type="pct"/>
            <w:noWrap/>
            <w:hideMark/>
          </w:tcPr>
          <w:p w:rsidR="0001276C" w:rsidRPr="0001276C" w:rsidRDefault="0001276C" w:rsidP="0001276C">
            <w:pPr>
              <w:spacing w:before="0" w:after="0" w:line="240" w:lineRule="auto"/>
            </w:pPr>
            <w:r w:rsidRPr="0001276C">
              <w:t>799554</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2444</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H</w:t>
            </w:r>
          </w:p>
        </w:tc>
        <w:tc>
          <w:tcPr>
            <w:tcW w:w="543" w:type="pct"/>
            <w:noWrap/>
            <w:hideMark/>
          </w:tcPr>
          <w:p w:rsidR="0001276C" w:rsidRPr="0001276C" w:rsidRDefault="0001276C" w:rsidP="0001276C">
            <w:pPr>
              <w:spacing w:before="0" w:after="0" w:line="240" w:lineRule="auto"/>
            </w:pPr>
            <w:r w:rsidRPr="0001276C">
              <w:t>H</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61</w:t>
            </w:r>
          </w:p>
        </w:tc>
        <w:tc>
          <w:tcPr>
            <w:tcW w:w="1133" w:type="pct"/>
            <w:noWrap/>
            <w:hideMark/>
          </w:tcPr>
          <w:p w:rsidR="0001276C" w:rsidRPr="0001276C" w:rsidRDefault="0001276C" w:rsidP="0001276C">
            <w:pPr>
              <w:spacing w:before="0" w:after="0" w:line="240" w:lineRule="auto"/>
            </w:pPr>
            <w:r w:rsidRPr="0001276C">
              <w:t>Bale_R_A.P.</w:t>
            </w:r>
          </w:p>
        </w:tc>
        <w:tc>
          <w:tcPr>
            <w:tcW w:w="500" w:type="pct"/>
            <w:noWrap/>
            <w:hideMark/>
          </w:tcPr>
          <w:p w:rsidR="0001276C" w:rsidRPr="0001276C" w:rsidRDefault="0001276C" w:rsidP="0001276C">
            <w:pPr>
              <w:spacing w:before="0" w:after="0" w:line="240" w:lineRule="auto"/>
            </w:pPr>
            <w:r w:rsidRPr="0001276C">
              <w:t>614635</w:t>
            </w:r>
          </w:p>
        </w:tc>
        <w:tc>
          <w:tcPr>
            <w:tcW w:w="500" w:type="pct"/>
            <w:noWrap/>
            <w:hideMark/>
          </w:tcPr>
          <w:p w:rsidR="0001276C" w:rsidRPr="0001276C" w:rsidRDefault="0001276C" w:rsidP="0001276C">
            <w:pPr>
              <w:spacing w:before="0" w:after="0" w:line="240" w:lineRule="auto"/>
            </w:pPr>
            <w:r w:rsidRPr="0001276C">
              <w:t>786982</w:t>
            </w:r>
          </w:p>
        </w:tc>
        <w:tc>
          <w:tcPr>
            <w:tcW w:w="519" w:type="pct"/>
            <w:noWrap/>
            <w:hideMark/>
          </w:tcPr>
          <w:p w:rsidR="0001276C" w:rsidRPr="0001276C" w:rsidRDefault="0001276C" w:rsidP="0001276C">
            <w:pPr>
              <w:spacing w:before="0" w:after="0" w:line="240" w:lineRule="auto"/>
            </w:pPr>
            <w:r w:rsidRPr="0001276C">
              <w:t>5</w:t>
            </w:r>
          </w:p>
        </w:tc>
        <w:tc>
          <w:tcPr>
            <w:tcW w:w="506" w:type="pct"/>
            <w:noWrap/>
            <w:hideMark/>
          </w:tcPr>
          <w:p w:rsidR="0001276C" w:rsidRPr="0001276C" w:rsidRDefault="0001276C" w:rsidP="0001276C">
            <w:pPr>
              <w:spacing w:before="0" w:after="0" w:line="240" w:lineRule="auto"/>
            </w:pPr>
            <w:r w:rsidRPr="0001276C">
              <w:t>2443.7</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H</w:t>
            </w:r>
          </w:p>
        </w:tc>
        <w:tc>
          <w:tcPr>
            <w:tcW w:w="543" w:type="pct"/>
            <w:noWrap/>
            <w:hideMark/>
          </w:tcPr>
          <w:p w:rsidR="0001276C" w:rsidRPr="0001276C" w:rsidRDefault="0001276C" w:rsidP="0001276C">
            <w:pPr>
              <w:spacing w:before="0" w:after="0" w:line="240" w:lineRule="auto"/>
            </w:pPr>
            <w:r w:rsidRPr="0001276C">
              <w:t>H</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62</w:t>
            </w:r>
          </w:p>
        </w:tc>
        <w:tc>
          <w:tcPr>
            <w:tcW w:w="1133" w:type="pct"/>
            <w:noWrap/>
            <w:hideMark/>
          </w:tcPr>
          <w:p w:rsidR="0001276C" w:rsidRPr="0001276C" w:rsidRDefault="0001276C" w:rsidP="0001276C">
            <w:pPr>
              <w:spacing w:before="0" w:after="0" w:line="240" w:lineRule="auto"/>
            </w:pPr>
            <w:r w:rsidRPr="0001276C">
              <w:t>BMH</w:t>
            </w:r>
          </w:p>
        </w:tc>
        <w:tc>
          <w:tcPr>
            <w:tcW w:w="500" w:type="pct"/>
            <w:noWrap/>
            <w:hideMark/>
          </w:tcPr>
          <w:p w:rsidR="0001276C" w:rsidRPr="0001276C" w:rsidRDefault="0001276C" w:rsidP="0001276C">
            <w:pPr>
              <w:spacing w:before="0" w:after="0" w:line="240" w:lineRule="auto"/>
            </w:pPr>
            <w:r w:rsidRPr="0001276C">
              <w:t>611056</w:t>
            </w:r>
          </w:p>
        </w:tc>
        <w:tc>
          <w:tcPr>
            <w:tcW w:w="500" w:type="pct"/>
            <w:noWrap/>
            <w:hideMark/>
          </w:tcPr>
          <w:p w:rsidR="0001276C" w:rsidRPr="0001276C" w:rsidRDefault="0001276C" w:rsidP="0001276C">
            <w:pPr>
              <w:spacing w:before="0" w:after="0" w:line="240" w:lineRule="auto"/>
            </w:pPr>
            <w:r w:rsidRPr="0001276C">
              <w:t>786642</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2440</w:t>
            </w:r>
          </w:p>
        </w:tc>
        <w:tc>
          <w:tcPr>
            <w:tcW w:w="364" w:type="pct"/>
            <w:noWrap/>
            <w:hideMark/>
          </w:tcPr>
          <w:p w:rsidR="0001276C" w:rsidRPr="0001276C" w:rsidRDefault="0001276C" w:rsidP="0001276C">
            <w:pPr>
              <w:spacing w:before="0" w:after="0" w:line="240" w:lineRule="auto"/>
            </w:pPr>
            <w:r w:rsidRPr="0001276C">
              <w:t>DW</w:t>
            </w:r>
          </w:p>
        </w:tc>
        <w:tc>
          <w:tcPr>
            <w:tcW w:w="543" w:type="pct"/>
            <w:noWrap/>
            <w:hideMark/>
          </w:tcPr>
          <w:p w:rsidR="0001276C" w:rsidRPr="0001276C" w:rsidRDefault="0001276C" w:rsidP="0001276C">
            <w:pPr>
              <w:spacing w:before="0" w:after="0" w:line="240" w:lineRule="auto"/>
            </w:pPr>
            <w:r w:rsidRPr="0001276C">
              <w:t>H</w:t>
            </w:r>
          </w:p>
        </w:tc>
        <w:tc>
          <w:tcPr>
            <w:tcW w:w="543" w:type="pct"/>
            <w:noWrap/>
            <w:hideMark/>
          </w:tcPr>
          <w:p w:rsidR="0001276C" w:rsidRPr="0001276C" w:rsidRDefault="0001276C" w:rsidP="0001276C">
            <w:pPr>
              <w:spacing w:before="0" w:after="0" w:line="240" w:lineRule="auto"/>
            </w:pPr>
            <w:r w:rsidRPr="0001276C">
              <w:t>H</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63</w:t>
            </w:r>
          </w:p>
        </w:tc>
        <w:tc>
          <w:tcPr>
            <w:tcW w:w="1133" w:type="pct"/>
            <w:noWrap/>
            <w:hideMark/>
          </w:tcPr>
          <w:p w:rsidR="0001276C" w:rsidRPr="0001276C" w:rsidRDefault="0001276C" w:rsidP="0001276C">
            <w:pPr>
              <w:spacing w:before="0" w:after="0" w:line="240" w:lineRule="auto"/>
            </w:pPr>
            <w:r w:rsidRPr="0001276C">
              <w:t>Mechemena</w:t>
            </w:r>
          </w:p>
        </w:tc>
        <w:tc>
          <w:tcPr>
            <w:tcW w:w="500" w:type="pct"/>
            <w:noWrap/>
            <w:hideMark/>
          </w:tcPr>
          <w:p w:rsidR="0001276C" w:rsidRPr="0001276C" w:rsidRDefault="0001276C" w:rsidP="0001276C">
            <w:pPr>
              <w:spacing w:before="0" w:after="0" w:line="240" w:lineRule="auto"/>
            </w:pPr>
            <w:r w:rsidRPr="0001276C">
              <w:t>621700</w:t>
            </w:r>
          </w:p>
        </w:tc>
        <w:tc>
          <w:tcPr>
            <w:tcW w:w="500" w:type="pct"/>
            <w:noWrap/>
            <w:hideMark/>
          </w:tcPr>
          <w:p w:rsidR="0001276C" w:rsidRPr="0001276C" w:rsidRDefault="0001276C" w:rsidP="0001276C">
            <w:pPr>
              <w:spacing w:before="0" w:after="0" w:line="240" w:lineRule="auto"/>
            </w:pPr>
            <w:r w:rsidRPr="0001276C">
              <w:t>776587</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2438</w:t>
            </w:r>
          </w:p>
        </w:tc>
        <w:tc>
          <w:tcPr>
            <w:tcW w:w="364"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L</w:t>
            </w:r>
          </w:p>
        </w:tc>
        <w:tc>
          <w:tcPr>
            <w:tcW w:w="543" w:type="pct"/>
            <w:noWrap/>
            <w:hideMark/>
          </w:tcPr>
          <w:p w:rsidR="0001276C" w:rsidRPr="0001276C" w:rsidRDefault="0001276C" w:rsidP="0001276C">
            <w:pPr>
              <w:spacing w:before="0" w:after="0" w:line="240" w:lineRule="auto"/>
            </w:pPr>
            <w:r w:rsidRPr="0001276C">
              <w:t>L</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64</w:t>
            </w:r>
          </w:p>
        </w:tc>
        <w:tc>
          <w:tcPr>
            <w:tcW w:w="1133" w:type="pct"/>
            <w:noWrap/>
            <w:hideMark/>
          </w:tcPr>
          <w:p w:rsidR="0001276C" w:rsidRPr="0001276C" w:rsidRDefault="0001276C" w:rsidP="0001276C">
            <w:pPr>
              <w:spacing w:before="0" w:after="0" w:line="240" w:lineRule="auto"/>
            </w:pPr>
            <w:r w:rsidRPr="0001276C">
              <w:t>Ali_W._3</w:t>
            </w:r>
          </w:p>
        </w:tc>
        <w:tc>
          <w:tcPr>
            <w:tcW w:w="500" w:type="pct"/>
            <w:noWrap/>
            <w:hideMark/>
          </w:tcPr>
          <w:p w:rsidR="0001276C" w:rsidRPr="0001276C" w:rsidRDefault="0001276C" w:rsidP="0001276C">
            <w:pPr>
              <w:spacing w:before="0" w:after="0" w:line="240" w:lineRule="auto"/>
            </w:pPr>
            <w:r w:rsidRPr="0001276C">
              <w:t>593841</w:t>
            </w:r>
          </w:p>
        </w:tc>
        <w:tc>
          <w:tcPr>
            <w:tcW w:w="500" w:type="pct"/>
            <w:noWrap/>
            <w:hideMark/>
          </w:tcPr>
          <w:p w:rsidR="0001276C" w:rsidRPr="0001276C" w:rsidRDefault="0001276C" w:rsidP="0001276C">
            <w:pPr>
              <w:spacing w:before="0" w:after="0" w:line="240" w:lineRule="auto"/>
            </w:pPr>
            <w:r w:rsidRPr="0001276C">
              <w:t>799558</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2437</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H</w:t>
            </w:r>
          </w:p>
        </w:tc>
        <w:tc>
          <w:tcPr>
            <w:tcW w:w="543" w:type="pct"/>
            <w:noWrap/>
            <w:hideMark/>
          </w:tcPr>
          <w:p w:rsidR="0001276C" w:rsidRPr="0001276C" w:rsidRDefault="0001276C" w:rsidP="0001276C">
            <w:pPr>
              <w:spacing w:before="0" w:after="0" w:line="240" w:lineRule="auto"/>
            </w:pPr>
            <w:r w:rsidRPr="0001276C">
              <w:t>H</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lastRenderedPageBreak/>
              <w:t>65</w:t>
            </w:r>
          </w:p>
        </w:tc>
        <w:tc>
          <w:tcPr>
            <w:tcW w:w="1133" w:type="pct"/>
            <w:noWrap/>
            <w:hideMark/>
          </w:tcPr>
          <w:p w:rsidR="0001276C" w:rsidRPr="0001276C" w:rsidRDefault="0001276C" w:rsidP="0001276C">
            <w:pPr>
              <w:spacing w:before="0" w:after="0" w:line="240" w:lineRule="auto"/>
            </w:pPr>
            <w:r w:rsidRPr="0001276C">
              <w:t>Elebdu VI 23</w:t>
            </w:r>
          </w:p>
        </w:tc>
        <w:tc>
          <w:tcPr>
            <w:tcW w:w="500" w:type="pct"/>
            <w:noWrap/>
            <w:hideMark/>
          </w:tcPr>
          <w:p w:rsidR="0001276C" w:rsidRPr="0001276C" w:rsidRDefault="0001276C" w:rsidP="0001276C">
            <w:pPr>
              <w:spacing w:before="0" w:after="0" w:line="240" w:lineRule="auto"/>
            </w:pPr>
            <w:r w:rsidRPr="0001276C">
              <w:t>601205</w:t>
            </w:r>
          </w:p>
        </w:tc>
        <w:tc>
          <w:tcPr>
            <w:tcW w:w="500" w:type="pct"/>
            <w:noWrap/>
            <w:hideMark/>
          </w:tcPr>
          <w:p w:rsidR="0001276C" w:rsidRPr="0001276C" w:rsidRDefault="0001276C" w:rsidP="0001276C">
            <w:pPr>
              <w:spacing w:before="0" w:after="0" w:line="240" w:lineRule="auto"/>
            </w:pPr>
            <w:r w:rsidRPr="0001276C">
              <w:t>797730</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2435</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H</w:t>
            </w:r>
          </w:p>
        </w:tc>
        <w:tc>
          <w:tcPr>
            <w:tcW w:w="543" w:type="pct"/>
            <w:noWrap/>
            <w:hideMark/>
          </w:tcPr>
          <w:p w:rsidR="0001276C" w:rsidRPr="0001276C" w:rsidRDefault="0001276C" w:rsidP="0001276C">
            <w:pPr>
              <w:spacing w:before="0" w:after="0" w:line="240" w:lineRule="auto"/>
            </w:pPr>
            <w:r w:rsidRPr="0001276C">
              <w:t>H</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66</w:t>
            </w:r>
          </w:p>
        </w:tc>
        <w:tc>
          <w:tcPr>
            <w:tcW w:w="1133" w:type="pct"/>
            <w:noWrap/>
            <w:hideMark/>
          </w:tcPr>
          <w:p w:rsidR="0001276C" w:rsidRPr="0001276C" w:rsidRDefault="0001276C" w:rsidP="0001276C">
            <w:pPr>
              <w:spacing w:before="0" w:after="0" w:line="240" w:lineRule="auto"/>
            </w:pPr>
            <w:r w:rsidRPr="0001276C">
              <w:t>Robe_NCA1</w:t>
            </w:r>
          </w:p>
        </w:tc>
        <w:tc>
          <w:tcPr>
            <w:tcW w:w="500" w:type="pct"/>
            <w:noWrap/>
            <w:hideMark/>
          </w:tcPr>
          <w:p w:rsidR="0001276C" w:rsidRPr="0001276C" w:rsidRDefault="0001276C" w:rsidP="0001276C">
            <w:pPr>
              <w:spacing w:before="0" w:after="0" w:line="240" w:lineRule="auto"/>
            </w:pPr>
            <w:r w:rsidRPr="0001276C">
              <w:t>608594</w:t>
            </w:r>
          </w:p>
        </w:tc>
        <w:tc>
          <w:tcPr>
            <w:tcW w:w="500" w:type="pct"/>
            <w:noWrap/>
            <w:hideMark/>
          </w:tcPr>
          <w:p w:rsidR="0001276C" w:rsidRPr="0001276C" w:rsidRDefault="0001276C" w:rsidP="0001276C">
            <w:pPr>
              <w:spacing w:before="0" w:after="0" w:line="240" w:lineRule="auto"/>
            </w:pPr>
            <w:r w:rsidRPr="0001276C">
              <w:t>784847</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2429</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H</w:t>
            </w:r>
          </w:p>
        </w:tc>
        <w:tc>
          <w:tcPr>
            <w:tcW w:w="543" w:type="pct"/>
            <w:noWrap/>
            <w:hideMark/>
          </w:tcPr>
          <w:p w:rsidR="0001276C" w:rsidRPr="0001276C" w:rsidRDefault="0001276C" w:rsidP="0001276C">
            <w:pPr>
              <w:spacing w:before="0" w:after="0" w:line="240" w:lineRule="auto"/>
            </w:pPr>
            <w:r w:rsidRPr="0001276C">
              <w:t>H</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67</w:t>
            </w:r>
          </w:p>
        </w:tc>
        <w:tc>
          <w:tcPr>
            <w:tcW w:w="1133" w:type="pct"/>
            <w:noWrap/>
            <w:hideMark/>
          </w:tcPr>
          <w:p w:rsidR="0001276C" w:rsidRPr="0001276C" w:rsidRDefault="0001276C" w:rsidP="0001276C">
            <w:pPr>
              <w:spacing w:before="0" w:after="0" w:line="240" w:lineRule="auto"/>
            </w:pPr>
            <w:r w:rsidRPr="0001276C">
              <w:t>B.A.I.R</w:t>
            </w:r>
          </w:p>
        </w:tc>
        <w:tc>
          <w:tcPr>
            <w:tcW w:w="500" w:type="pct"/>
            <w:noWrap/>
            <w:hideMark/>
          </w:tcPr>
          <w:p w:rsidR="0001276C" w:rsidRPr="0001276C" w:rsidRDefault="0001276C" w:rsidP="0001276C">
            <w:pPr>
              <w:spacing w:before="0" w:after="0" w:line="240" w:lineRule="auto"/>
            </w:pPr>
            <w:r w:rsidRPr="0001276C">
              <w:t>610431</w:t>
            </w:r>
          </w:p>
        </w:tc>
        <w:tc>
          <w:tcPr>
            <w:tcW w:w="500" w:type="pct"/>
            <w:noWrap/>
            <w:hideMark/>
          </w:tcPr>
          <w:p w:rsidR="0001276C" w:rsidRPr="0001276C" w:rsidRDefault="0001276C" w:rsidP="0001276C">
            <w:pPr>
              <w:spacing w:before="0" w:after="0" w:line="240" w:lineRule="auto"/>
            </w:pPr>
            <w:r w:rsidRPr="0001276C">
              <w:t>786693</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2428.7</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H</w:t>
            </w:r>
          </w:p>
        </w:tc>
        <w:tc>
          <w:tcPr>
            <w:tcW w:w="543" w:type="pct"/>
            <w:noWrap/>
            <w:hideMark/>
          </w:tcPr>
          <w:p w:rsidR="0001276C" w:rsidRPr="0001276C" w:rsidRDefault="0001276C" w:rsidP="0001276C">
            <w:pPr>
              <w:spacing w:before="0" w:after="0" w:line="240" w:lineRule="auto"/>
            </w:pPr>
            <w:r w:rsidRPr="0001276C">
              <w:t>H</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68</w:t>
            </w:r>
          </w:p>
        </w:tc>
        <w:tc>
          <w:tcPr>
            <w:tcW w:w="1133" w:type="pct"/>
            <w:noWrap/>
            <w:hideMark/>
          </w:tcPr>
          <w:p w:rsidR="0001276C" w:rsidRPr="0001276C" w:rsidRDefault="0001276C" w:rsidP="0001276C">
            <w:pPr>
              <w:spacing w:before="0" w:after="0" w:line="240" w:lineRule="auto"/>
            </w:pPr>
            <w:r w:rsidRPr="0001276C">
              <w:t>Selka Oda_a</w:t>
            </w:r>
          </w:p>
        </w:tc>
        <w:tc>
          <w:tcPr>
            <w:tcW w:w="500" w:type="pct"/>
            <w:noWrap/>
            <w:hideMark/>
          </w:tcPr>
          <w:p w:rsidR="0001276C" w:rsidRPr="0001276C" w:rsidRDefault="0001276C" w:rsidP="0001276C">
            <w:pPr>
              <w:spacing w:before="0" w:after="0" w:line="240" w:lineRule="auto"/>
            </w:pPr>
            <w:r w:rsidRPr="0001276C">
              <w:t>633411</w:t>
            </w:r>
          </w:p>
        </w:tc>
        <w:tc>
          <w:tcPr>
            <w:tcW w:w="500" w:type="pct"/>
            <w:noWrap/>
            <w:hideMark/>
          </w:tcPr>
          <w:p w:rsidR="0001276C" w:rsidRPr="0001276C" w:rsidRDefault="0001276C" w:rsidP="0001276C">
            <w:pPr>
              <w:spacing w:before="0" w:after="0" w:line="240" w:lineRule="auto"/>
            </w:pPr>
            <w:r w:rsidRPr="0001276C">
              <w:t>783903</w:t>
            </w:r>
          </w:p>
        </w:tc>
        <w:tc>
          <w:tcPr>
            <w:tcW w:w="519" w:type="pct"/>
            <w:noWrap/>
            <w:hideMark/>
          </w:tcPr>
          <w:p w:rsidR="0001276C" w:rsidRPr="0001276C" w:rsidRDefault="0001276C" w:rsidP="0001276C">
            <w:pPr>
              <w:spacing w:before="0" w:after="0" w:line="240" w:lineRule="auto"/>
            </w:pPr>
            <w:r w:rsidRPr="0001276C">
              <w:t>2</w:t>
            </w:r>
          </w:p>
        </w:tc>
        <w:tc>
          <w:tcPr>
            <w:tcW w:w="506" w:type="pct"/>
            <w:noWrap/>
            <w:hideMark/>
          </w:tcPr>
          <w:p w:rsidR="0001276C" w:rsidRPr="0001276C" w:rsidRDefault="0001276C" w:rsidP="0001276C">
            <w:pPr>
              <w:spacing w:before="0" w:after="0" w:line="240" w:lineRule="auto"/>
            </w:pPr>
            <w:r w:rsidRPr="0001276C">
              <w:t>2427</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M</w:t>
            </w:r>
          </w:p>
        </w:tc>
        <w:tc>
          <w:tcPr>
            <w:tcW w:w="543" w:type="pct"/>
            <w:noWrap/>
            <w:hideMark/>
          </w:tcPr>
          <w:p w:rsidR="0001276C" w:rsidRPr="0001276C" w:rsidRDefault="0001276C" w:rsidP="0001276C">
            <w:pPr>
              <w:spacing w:before="0" w:after="0" w:line="240" w:lineRule="auto"/>
            </w:pPr>
            <w:r w:rsidRPr="0001276C">
              <w:t>M</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69</w:t>
            </w:r>
          </w:p>
        </w:tc>
        <w:tc>
          <w:tcPr>
            <w:tcW w:w="1133" w:type="pct"/>
            <w:noWrap/>
            <w:hideMark/>
          </w:tcPr>
          <w:p w:rsidR="0001276C" w:rsidRPr="0001276C" w:rsidRDefault="0001276C" w:rsidP="0001276C">
            <w:pPr>
              <w:spacing w:before="0" w:after="0" w:line="240" w:lineRule="auto"/>
            </w:pPr>
            <w:r w:rsidRPr="0001276C">
              <w:t>Derara</w:t>
            </w:r>
          </w:p>
        </w:tc>
        <w:tc>
          <w:tcPr>
            <w:tcW w:w="500" w:type="pct"/>
            <w:noWrap/>
            <w:hideMark/>
          </w:tcPr>
          <w:p w:rsidR="0001276C" w:rsidRPr="0001276C" w:rsidRDefault="0001276C" w:rsidP="0001276C">
            <w:pPr>
              <w:spacing w:before="0" w:after="0" w:line="240" w:lineRule="auto"/>
            </w:pPr>
            <w:r w:rsidRPr="0001276C">
              <w:t>621700</w:t>
            </w:r>
          </w:p>
        </w:tc>
        <w:tc>
          <w:tcPr>
            <w:tcW w:w="500" w:type="pct"/>
            <w:noWrap/>
            <w:hideMark/>
          </w:tcPr>
          <w:p w:rsidR="0001276C" w:rsidRPr="0001276C" w:rsidRDefault="0001276C" w:rsidP="0001276C">
            <w:pPr>
              <w:spacing w:before="0" w:after="0" w:line="240" w:lineRule="auto"/>
            </w:pPr>
            <w:r w:rsidRPr="0001276C">
              <w:t>776870</w:t>
            </w:r>
          </w:p>
        </w:tc>
        <w:tc>
          <w:tcPr>
            <w:tcW w:w="519" w:type="pct"/>
            <w:noWrap/>
            <w:hideMark/>
          </w:tcPr>
          <w:p w:rsidR="0001276C" w:rsidRPr="0001276C" w:rsidRDefault="0001276C" w:rsidP="0001276C">
            <w:pPr>
              <w:spacing w:before="0" w:after="0" w:line="240" w:lineRule="auto"/>
            </w:pPr>
            <w:r w:rsidRPr="0001276C">
              <w:t>1.5</w:t>
            </w:r>
          </w:p>
        </w:tc>
        <w:tc>
          <w:tcPr>
            <w:tcW w:w="506" w:type="pct"/>
            <w:noWrap/>
            <w:hideMark/>
          </w:tcPr>
          <w:p w:rsidR="0001276C" w:rsidRPr="0001276C" w:rsidRDefault="0001276C" w:rsidP="0001276C">
            <w:pPr>
              <w:spacing w:before="0" w:after="0" w:line="240" w:lineRule="auto"/>
            </w:pPr>
            <w:r w:rsidRPr="0001276C">
              <w:t>2423</w:t>
            </w:r>
          </w:p>
        </w:tc>
        <w:tc>
          <w:tcPr>
            <w:tcW w:w="364"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M</w:t>
            </w:r>
          </w:p>
        </w:tc>
        <w:tc>
          <w:tcPr>
            <w:tcW w:w="543" w:type="pct"/>
            <w:noWrap/>
            <w:hideMark/>
          </w:tcPr>
          <w:p w:rsidR="0001276C" w:rsidRPr="0001276C" w:rsidRDefault="0001276C" w:rsidP="0001276C">
            <w:pPr>
              <w:spacing w:before="0" w:after="0" w:line="240" w:lineRule="auto"/>
            </w:pPr>
            <w:r w:rsidRPr="0001276C">
              <w:t>M</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70</w:t>
            </w:r>
          </w:p>
        </w:tc>
        <w:tc>
          <w:tcPr>
            <w:tcW w:w="1133" w:type="pct"/>
            <w:noWrap/>
            <w:hideMark/>
          </w:tcPr>
          <w:p w:rsidR="0001276C" w:rsidRPr="0001276C" w:rsidRDefault="0001276C" w:rsidP="0001276C">
            <w:pPr>
              <w:spacing w:before="0" w:after="0" w:line="240" w:lineRule="auto"/>
            </w:pPr>
            <w:r w:rsidRPr="0001276C">
              <w:t>Asenberara</w:t>
            </w:r>
          </w:p>
        </w:tc>
        <w:tc>
          <w:tcPr>
            <w:tcW w:w="500" w:type="pct"/>
            <w:noWrap/>
            <w:hideMark/>
          </w:tcPr>
          <w:p w:rsidR="0001276C" w:rsidRPr="0001276C" w:rsidRDefault="0001276C" w:rsidP="0001276C">
            <w:pPr>
              <w:spacing w:before="0" w:after="0" w:line="240" w:lineRule="auto"/>
            </w:pPr>
            <w:r w:rsidRPr="0001276C">
              <w:t>629561</w:t>
            </w:r>
          </w:p>
        </w:tc>
        <w:tc>
          <w:tcPr>
            <w:tcW w:w="500" w:type="pct"/>
            <w:noWrap/>
            <w:hideMark/>
          </w:tcPr>
          <w:p w:rsidR="0001276C" w:rsidRPr="0001276C" w:rsidRDefault="0001276C" w:rsidP="0001276C">
            <w:pPr>
              <w:spacing w:before="0" w:after="0" w:line="240" w:lineRule="auto"/>
            </w:pPr>
            <w:r w:rsidRPr="0001276C">
              <w:t>794041</w:t>
            </w:r>
          </w:p>
        </w:tc>
        <w:tc>
          <w:tcPr>
            <w:tcW w:w="519" w:type="pct"/>
            <w:noWrap/>
            <w:hideMark/>
          </w:tcPr>
          <w:p w:rsidR="0001276C" w:rsidRPr="0001276C" w:rsidRDefault="0001276C" w:rsidP="0001276C">
            <w:pPr>
              <w:spacing w:before="0" w:after="0" w:line="240" w:lineRule="auto"/>
            </w:pPr>
            <w:r w:rsidRPr="0001276C">
              <w:t>0.05</w:t>
            </w:r>
          </w:p>
        </w:tc>
        <w:tc>
          <w:tcPr>
            <w:tcW w:w="506" w:type="pct"/>
            <w:noWrap/>
            <w:hideMark/>
          </w:tcPr>
          <w:p w:rsidR="0001276C" w:rsidRPr="0001276C" w:rsidRDefault="0001276C" w:rsidP="0001276C">
            <w:pPr>
              <w:spacing w:before="0" w:after="0" w:line="240" w:lineRule="auto"/>
            </w:pPr>
            <w:r w:rsidRPr="0001276C">
              <w:t>2362</w:t>
            </w:r>
          </w:p>
        </w:tc>
        <w:tc>
          <w:tcPr>
            <w:tcW w:w="364" w:type="pct"/>
            <w:noWrap/>
            <w:hideMark/>
          </w:tcPr>
          <w:p w:rsidR="0001276C" w:rsidRPr="0001276C" w:rsidRDefault="0001276C" w:rsidP="0001276C">
            <w:pPr>
              <w:spacing w:before="0" w:after="0" w:line="240" w:lineRule="auto"/>
            </w:pPr>
            <w:r w:rsidRPr="0001276C">
              <w:t>SP</w:t>
            </w:r>
          </w:p>
        </w:tc>
        <w:tc>
          <w:tcPr>
            <w:tcW w:w="543" w:type="pct"/>
            <w:noWrap/>
            <w:hideMark/>
          </w:tcPr>
          <w:p w:rsidR="0001276C" w:rsidRPr="0001276C" w:rsidRDefault="0001276C" w:rsidP="0001276C">
            <w:pPr>
              <w:spacing w:before="0" w:after="0" w:line="240" w:lineRule="auto"/>
            </w:pPr>
            <w:r w:rsidRPr="0001276C">
              <w:t>L</w:t>
            </w:r>
          </w:p>
        </w:tc>
        <w:tc>
          <w:tcPr>
            <w:tcW w:w="543" w:type="pct"/>
            <w:noWrap/>
            <w:hideMark/>
          </w:tcPr>
          <w:p w:rsidR="0001276C" w:rsidRPr="0001276C" w:rsidRDefault="0001276C" w:rsidP="0001276C">
            <w:pPr>
              <w:spacing w:before="0" w:after="0" w:line="240" w:lineRule="auto"/>
            </w:pPr>
            <w:r w:rsidRPr="0001276C">
              <w:t>L</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71</w:t>
            </w:r>
          </w:p>
        </w:tc>
        <w:tc>
          <w:tcPr>
            <w:tcW w:w="1133" w:type="pct"/>
            <w:noWrap/>
            <w:hideMark/>
          </w:tcPr>
          <w:p w:rsidR="0001276C" w:rsidRPr="0001276C" w:rsidRDefault="0001276C" w:rsidP="0001276C">
            <w:pPr>
              <w:spacing w:before="0" w:after="0" w:line="240" w:lineRule="auto"/>
            </w:pPr>
            <w:r w:rsidRPr="0001276C">
              <w:t>Reteba No 2</w:t>
            </w:r>
          </w:p>
        </w:tc>
        <w:tc>
          <w:tcPr>
            <w:tcW w:w="500" w:type="pct"/>
            <w:noWrap/>
            <w:hideMark/>
          </w:tcPr>
          <w:p w:rsidR="0001276C" w:rsidRPr="0001276C" w:rsidRDefault="0001276C" w:rsidP="0001276C">
            <w:pPr>
              <w:spacing w:before="0" w:after="0" w:line="240" w:lineRule="auto"/>
            </w:pPr>
            <w:r w:rsidRPr="0001276C">
              <w:t>590760</w:t>
            </w:r>
          </w:p>
        </w:tc>
        <w:tc>
          <w:tcPr>
            <w:tcW w:w="500" w:type="pct"/>
            <w:noWrap/>
            <w:hideMark/>
          </w:tcPr>
          <w:p w:rsidR="0001276C" w:rsidRPr="0001276C" w:rsidRDefault="0001276C" w:rsidP="0001276C">
            <w:pPr>
              <w:spacing w:before="0" w:after="0" w:line="240" w:lineRule="auto"/>
            </w:pPr>
            <w:r w:rsidRPr="0001276C">
              <w:t>806628</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2359</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H</w:t>
            </w:r>
          </w:p>
        </w:tc>
        <w:tc>
          <w:tcPr>
            <w:tcW w:w="543" w:type="pct"/>
            <w:noWrap/>
            <w:hideMark/>
          </w:tcPr>
          <w:p w:rsidR="0001276C" w:rsidRPr="0001276C" w:rsidRDefault="0001276C" w:rsidP="0001276C">
            <w:pPr>
              <w:spacing w:before="0" w:after="0" w:line="240" w:lineRule="auto"/>
            </w:pPr>
            <w:r w:rsidRPr="0001276C">
              <w:t>H</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72</w:t>
            </w:r>
          </w:p>
        </w:tc>
        <w:tc>
          <w:tcPr>
            <w:tcW w:w="1133" w:type="pct"/>
            <w:noWrap/>
            <w:hideMark/>
          </w:tcPr>
          <w:p w:rsidR="0001276C" w:rsidRPr="0001276C" w:rsidRDefault="0001276C" w:rsidP="0001276C">
            <w:pPr>
              <w:spacing w:before="0" w:after="0" w:line="240" w:lineRule="auto"/>
            </w:pPr>
            <w:r w:rsidRPr="0001276C">
              <w:t>Elanigdge_1</w:t>
            </w:r>
          </w:p>
        </w:tc>
        <w:tc>
          <w:tcPr>
            <w:tcW w:w="500" w:type="pct"/>
            <w:noWrap/>
            <w:hideMark/>
          </w:tcPr>
          <w:p w:rsidR="0001276C" w:rsidRPr="0001276C" w:rsidRDefault="0001276C" w:rsidP="0001276C">
            <w:pPr>
              <w:spacing w:before="0" w:after="0" w:line="240" w:lineRule="auto"/>
            </w:pPr>
            <w:r w:rsidRPr="0001276C">
              <w:t>594260</w:t>
            </w:r>
          </w:p>
        </w:tc>
        <w:tc>
          <w:tcPr>
            <w:tcW w:w="500" w:type="pct"/>
            <w:noWrap/>
            <w:hideMark/>
          </w:tcPr>
          <w:p w:rsidR="0001276C" w:rsidRPr="0001276C" w:rsidRDefault="0001276C" w:rsidP="0001276C">
            <w:pPr>
              <w:spacing w:before="0" w:after="0" w:line="240" w:lineRule="auto"/>
            </w:pPr>
            <w:r w:rsidRPr="0001276C">
              <w:t>803315</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2358</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M</w:t>
            </w:r>
          </w:p>
        </w:tc>
        <w:tc>
          <w:tcPr>
            <w:tcW w:w="543" w:type="pct"/>
            <w:noWrap/>
            <w:hideMark/>
          </w:tcPr>
          <w:p w:rsidR="0001276C" w:rsidRPr="0001276C" w:rsidRDefault="0001276C" w:rsidP="0001276C">
            <w:pPr>
              <w:spacing w:before="0" w:after="0" w:line="240" w:lineRule="auto"/>
            </w:pPr>
            <w:r w:rsidRPr="0001276C">
              <w:t>M</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73</w:t>
            </w:r>
          </w:p>
        </w:tc>
        <w:tc>
          <w:tcPr>
            <w:tcW w:w="1133" w:type="pct"/>
            <w:noWrap/>
            <w:hideMark/>
          </w:tcPr>
          <w:p w:rsidR="0001276C" w:rsidRPr="0001276C" w:rsidRDefault="0001276C" w:rsidP="0001276C">
            <w:pPr>
              <w:spacing w:before="0" w:after="0" w:line="240" w:lineRule="auto"/>
            </w:pPr>
            <w:r w:rsidRPr="0001276C">
              <w:t>Sebaja G._2</w:t>
            </w:r>
          </w:p>
        </w:tc>
        <w:tc>
          <w:tcPr>
            <w:tcW w:w="500" w:type="pct"/>
            <w:noWrap/>
            <w:hideMark/>
          </w:tcPr>
          <w:p w:rsidR="0001276C" w:rsidRPr="0001276C" w:rsidRDefault="0001276C" w:rsidP="0001276C">
            <w:pPr>
              <w:spacing w:before="0" w:after="0" w:line="240" w:lineRule="auto"/>
            </w:pPr>
            <w:r w:rsidRPr="0001276C">
              <w:t>590614</w:t>
            </w:r>
          </w:p>
        </w:tc>
        <w:tc>
          <w:tcPr>
            <w:tcW w:w="500" w:type="pct"/>
            <w:noWrap/>
            <w:hideMark/>
          </w:tcPr>
          <w:p w:rsidR="0001276C" w:rsidRPr="0001276C" w:rsidRDefault="0001276C" w:rsidP="0001276C">
            <w:pPr>
              <w:spacing w:before="0" w:after="0" w:line="240" w:lineRule="auto"/>
            </w:pPr>
            <w:r w:rsidRPr="0001276C">
              <w:t>807842</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2354</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H</w:t>
            </w:r>
          </w:p>
        </w:tc>
        <w:tc>
          <w:tcPr>
            <w:tcW w:w="543" w:type="pct"/>
            <w:noWrap/>
            <w:hideMark/>
          </w:tcPr>
          <w:p w:rsidR="0001276C" w:rsidRPr="0001276C" w:rsidRDefault="0001276C" w:rsidP="0001276C">
            <w:pPr>
              <w:spacing w:before="0" w:after="0" w:line="240" w:lineRule="auto"/>
            </w:pPr>
            <w:r w:rsidRPr="0001276C">
              <w:t>H</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74</w:t>
            </w:r>
          </w:p>
        </w:tc>
        <w:tc>
          <w:tcPr>
            <w:tcW w:w="1133" w:type="pct"/>
            <w:noWrap/>
            <w:hideMark/>
          </w:tcPr>
          <w:p w:rsidR="0001276C" w:rsidRPr="0001276C" w:rsidRDefault="0001276C" w:rsidP="0001276C">
            <w:pPr>
              <w:spacing w:before="0" w:after="0" w:line="240" w:lineRule="auto"/>
            </w:pPr>
            <w:r w:rsidRPr="0001276C">
              <w:t>Reteba No 1</w:t>
            </w:r>
          </w:p>
        </w:tc>
        <w:tc>
          <w:tcPr>
            <w:tcW w:w="500" w:type="pct"/>
            <w:noWrap/>
            <w:hideMark/>
          </w:tcPr>
          <w:p w:rsidR="0001276C" w:rsidRPr="0001276C" w:rsidRDefault="0001276C" w:rsidP="0001276C">
            <w:pPr>
              <w:spacing w:before="0" w:after="0" w:line="240" w:lineRule="auto"/>
            </w:pPr>
            <w:r w:rsidRPr="0001276C">
              <w:t>590784</w:t>
            </w:r>
          </w:p>
        </w:tc>
        <w:tc>
          <w:tcPr>
            <w:tcW w:w="500" w:type="pct"/>
            <w:noWrap/>
            <w:hideMark/>
          </w:tcPr>
          <w:p w:rsidR="0001276C" w:rsidRPr="0001276C" w:rsidRDefault="0001276C" w:rsidP="0001276C">
            <w:pPr>
              <w:spacing w:before="0" w:after="0" w:line="240" w:lineRule="auto"/>
            </w:pPr>
            <w:r w:rsidRPr="0001276C">
              <w:t>805805</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2353</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M</w:t>
            </w:r>
          </w:p>
        </w:tc>
        <w:tc>
          <w:tcPr>
            <w:tcW w:w="543" w:type="pct"/>
            <w:noWrap/>
            <w:hideMark/>
          </w:tcPr>
          <w:p w:rsidR="0001276C" w:rsidRPr="0001276C" w:rsidRDefault="0001276C" w:rsidP="0001276C">
            <w:pPr>
              <w:spacing w:before="0" w:after="0" w:line="240" w:lineRule="auto"/>
            </w:pPr>
            <w:r w:rsidRPr="0001276C">
              <w:t>M</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75</w:t>
            </w:r>
          </w:p>
        </w:tc>
        <w:tc>
          <w:tcPr>
            <w:tcW w:w="1133" w:type="pct"/>
            <w:noWrap/>
            <w:hideMark/>
          </w:tcPr>
          <w:p w:rsidR="0001276C" w:rsidRPr="0001276C" w:rsidRDefault="0001276C" w:rsidP="0001276C">
            <w:pPr>
              <w:spacing w:before="0" w:after="0" w:line="240" w:lineRule="auto"/>
            </w:pPr>
            <w:r w:rsidRPr="0001276C">
              <w:t>Sebaja G._5</w:t>
            </w:r>
          </w:p>
        </w:tc>
        <w:tc>
          <w:tcPr>
            <w:tcW w:w="500" w:type="pct"/>
            <w:noWrap/>
            <w:hideMark/>
          </w:tcPr>
          <w:p w:rsidR="0001276C" w:rsidRPr="0001276C" w:rsidRDefault="0001276C" w:rsidP="0001276C">
            <w:pPr>
              <w:spacing w:before="0" w:after="0" w:line="240" w:lineRule="auto"/>
            </w:pPr>
            <w:r w:rsidRPr="0001276C">
              <w:t>590991</w:t>
            </w:r>
          </w:p>
        </w:tc>
        <w:tc>
          <w:tcPr>
            <w:tcW w:w="500" w:type="pct"/>
            <w:noWrap/>
            <w:hideMark/>
          </w:tcPr>
          <w:p w:rsidR="0001276C" w:rsidRPr="0001276C" w:rsidRDefault="0001276C" w:rsidP="0001276C">
            <w:pPr>
              <w:spacing w:before="0" w:after="0" w:line="240" w:lineRule="auto"/>
            </w:pPr>
            <w:r w:rsidRPr="0001276C">
              <w:t>807454</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2345</w:t>
            </w:r>
          </w:p>
        </w:tc>
        <w:tc>
          <w:tcPr>
            <w:tcW w:w="364" w:type="pct"/>
            <w:noWrap/>
            <w:hideMark/>
          </w:tcPr>
          <w:p w:rsidR="0001276C" w:rsidRPr="0001276C" w:rsidRDefault="0001276C" w:rsidP="0001276C">
            <w:pPr>
              <w:spacing w:before="0" w:after="0" w:line="240" w:lineRule="auto"/>
            </w:pPr>
            <w:r w:rsidRPr="0001276C">
              <w:t>SP</w:t>
            </w:r>
          </w:p>
        </w:tc>
        <w:tc>
          <w:tcPr>
            <w:tcW w:w="543" w:type="pct"/>
            <w:noWrap/>
            <w:hideMark/>
          </w:tcPr>
          <w:p w:rsidR="0001276C" w:rsidRPr="0001276C" w:rsidRDefault="0001276C" w:rsidP="0001276C">
            <w:pPr>
              <w:spacing w:before="0" w:after="0" w:line="240" w:lineRule="auto"/>
            </w:pPr>
            <w:r w:rsidRPr="0001276C">
              <w:t>H</w:t>
            </w:r>
          </w:p>
        </w:tc>
        <w:tc>
          <w:tcPr>
            <w:tcW w:w="543" w:type="pct"/>
            <w:noWrap/>
            <w:hideMark/>
          </w:tcPr>
          <w:p w:rsidR="0001276C" w:rsidRPr="0001276C" w:rsidRDefault="0001276C" w:rsidP="0001276C">
            <w:pPr>
              <w:spacing w:before="0" w:after="0" w:line="240" w:lineRule="auto"/>
            </w:pPr>
            <w:r w:rsidRPr="0001276C">
              <w:t>H</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76</w:t>
            </w:r>
          </w:p>
        </w:tc>
        <w:tc>
          <w:tcPr>
            <w:tcW w:w="1133" w:type="pct"/>
            <w:noWrap/>
            <w:hideMark/>
          </w:tcPr>
          <w:p w:rsidR="0001276C" w:rsidRPr="0001276C" w:rsidRDefault="0001276C" w:rsidP="0001276C">
            <w:pPr>
              <w:spacing w:before="0" w:after="0" w:line="240" w:lineRule="auto"/>
            </w:pPr>
            <w:r w:rsidRPr="0001276C">
              <w:t>Assano_029</w:t>
            </w:r>
          </w:p>
        </w:tc>
        <w:tc>
          <w:tcPr>
            <w:tcW w:w="500" w:type="pct"/>
            <w:noWrap/>
            <w:hideMark/>
          </w:tcPr>
          <w:p w:rsidR="0001276C" w:rsidRPr="0001276C" w:rsidRDefault="0001276C" w:rsidP="0001276C">
            <w:pPr>
              <w:spacing w:before="0" w:after="0" w:line="240" w:lineRule="auto"/>
            </w:pPr>
            <w:r w:rsidRPr="0001276C">
              <w:t>591994</w:t>
            </w:r>
          </w:p>
        </w:tc>
        <w:tc>
          <w:tcPr>
            <w:tcW w:w="500" w:type="pct"/>
            <w:noWrap/>
            <w:hideMark/>
          </w:tcPr>
          <w:p w:rsidR="0001276C" w:rsidRPr="0001276C" w:rsidRDefault="0001276C" w:rsidP="0001276C">
            <w:pPr>
              <w:spacing w:before="0" w:after="0" w:line="240" w:lineRule="auto"/>
            </w:pPr>
            <w:r w:rsidRPr="0001276C">
              <w:t>803239</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2344</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H</w:t>
            </w:r>
          </w:p>
        </w:tc>
        <w:tc>
          <w:tcPr>
            <w:tcW w:w="543" w:type="pct"/>
            <w:noWrap/>
            <w:hideMark/>
          </w:tcPr>
          <w:p w:rsidR="0001276C" w:rsidRPr="0001276C" w:rsidRDefault="0001276C" w:rsidP="0001276C">
            <w:pPr>
              <w:spacing w:before="0" w:after="0" w:line="240" w:lineRule="auto"/>
            </w:pPr>
            <w:r w:rsidRPr="0001276C">
              <w:t>H</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77</w:t>
            </w:r>
          </w:p>
        </w:tc>
        <w:tc>
          <w:tcPr>
            <w:tcW w:w="1133" w:type="pct"/>
            <w:noWrap/>
            <w:hideMark/>
          </w:tcPr>
          <w:p w:rsidR="0001276C" w:rsidRPr="0001276C" w:rsidRDefault="0001276C" w:rsidP="0001276C">
            <w:pPr>
              <w:spacing w:before="0" w:after="0" w:line="240" w:lineRule="auto"/>
            </w:pPr>
            <w:r w:rsidRPr="0001276C">
              <w:t>New Selka_2</w:t>
            </w:r>
          </w:p>
        </w:tc>
        <w:tc>
          <w:tcPr>
            <w:tcW w:w="500" w:type="pct"/>
            <w:noWrap/>
            <w:hideMark/>
          </w:tcPr>
          <w:p w:rsidR="0001276C" w:rsidRPr="0001276C" w:rsidRDefault="0001276C" w:rsidP="0001276C">
            <w:pPr>
              <w:spacing w:before="0" w:after="0" w:line="240" w:lineRule="auto"/>
            </w:pPr>
            <w:r w:rsidRPr="0001276C">
              <w:t>632682</w:t>
            </w:r>
          </w:p>
        </w:tc>
        <w:tc>
          <w:tcPr>
            <w:tcW w:w="500" w:type="pct"/>
            <w:noWrap/>
            <w:hideMark/>
          </w:tcPr>
          <w:p w:rsidR="0001276C" w:rsidRPr="0001276C" w:rsidRDefault="0001276C" w:rsidP="0001276C">
            <w:pPr>
              <w:spacing w:before="0" w:after="0" w:line="240" w:lineRule="auto"/>
            </w:pPr>
            <w:r w:rsidRPr="0001276C">
              <w:t>783522</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2344</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H</w:t>
            </w:r>
          </w:p>
        </w:tc>
        <w:tc>
          <w:tcPr>
            <w:tcW w:w="543" w:type="pct"/>
            <w:noWrap/>
            <w:hideMark/>
          </w:tcPr>
          <w:p w:rsidR="0001276C" w:rsidRPr="0001276C" w:rsidRDefault="0001276C" w:rsidP="0001276C">
            <w:pPr>
              <w:spacing w:before="0" w:after="0" w:line="240" w:lineRule="auto"/>
            </w:pPr>
            <w:r w:rsidRPr="0001276C">
              <w:t>H</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78</w:t>
            </w:r>
          </w:p>
        </w:tc>
        <w:tc>
          <w:tcPr>
            <w:tcW w:w="1133" w:type="pct"/>
            <w:noWrap/>
            <w:hideMark/>
          </w:tcPr>
          <w:p w:rsidR="0001276C" w:rsidRPr="0001276C" w:rsidRDefault="0001276C" w:rsidP="0001276C">
            <w:pPr>
              <w:spacing w:before="0" w:after="0" w:line="240" w:lineRule="auto"/>
            </w:pPr>
            <w:r w:rsidRPr="0001276C">
              <w:t>AmijaHaro 5</w:t>
            </w:r>
          </w:p>
        </w:tc>
        <w:tc>
          <w:tcPr>
            <w:tcW w:w="500" w:type="pct"/>
            <w:noWrap/>
            <w:hideMark/>
          </w:tcPr>
          <w:p w:rsidR="0001276C" w:rsidRPr="0001276C" w:rsidRDefault="0001276C" w:rsidP="0001276C">
            <w:pPr>
              <w:spacing w:before="0" w:after="0" w:line="240" w:lineRule="auto"/>
            </w:pPr>
            <w:r w:rsidRPr="0001276C">
              <w:t>595664</w:t>
            </w:r>
          </w:p>
        </w:tc>
        <w:tc>
          <w:tcPr>
            <w:tcW w:w="500" w:type="pct"/>
            <w:noWrap/>
            <w:hideMark/>
          </w:tcPr>
          <w:p w:rsidR="0001276C" w:rsidRPr="0001276C" w:rsidRDefault="0001276C" w:rsidP="0001276C">
            <w:pPr>
              <w:spacing w:before="0" w:after="0" w:line="240" w:lineRule="auto"/>
            </w:pPr>
            <w:r w:rsidRPr="0001276C">
              <w:t>808774</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2318</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M</w:t>
            </w:r>
          </w:p>
        </w:tc>
        <w:tc>
          <w:tcPr>
            <w:tcW w:w="543" w:type="pct"/>
            <w:noWrap/>
            <w:hideMark/>
          </w:tcPr>
          <w:p w:rsidR="0001276C" w:rsidRPr="0001276C" w:rsidRDefault="0001276C" w:rsidP="0001276C">
            <w:pPr>
              <w:spacing w:before="0" w:after="0" w:line="240" w:lineRule="auto"/>
            </w:pPr>
            <w:r w:rsidRPr="0001276C">
              <w:t>M</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79</w:t>
            </w:r>
          </w:p>
        </w:tc>
        <w:tc>
          <w:tcPr>
            <w:tcW w:w="1133" w:type="pct"/>
            <w:noWrap/>
            <w:hideMark/>
          </w:tcPr>
          <w:p w:rsidR="0001276C" w:rsidRPr="0001276C" w:rsidRDefault="0001276C" w:rsidP="0001276C">
            <w:pPr>
              <w:spacing w:before="0" w:after="0" w:line="240" w:lineRule="auto"/>
            </w:pPr>
            <w:r w:rsidRPr="0001276C">
              <w:t>Abugure_08</w:t>
            </w:r>
          </w:p>
        </w:tc>
        <w:tc>
          <w:tcPr>
            <w:tcW w:w="500" w:type="pct"/>
            <w:noWrap/>
            <w:hideMark/>
          </w:tcPr>
          <w:p w:rsidR="0001276C" w:rsidRPr="0001276C" w:rsidRDefault="0001276C" w:rsidP="0001276C">
            <w:pPr>
              <w:spacing w:before="0" w:after="0" w:line="240" w:lineRule="auto"/>
            </w:pPr>
            <w:r w:rsidRPr="0001276C">
              <w:t>636127</w:t>
            </w:r>
          </w:p>
        </w:tc>
        <w:tc>
          <w:tcPr>
            <w:tcW w:w="500" w:type="pct"/>
            <w:noWrap/>
            <w:hideMark/>
          </w:tcPr>
          <w:p w:rsidR="0001276C" w:rsidRPr="0001276C" w:rsidRDefault="0001276C" w:rsidP="0001276C">
            <w:pPr>
              <w:spacing w:before="0" w:after="0" w:line="240" w:lineRule="auto"/>
            </w:pPr>
            <w:r w:rsidRPr="0001276C">
              <w:t>814396</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2270</w:t>
            </w:r>
          </w:p>
        </w:tc>
        <w:tc>
          <w:tcPr>
            <w:tcW w:w="364" w:type="pct"/>
            <w:noWrap/>
            <w:hideMark/>
          </w:tcPr>
          <w:p w:rsidR="0001276C" w:rsidRPr="0001276C" w:rsidRDefault="0001276C" w:rsidP="0001276C">
            <w:pPr>
              <w:spacing w:before="0" w:after="0" w:line="240" w:lineRule="auto"/>
            </w:pPr>
            <w:r w:rsidRPr="0001276C">
              <w:t>DW</w:t>
            </w:r>
          </w:p>
        </w:tc>
        <w:tc>
          <w:tcPr>
            <w:tcW w:w="543" w:type="pct"/>
            <w:noWrap/>
            <w:hideMark/>
          </w:tcPr>
          <w:p w:rsidR="0001276C" w:rsidRPr="0001276C" w:rsidRDefault="0001276C" w:rsidP="0001276C">
            <w:pPr>
              <w:spacing w:before="0" w:after="0" w:line="240" w:lineRule="auto"/>
            </w:pPr>
            <w:r w:rsidRPr="0001276C">
              <w:t>L</w:t>
            </w:r>
          </w:p>
        </w:tc>
        <w:tc>
          <w:tcPr>
            <w:tcW w:w="543" w:type="pct"/>
            <w:noWrap/>
            <w:hideMark/>
          </w:tcPr>
          <w:p w:rsidR="0001276C" w:rsidRPr="0001276C" w:rsidRDefault="0001276C" w:rsidP="0001276C">
            <w:pPr>
              <w:spacing w:before="0" w:after="0" w:line="240" w:lineRule="auto"/>
            </w:pPr>
            <w:r w:rsidRPr="0001276C">
              <w:t>LL</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80</w:t>
            </w:r>
          </w:p>
        </w:tc>
        <w:tc>
          <w:tcPr>
            <w:tcW w:w="1133" w:type="pct"/>
            <w:noWrap/>
            <w:hideMark/>
          </w:tcPr>
          <w:p w:rsidR="0001276C" w:rsidRPr="0001276C" w:rsidRDefault="0001276C" w:rsidP="0001276C">
            <w:pPr>
              <w:spacing w:before="0" w:after="0" w:line="240" w:lineRule="auto"/>
            </w:pPr>
            <w:r w:rsidRPr="0001276C">
              <w:t>Coloba Sur.</w:t>
            </w:r>
          </w:p>
        </w:tc>
        <w:tc>
          <w:tcPr>
            <w:tcW w:w="500" w:type="pct"/>
            <w:noWrap/>
            <w:hideMark/>
          </w:tcPr>
          <w:p w:rsidR="0001276C" w:rsidRPr="0001276C" w:rsidRDefault="0001276C" w:rsidP="0001276C">
            <w:pPr>
              <w:spacing w:before="0" w:after="0" w:line="240" w:lineRule="auto"/>
            </w:pPr>
            <w:r w:rsidRPr="0001276C">
              <w:t>603019</w:t>
            </w:r>
          </w:p>
        </w:tc>
        <w:tc>
          <w:tcPr>
            <w:tcW w:w="500" w:type="pct"/>
            <w:noWrap/>
            <w:hideMark/>
          </w:tcPr>
          <w:p w:rsidR="0001276C" w:rsidRPr="0001276C" w:rsidRDefault="0001276C" w:rsidP="0001276C">
            <w:pPr>
              <w:spacing w:before="0" w:after="0" w:line="240" w:lineRule="auto"/>
            </w:pPr>
            <w:r w:rsidRPr="0001276C">
              <w:t>819384</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2242.6</w:t>
            </w:r>
          </w:p>
        </w:tc>
        <w:tc>
          <w:tcPr>
            <w:tcW w:w="364" w:type="pct"/>
            <w:noWrap/>
            <w:hideMark/>
          </w:tcPr>
          <w:p w:rsidR="0001276C" w:rsidRPr="0001276C" w:rsidRDefault="0001276C" w:rsidP="0001276C">
            <w:pPr>
              <w:spacing w:before="0" w:after="0" w:line="240" w:lineRule="auto"/>
            </w:pPr>
            <w:r w:rsidRPr="0001276C">
              <w:t>DW</w:t>
            </w:r>
          </w:p>
        </w:tc>
        <w:tc>
          <w:tcPr>
            <w:tcW w:w="543" w:type="pct"/>
            <w:noWrap/>
            <w:hideMark/>
          </w:tcPr>
          <w:p w:rsidR="0001276C" w:rsidRPr="0001276C" w:rsidRDefault="0001276C" w:rsidP="0001276C">
            <w:pPr>
              <w:spacing w:before="0" w:after="0" w:line="240" w:lineRule="auto"/>
            </w:pPr>
            <w:r w:rsidRPr="0001276C">
              <w:t>M</w:t>
            </w:r>
          </w:p>
        </w:tc>
        <w:tc>
          <w:tcPr>
            <w:tcW w:w="543" w:type="pct"/>
            <w:noWrap/>
            <w:hideMark/>
          </w:tcPr>
          <w:p w:rsidR="0001276C" w:rsidRPr="0001276C" w:rsidRDefault="0001276C" w:rsidP="0001276C">
            <w:pPr>
              <w:spacing w:before="0" w:after="0" w:line="240" w:lineRule="auto"/>
            </w:pPr>
            <w:r w:rsidRPr="0001276C">
              <w:t>M</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81</w:t>
            </w:r>
          </w:p>
        </w:tc>
        <w:tc>
          <w:tcPr>
            <w:tcW w:w="1133" w:type="pct"/>
            <w:noWrap/>
            <w:hideMark/>
          </w:tcPr>
          <w:p w:rsidR="0001276C" w:rsidRPr="0001276C" w:rsidRDefault="0001276C" w:rsidP="0001276C">
            <w:pPr>
              <w:spacing w:before="0" w:after="0" w:line="240" w:lineRule="auto"/>
            </w:pPr>
            <w:r w:rsidRPr="0001276C">
              <w:t>Amalama_06</w:t>
            </w:r>
          </w:p>
        </w:tc>
        <w:tc>
          <w:tcPr>
            <w:tcW w:w="500" w:type="pct"/>
            <w:noWrap/>
            <w:hideMark/>
          </w:tcPr>
          <w:p w:rsidR="0001276C" w:rsidRPr="0001276C" w:rsidRDefault="0001276C" w:rsidP="0001276C">
            <w:pPr>
              <w:spacing w:before="0" w:after="0" w:line="240" w:lineRule="auto"/>
            </w:pPr>
            <w:r w:rsidRPr="0001276C">
              <w:t>644016</w:t>
            </w:r>
          </w:p>
        </w:tc>
        <w:tc>
          <w:tcPr>
            <w:tcW w:w="500" w:type="pct"/>
            <w:noWrap/>
            <w:hideMark/>
          </w:tcPr>
          <w:p w:rsidR="0001276C" w:rsidRPr="0001276C" w:rsidRDefault="0001276C" w:rsidP="0001276C">
            <w:pPr>
              <w:spacing w:before="0" w:after="0" w:line="240" w:lineRule="auto"/>
            </w:pPr>
            <w:r w:rsidRPr="0001276C">
              <w:t>787401</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2210</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H</w:t>
            </w:r>
          </w:p>
        </w:tc>
        <w:tc>
          <w:tcPr>
            <w:tcW w:w="543" w:type="pct"/>
            <w:noWrap/>
            <w:hideMark/>
          </w:tcPr>
          <w:p w:rsidR="0001276C" w:rsidRPr="0001276C" w:rsidRDefault="0001276C" w:rsidP="0001276C">
            <w:pPr>
              <w:spacing w:before="0" w:after="0" w:line="240" w:lineRule="auto"/>
            </w:pPr>
            <w:r w:rsidRPr="0001276C">
              <w:t>H</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82</w:t>
            </w:r>
          </w:p>
        </w:tc>
        <w:tc>
          <w:tcPr>
            <w:tcW w:w="1133" w:type="pct"/>
            <w:noWrap/>
            <w:hideMark/>
          </w:tcPr>
          <w:p w:rsidR="0001276C" w:rsidRPr="0001276C" w:rsidRDefault="0001276C" w:rsidP="0001276C">
            <w:pPr>
              <w:spacing w:before="0" w:after="0" w:line="240" w:lineRule="auto"/>
            </w:pPr>
            <w:r w:rsidRPr="0001276C">
              <w:t>Kubsa No 2</w:t>
            </w:r>
          </w:p>
        </w:tc>
        <w:tc>
          <w:tcPr>
            <w:tcW w:w="500" w:type="pct"/>
            <w:noWrap/>
            <w:hideMark/>
          </w:tcPr>
          <w:p w:rsidR="0001276C" w:rsidRPr="0001276C" w:rsidRDefault="0001276C" w:rsidP="0001276C">
            <w:pPr>
              <w:spacing w:before="0" w:after="0" w:line="240" w:lineRule="auto"/>
            </w:pPr>
            <w:r w:rsidRPr="0001276C">
              <w:t>650580</w:t>
            </w:r>
          </w:p>
        </w:tc>
        <w:tc>
          <w:tcPr>
            <w:tcW w:w="500" w:type="pct"/>
            <w:noWrap/>
            <w:hideMark/>
          </w:tcPr>
          <w:p w:rsidR="0001276C" w:rsidRPr="0001276C" w:rsidRDefault="0001276C" w:rsidP="0001276C">
            <w:pPr>
              <w:spacing w:before="0" w:after="0" w:line="240" w:lineRule="auto"/>
            </w:pPr>
            <w:r w:rsidRPr="0001276C">
              <w:t>787352</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1952</w:t>
            </w:r>
          </w:p>
        </w:tc>
        <w:tc>
          <w:tcPr>
            <w:tcW w:w="364" w:type="pct"/>
            <w:noWrap/>
            <w:hideMark/>
          </w:tcPr>
          <w:p w:rsidR="0001276C" w:rsidRPr="0001276C" w:rsidRDefault="0001276C" w:rsidP="0001276C">
            <w:pPr>
              <w:spacing w:before="0" w:after="0" w:line="240" w:lineRule="auto"/>
            </w:pPr>
            <w:r w:rsidRPr="0001276C">
              <w:t>SP</w:t>
            </w:r>
          </w:p>
        </w:tc>
        <w:tc>
          <w:tcPr>
            <w:tcW w:w="543" w:type="pct"/>
            <w:noWrap/>
            <w:hideMark/>
          </w:tcPr>
          <w:p w:rsidR="0001276C" w:rsidRPr="0001276C" w:rsidRDefault="0001276C" w:rsidP="0001276C">
            <w:pPr>
              <w:spacing w:before="0" w:after="0" w:line="240" w:lineRule="auto"/>
            </w:pPr>
            <w:r w:rsidRPr="0001276C">
              <w:t>L</w:t>
            </w:r>
          </w:p>
        </w:tc>
        <w:tc>
          <w:tcPr>
            <w:tcW w:w="543" w:type="pct"/>
            <w:noWrap/>
            <w:hideMark/>
          </w:tcPr>
          <w:p w:rsidR="0001276C" w:rsidRPr="0001276C" w:rsidRDefault="0001276C" w:rsidP="0001276C">
            <w:pPr>
              <w:spacing w:before="0" w:after="0" w:line="240" w:lineRule="auto"/>
            </w:pPr>
            <w:r w:rsidRPr="0001276C">
              <w:t>L</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83</w:t>
            </w:r>
          </w:p>
        </w:tc>
        <w:tc>
          <w:tcPr>
            <w:tcW w:w="1133" w:type="pct"/>
            <w:noWrap/>
            <w:hideMark/>
          </w:tcPr>
          <w:p w:rsidR="0001276C" w:rsidRPr="0001276C" w:rsidRDefault="0001276C" w:rsidP="0001276C">
            <w:pPr>
              <w:spacing w:before="0" w:after="0" w:line="240" w:lineRule="auto"/>
            </w:pPr>
            <w:r w:rsidRPr="0001276C">
              <w:t>Kubsa No 1</w:t>
            </w:r>
          </w:p>
        </w:tc>
        <w:tc>
          <w:tcPr>
            <w:tcW w:w="500" w:type="pct"/>
            <w:noWrap/>
            <w:hideMark/>
          </w:tcPr>
          <w:p w:rsidR="0001276C" w:rsidRPr="0001276C" w:rsidRDefault="0001276C" w:rsidP="0001276C">
            <w:pPr>
              <w:spacing w:before="0" w:after="0" w:line="240" w:lineRule="auto"/>
            </w:pPr>
            <w:r w:rsidRPr="0001276C">
              <w:t>650924</w:t>
            </w:r>
          </w:p>
        </w:tc>
        <w:tc>
          <w:tcPr>
            <w:tcW w:w="500" w:type="pct"/>
            <w:noWrap/>
            <w:hideMark/>
          </w:tcPr>
          <w:p w:rsidR="0001276C" w:rsidRPr="0001276C" w:rsidRDefault="0001276C" w:rsidP="0001276C">
            <w:pPr>
              <w:spacing w:before="0" w:after="0" w:line="240" w:lineRule="auto"/>
            </w:pPr>
            <w:r w:rsidRPr="0001276C">
              <w:t>787142</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1926</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H</w:t>
            </w:r>
          </w:p>
        </w:tc>
        <w:tc>
          <w:tcPr>
            <w:tcW w:w="543" w:type="pct"/>
            <w:noWrap/>
            <w:hideMark/>
          </w:tcPr>
          <w:p w:rsidR="0001276C" w:rsidRPr="0001276C" w:rsidRDefault="0001276C" w:rsidP="0001276C">
            <w:pPr>
              <w:spacing w:before="0" w:after="0" w:line="240" w:lineRule="auto"/>
            </w:pPr>
            <w:r w:rsidRPr="0001276C">
              <w:t>H</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84</w:t>
            </w:r>
          </w:p>
        </w:tc>
        <w:tc>
          <w:tcPr>
            <w:tcW w:w="1133" w:type="pct"/>
            <w:noWrap/>
            <w:hideMark/>
          </w:tcPr>
          <w:p w:rsidR="0001276C" w:rsidRPr="0001276C" w:rsidRDefault="0001276C" w:rsidP="0001276C">
            <w:pPr>
              <w:spacing w:before="0" w:after="0" w:line="240" w:lineRule="auto"/>
            </w:pPr>
            <w:r w:rsidRPr="0001276C">
              <w:t>Hisu_No_ 13</w:t>
            </w:r>
          </w:p>
        </w:tc>
        <w:tc>
          <w:tcPr>
            <w:tcW w:w="500" w:type="pct"/>
            <w:noWrap/>
            <w:hideMark/>
          </w:tcPr>
          <w:p w:rsidR="0001276C" w:rsidRPr="0001276C" w:rsidRDefault="0001276C" w:rsidP="0001276C">
            <w:pPr>
              <w:spacing w:before="0" w:after="0" w:line="240" w:lineRule="auto"/>
            </w:pPr>
            <w:r w:rsidRPr="0001276C">
              <w:t>645385</w:t>
            </w:r>
          </w:p>
        </w:tc>
        <w:tc>
          <w:tcPr>
            <w:tcW w:w="500" w:type="pct"/>
            <w:noWrap/>
            <w:hideMark/>
          </w:tcPr>
          <w:p w:rsidR="0001276C" w:rsidRPr="0001276C" w:rsidRDefault="0001276C" w:rsidP="0001276C">
            <w:pPr>
              <w:spacing w:before="0" w:after="0" w:line="240" w:lineRule="auto"/>
            </w:pPr>
            <w:r w:rsidRPr="0001276C">
              <w:t>794152</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1894</w:t>
            </w:r>
          </w:p>
        </w:tc>
        <w:tc>
          <w:tcPr>
            <w:tcW w:w="364" w:type="pct"/>
            <w:noWrap/>
            <w:hideMark/>
          </w:tcPr>
          <w:p w:rsidR="0001276C" w:rsidRPr="0001276C" w:rsidRDefault="0001276C" w:rsidP="0001276C">
            <w:pPr>
              <w:spacing w:before="0" w:after="0" w:line="240" w:lineRule="auto"/>
            </w:pPr>
            <w:r w:rsidRPr="0001276C">
              <w:t>SP</w:t>
            </w:r>
          </w:p>
        </w:tc>
        <w:tc>
          <w:tcPr>
            <w:tcW w:w="543" w:type="pct"/>
            <w:noWrap/>
            <w:hideMark/>
          </w:tcPr>
          <w:p w:rsidR="0001276C" w:rsidRPr="0001276C" w:rsidRDefault="0001276C" w:rsidP="0001276C">
            <w:pPr>
              <w:spacing w:before="0" w:after="0" w:line="240" w:lineRule="auto"/>
            </w:pPr>
            <w:r w:rsidRPr="0001276C">
              <w:t>H</w:t>
            </w:r>
          </w:p>
        </w:tc>
        <w:tc>
          <w:tcPr>
            <w:tcW w:w="543" w:type="pct"/>
            <w:noWrap/>
            <w:hideMark/>
          </w:tcPr>
          <w:p w:rsidR="0001276C" w:rsidRPr="0001276C" w:rsidRDefault="0001276C" w:rsidP="0001276C">
            <w:pPr>
              <w:spacing w:before="0" w:after="0" w:line="240" w:lineRule="auto"/>
            </w:pPr>
            <w:r w:rsidRPr="0001276C">
              <w:t>H</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85</w:t>
            </w:r>
          </w:p>
        </w:tc>
        <w:tc>
          <w:tcPr>
            <w:tcW w:w="1133" w:type="pct"/>
            <w:noWrap/>
            <w:hideMark/>
          </w:tcPr>
          <w:p w:rsidR="0001276C" w:rsidRPr="0001276C" w:rsidRDefault="0001276C" w:rsidP="0001276C">
            <w:pPr>
              <w:spacing w:before="0" w:after="0" w:line="240" w:lineRule="auto"/>
            </w:pPr>
            <w:r w:rsidRPr="0001276C">
              <w:t>Elani Abiyu</w:t>
            </w:r>
          </w:p>
        </w:tc>
        <w:tc>
          <w:tcPr>
            <w:tcW w:w="500" w:type="pct"/>
            <w:noWrap/>
            <w:hideMark/>
          </w:tcPr>
          <w:p w:rsidR="0001276C" w:rsidRPr="0001276C" w:rsidRDefault="0001276C" w:rsidP="0001276C">
            <w:pPr>
              <w:spacing w:before="0" w:after="0" w:line="240" w:lineRule="auto"/>
            </w:pPr>
            <w:r w:rsidRPr="0001276C">
              <w:t>682444</w:t>
            </w:r>
          </w:p>
        </w:tc>
        <w:tc>
          <w:tcPr>
            <w:tcW w:w="500" w:type="pct"/>
            <w:noWrap/>
            <w:hideMark/>
          </w:tcPr>
          <w:p w:rsidR="0001276C" w:rsidRPr="0001276C" w:rsidRDefault="0001276C" w:rsidP="0001276C">
            <w:pPr>
              <w:spacing w:before="0" w:after="0" w:line="240" w:lineRule="auto"/>
            </w:pPr>
            <w:r w:rsidRPr="0001276C">
              <w:t>781206</w:t>
            </w:r>
          </w:p>
        </w:tc>
        <w:tc>
          <w:tcPr>
            <w:tcW w:w="519" w:type="pct"/>
            <w:noWrap/>
            <w:hideMark/>
          </w:tcPr>
          <w:p w:rsidR="0001276C" w:rsidRPr="0001276C" w:rsidRDefault="0001276C" w:rsidP="0001276C">
            <w:pPr>
              <w:spacing w:before="0" w:after="0" w:line="240" w:lineRule="auto"/>
            </w:pPr>
            <w:r w:rsidRPr="0001276C">
              <w:t>0.25</w:t>
            </w:r>
          </w:p>
        </w:tc>
        <w:tc>
          <w:tcPr>
            <w:tcW w:w="506" w:type="pct"/>
            <w:noWrap/>
            <w:hideMark/>
          </w:tcPr>
          <w:p w:rsidR="0001276C" w:rsidRPr="0001276C" w:rsidRDefault="0001276C" w:rsidP="0001276C">
            <w:pPr>
              <w:spacing w:before="0" w:after="0" w:line="240" w:lineRule="auto"/>
            </w:pPr>
            <w:r w:rsidRPr="0001276C">
              <w:t>1845</w:t>
            </w:r>
          </w:p>
        </w:tc>
        <w:tc>
          <w:tcPr>
            <w:tcW w:w="364" w:type="pct"/>
            <w:noWrap/>
            <w:hideMark/>
          </w:tcPr>
          <w:p w:rsidR="0001276C" w:rsidRPr="0001276C" w:rsidRDefault="0001276C" w:rsidP="0001276C">
            <w:pPr>
              <w:spacing w:before="0" w:after="0" w:line="240" w:lineRule="auto"/>
            </w:pPr>
            <w:r w:rsidRPr="0001276C">
              <w:t>SP</w:t>
            </w:r>
          </w:p>
        </w:tc>
        <w:tc>
          <w:tcPr>
            <w:tcW w:w="543" w:type="pct"/>
            <w:noWrap/>
            <w:hideMark/>
          </w:tcPr>
          <w:p w:rsidR="0001276C" w:rsidRPr="0001276C" w:rsidRDefault="0001276C" w:rsidP="0001276C">
            <w:pPr>
              <w:spacing w:before="0" w:after="0" w:line="240" w:lineRule="auto"/>
            </w:pPr>
            <w:r w:rsidRPr="0001276C">
              <w:t>L</w:t>
            </w:r>
          </w:p>
        </w:tc>
        <w:tc>
          <w:tcPr>
            <w:tcW w:w="543" w:type="pct"/>
            <w:noWrap/>
            <w:hideMark/>
          </w:tcPr>
          <w:p w:rsidR="0001276C" w:rsidRPr="0001276C" w:rsidRDefault="0001276C" w:rsidP="0001276C">
            <w:pPr>
              <w:spacing w:before="0" w:after="0" w:line="240" w:lineRule="auto"/>
            </w:pPr>
            <w:r w:rsidRPr="0001276C">
              <w:t>L</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86</w:t>
            </w:r>
          </w:p>
        </w:tc>
        <w:tc>
          <w:tcPr>
            <w:tcW w:w="1133" w:type="pct"/>
            <w:noWrap/>
            <w:hideMark/>
          </w:tcPr>
          <w:p w:rsidR="0001276C" w:rsidRPr="0001276C" w:rsidRDefault="0001276C" w:rsidP="0001276C">
            <w:pPr>
              <w:spacing w:before="0" w:after="0" w:line="240" w:lineRule="auto"/>
            </w:pPr>
            <w:r w:rsidRPr="0001276C">
              <w:t>Weltai Nga_1</w:t>
            </w:r>
          </w:p>
        </w:tc>
        <w:tc>
          <w:tcPr>
            <w:tcW w:w="500" w:type="pct"/>
            <w:noWrap/>
            <w:hideMark/>
          </w:tcPr>
          <w:p w:rsidR="0001276C" w:rsidRPr="0001276C" w:rsidRDefault="0001276C" w:rsidP="0001276C">
            <w:pPr>
              <w:spacing w:before="0" w:after="0" w:line="240" w:lineRule="auto"/>
            </w:pPr>
            <w:r w:rsidRPr="0001276C">
              <w:t>657086</w:t>
            </w:r>
          </w:p>
        </w:tc>
        <w:tc>
          <w:tcPr>
            <w:tcW w:w="500" w:type="pct"/>
            <w:noWrap/>
            <w:hideMark/>
          </w:tcPr>
          <w:p w:rsidR="0001276C" w:rsidRPr="0001276C" w:rsidRDefault="0001276C" w:rsidP="0001276C">
            <w:pPr>
              <w:spacing w:before="0" w:after="0" w:line="240" w:lineRule="auto"/>
            </w:pPr>
            <w:r w:rsidRPr="0001276C">
              <w:t>782985</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1791</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H</w:t>
            </w:r>
          </w:p>
        </w:tc>
        <w:tc>
          <w:tcPr>
            <w:tcW w:w="543" w:type="pct"/>
            <w:noWrap/>
            <w:hideMark/>
          </w:tcPr>
          <w:p w:rsidR="0001276C" w:rsidRPr="0001276C" w:rsidRDefault="0001276C" w:rsidP="0001276C">
            <w:pPr>
              <w:spacing w:before="0" w:after="0" w:line="240" w:lineRule="auto"/>
            </w:pPr>
            <w:r w:rsidRPr="0001276C">
              <w:t>H</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87</w:t>
            </w:r>
          </w:p>
        </w:tc>
        <w:tc>
          <w:tcPr>
            <w:tcW w:w="1133" w:type="pct"/>
            <w:noWrap/>
            <w:hideMark/>
          </w:tcPr>
          <w:p w:rsidR="0001276C" w:rsidRPr="0001276C" w:rsidRDefault="0001276C" w:rsidP="0001276C">
            <w:pPr>
              <w:spacing w:before="0" w:after="0" w:line="240" w:lineRule="auto"/>
            </w:pPr>
            <w:r w:rsidRPr="0001276C">
              <w:t>Weltai Nga_2</w:t>
            </w:r>
          </w:p>
        </w:tc>
        <w:tc>
          <w:tcPr>
            <w:tcW w:w="500" w:type="pct"/>
            <w:noWrap/>
            <w:hideMark/>
          </w:tcPr>
          <w:p w:rsidR="0001276C" w:rsidRPr="0001276C" w:rsidRDefault="0001276C" w:rsidP="0001276C">
            <w:pPr>
              <w:spacing w:before="0" w:after="0" w:line="240" w:lineRule="auto"/>
            </w:pPr>
            <w:r w:rsidRPr="0001276C">
              <w:t>657319</w:t>
            </w:r>
          </w:p>
        </w:tc>
        <w:tc>
          <w:tcPr>
            <w:tcW w:w="500" w:type="pct"/>
            <w:noWrap/>
            <w:hideMark/>
          </w:tcPr>
          <w:p w:rsidR="0001276C" w:rsidRPr="0001276C" w:rsidRDefault="0001276C" w:rsidP="0001276C">
            <w:pPr>
              <w:spacing w:before="0" w:after="0" w:line="240" w:lineRule="auto"/>
            </w:pPr>
            <w:r w:rsidRPr="0001276C">
              <w:t>782613</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1786</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H</w:t>
            </w:r>
          </w:p>
        </w:tc>
        <w:tc>
          <w:tcPr>
            <w:tcW w:w="543" w:type="pct"/>
            <w:noWrap/>
            <w:hideMark/>
          </w:tcPr>
          <w:p w:rsidR="0001276C" w:rsidRPr="0001276C" w:rsidRDefault="0001276C" w:rsidP="0001276C">
            <w:pPr>
              <w:spacing w:before="0" w:after="0" w:line="240" w:lineRule="auto"/>
            </w:pPr>
            <w:r w:rsidRPr="0001276C">
              <w:t>H</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88</w:t>
            </w:r>
          </w:p>
        </w:tc>
        <w:tc>
          <w:tcPr>
            <w:tcW w:w="1133" w:type="pct"/>
            <w:noWrap/>
            <w:hideMark/>
          </w:tcPr>
          <w:p w:rsidR="0001276C" w:rsidRPr="0001276C" w:rsidRDefault="0001276C" w:rsidP="0001276C">
            <w:pPr>
              <w:spacing w:before="0" w:after="0" w:line="240" w:lineRule="auto"/>
            </w:pPr>
            <w:r w:rsidRPr="0001276C">
              <w:t>Weltai Nga_3</w:t>
            </w:r>
          </w:p>
        </w:tc>
        <w:tc>
          <w:tcPr>
            <w:tcW w:w="500" w:type="pct"/>
            <w:noWrap/>
            <w:hideMark/>
          </w:tcPr>
          <w:p w:rsidR="0001276C" w:rsidRPr="0001276C" w:rsidRDefault="0001276C" w:rsidP="0001276C">
            <w:pPr>
              <w:spacing w:before="0" w:after="0" w:line="240" w:lineRule="auto"/>
            </w:pPr>
            <w:r w:rsidRPr="0001276C">
              <w:t>658012</w:t>
            </w:r>
          </w:p>
        </w:tc>
        <w:tc>
          <w:tcPr>
            <w:tcW w:w="500" w:type="pct"/>
            <w:noWrap/>
            <w:hideMark/>
          </w:tcPr>
          <w:p w:rsidR="0001276C" w:rsidRPr="0001276C" w:rsidRDefault="0001276C" w:rsidP="0001276C">
            <w:pPr>
              <w:spacing w:before="0" w:after="0" w:line="240" w:lineRule="auto"/>
            </w:pPr>
            <w:r w:rsidRPr="0001276C">
              <w:t>782490</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1778</w:t>
            </w:r>
          </w:p>
        </w:tc>
        <w:tc>
          <w:tcPr>
            <w:tcW w:w="364" w:type="pct"/>
            <w:noWrap/>
            <w:hideMark/>
          </w:tcPr>
          <w:p w:rsidR="0001276C" w:rsidRPr="0001276C" w:rsidRDefault="0001276C" w:rsidP="0001276C">
            <w:pPr>
              <w:spacing w:before="0" w:after="0" w:line="240" w:lineRule="auto"/>
            </w:pPr>
            <w:r w:rsidRPr="0001276C">
              <w:t>SP</w:t>
            </w:r>
          </w:p>
        </w:tc>
        <w:tc>
          <w:tcPr>
            <w:tcW w:w="543" w:type="pct"/>
            <w:noWrap/>
            <w:hideMark/>
          </w:tcPr>
          <w:p w:rsidR="0001276C" w:rsidRPr="0001276C" w:rsidRDefault="0001276C" w:rsidP="0001276C">
            <w:pPr>
              <w:spacing w:before="0" w:after="0" w:line="240" w:lineRule="auto"/>
            </w:pPr>
            <w:r w:rsidRPr="0001276C">
              <w:t>H</w:t>
            </w:r>
          </w:p>
        </w:tc>
        <w:tc>
          <w:tcPr>
            <w:tcW w:w="543" w:type="pct"/>
            <w:noWrap/>
            <w:hideMark/>
          </w:tcPr>
          <w:p w:rsidR="0001276C" w:rsidRPr="0001276C" w:rsidRDefault="0001276C" w:rsidP="0001276C">
            <w:pPr>
              <w:spacing w:before="0" w:after="0" w:line="240" w:lineRule="auto"/>
            </w:pPr>
            <w:r w:rsidRPr="0001276C">
              <w:t>H</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89</w:t>
            </w:r>
          </w:p>
        </w:tc>
        <w:tc>
          <w:tcPr>
            <w:tcW w:w="1133" w:type="pct"/>
            <w:noWrap/>
            <w:hideMark/>
          </w:tcPr>
          <w:p w:rsidR="0001276C" w:rsidRPr="0001276C" w:rsidRDefault="0001276C" w:rsidP="0001276C">
            <w:pPr>
              <w:spacing w:before="0" w:after="0" w:line="240" w:lineRule="auto"/>
            </w:pPr>
            <w:r w:rsidRPr="0001276C">
              <w:t>Bale Dureni</w:t>
            </w:r>
          </w:p>
        </w:tc>
        <w:tc>
          <w:tcPr>
            <w:tcW w:w="500" w:type="pct"/>
            <w:noWrap/>
            <w:hideMark/>
          </w:tcPr>
          <w:p w:rsidR="0001276C" w:rsidRPr="0001276C" w:rsidRDefault="0001276C" w:rsidP="0001276C">
            <w:pPr>
              <w:spacing w:before="0" w:after="0" w:line="240" w:lineRule="auto"/>
            </w:pPr>
            <w:r w:rsidRPr="0001276C">
              <w:t>667575</w:t>
            </w:r>
          </w:p>
        </w:tc>
        <w:tc>
          <w:tcPr>
            <w:tcW w:w="500" w:type="pct"/>
            <w:noWrap/>
            <w:hideMark/>
          </w:tcPr>
          <w:p w:rsidR="0001276C" w:rsidRPr="0001276C" w:rsidRDefault="0001276C" w:rsidP="0001276C">
            <w:pPr>
              <w:spacing w:before="0" w:after="0" w:line="240" w:lineRule="auto"/>
            </w:pPr>
            <w:r w:rsidRPr="0001276C">
              <w:t>784572</w:t>
            </w:r>
          </w:p>
        </w:tc>
        <w:tc>
          <w:tcPr>
            <w:tcW w:w="519" w:type="pct"/>
            <w:noWrap/>
            <w:hideMark/>
          </w:tcPr>
          <w:p w:rsidR="0001276C" w:rsidRPr="0001276C" w:rsidRDefault="0001276C" w:rsidP="0001276C">
            <w:pPr>
              <w:spacing w:before="0" w:after="0" w:line="240" w:lineRule="auto"/>
            </w:pPr>
            <w:r w:rsidRPr="0001276C">
              <w:t>2.5</w:t>
            </w:r>
          </w:p>
        </w:tc>
        <w:tc>
          <w:tcPr>
            <w:tcW w:w="506" w:type="pct"/>
            <w:noWrap/>
            <w:hideMark/>
          </w:tcPr>
          <w:p w:rsidR="0001276C" w:rsidRPr="0001276C" w:rsidRDefault="0001276C" w:rsidP="0001276C">
            <w:pPr>
              <w:spacing w:before="0" w:after="0" w:line="240" w:lineRule="auto"/>
            </w:pPr>
            <w:r w:rsidRPr="0001276C">
              <w:t>1754</w:t>
            </w:r>
          </w:p>
        </w:tc>
        <w:tc>
          <w:tcPr>
            <w:tcW w:w="364" w:type="pct"/>
            <w:noWrap/>
            <w:hideMark/>
          </w:tcPr>
          <w:p w:rsidR="0001276C" w:rsidRPr="0001276C" w:rsidRDefault="0001276C" w:rsidP="0001276C">
            <w:pPr>
              <w:spacing w:before="0" w:after="0" w:line="240" w:lineRule="auto"/>
            </w:pPr>
            <w:r w:rsidRPr="0001276C">
              <w:t>SP</w:t>
            </w:r>
          </w:p>
        </w:tc>
        <w:tc>
          <w:tcPr>
            <w:tcW w:w="543" w:type="pct"/>
            <w:noWrap/>
            <w:hideMark/>
          </w:tcPr>
          <w:p w:rsidR="0001276C" w:rsidRPr="0001276C" w:rsidRDefault="0001276C" w:rsidP="0001276C">
            <w:pPr>
              <w:spacing w:before="0" w:after="0" w:line="240" w:lineRule="auto"/>
            </w:pPr>
            <w:r w:rsidRPr="0001276C">
              <w:t>M</w:t>
            </w:r>
          </w:p>
        </w:tc>
        <w:tc>
          <w:tcPr>
            <w:tcW w:w="543" w:type="pct"/>
            <w:noWrap/>
            <w:hideMark/>
          </w:tcPr>
          <w:p w:rsidR="0001276C" w:rsidRPr="0001276C" w:rsidRDefault="0001276C" w:rsidP="0001276C">
            <w:pPr>
              <w:spacing w:before="0" w:after="0" w:line="240" w:lineRule="auto"/>
            </w:pPr>
            <w:r w:rsidRPr="0001276C">
              <w:t>M</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90</w:t>
            </w:r>
          </w:p>
        </w:tc>
        <w:tc>
          <w:tcPr>
            <w:tcW w:w="1133" w:type="pct"/>
            <w:noWrap/>
            <w:hideMark/>
          </w:tcPr>
          <w:p w:rsidR="0001276C" w:rsidRPr="0001276C" w:rsidRDefault="0001276C" w:rsidP="0001276C">
            <w:pPr>
              <w:spacing w:before="0" w:after="0" w:line="240" w:lineRule="auto"/>
            </w:pPr>
            <w:r w:rsidRPr="0001276C">
              <w:t>BaleAlmKr1</w:t>
            </w:r>
          </w:p>
        </w:tc>
        <w:tc>
          <w:tcPr>
            <w:tcW w:w="500" w:type="pct"/>
            <w:noWrap/>
            <w:hideMark/>
          </w:tcPr>
          <w:p w:rsidR="0001276C" w:rsidRPr="0001276C" w:rsidRDefault="0001276C" w:rsidP="0001276C">
            <w:pPr>
              <w:spacing w:before="0" w:after="0" w:line="240" w:lineRule="auto"/>
            </w:pPr>
            <w:r w:rsidRPr="0001276C">
              <w:t>664178</w:t>
            </w:r>
          </w:p>
        </w:tc>
        <w:tc>
          <w:tcPr>
            <w:tcW w:w="500" w:type="pct"/>
            <w:noWrap/>
            <w:hideMark/>
          </w:tcPr>
          <w:p w:rsidR="0001276C" w:rsidRPr="0001276C" w:rsidRDefault="0001276C" w:rsidP="0001276C">
            <w:pPr>
              <w:spacing w:before="0" w:after="0" w:line="240" w:lineRule="auto"/>
            </w:pPr>
            <w:r w:rsidRPr="0001276C">
              <w:t>780630</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1718</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M</w:t>
            </w:r>
          </w:p>
        </w:tc>
        <w:tc>
          <w:tcPr>
            <w:tcW w:w="543" w:type="pct"/>
            <w:noWrap/>
            <w:hideMark/>
          </w:tcPr>
          <w:p w:rsidR="0001276C" w:rsidRPr="0001276C" w:rsidRDefault="0001276C" w:rsidP="0001276C">
            <w:pPr>
              <w:spacing w:before="0" w:after="0" w:line="240" w:lineRule="auto"/>
            </w:pPr>
            <w:r w:rsidRPr="0001276C">
              <w:t>M</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91</w:t>
            </w:r>
          </w:p>
        </w:tc>
        <w:tc>
          <w:tcPr>
            <w:tcW w:w="1133" w:type="pct"/>
            <w:noWrap/>
            <w:hideMark/>
          </w:tcPr>
          <w:p w:rsidR="0001276C" w:rsidRPr="0001276C" w:rsidRDefault="0001276C" w:rsidP="0001276C">
            <w:pPr>
              <w:spacing w:before="0" w:after="0" w:line="240" w:lineRule="auto"/>
            </w:pPr>
            <w:r w:rsidRPr="0001276C">
              <w:t>Melka Oda</w:t>
            </w:r>
          </w:p>
        </w:tc>
        <w:tc>
          <w:tcPr>
            <w:tcW w:w="500" w:type="pct"/>
            <w:noWrap/>
            <w:hideMark/>
          </w:tcPr>
          <w:p w:rsidR="0001276C" w:rsidRPr="0001276C" w:rsidRDefault="0001276C" w:rsidP="0001276C">
            <w:pPr>
              <w:spacing w:before="0" w:after="0" w:line="240" w:lineRule="auto"/>
            </w:pPr>
            <w:r w:rsidRPr="0001276C">
              <w:t>695164</w:t>
            </w:r>
          </w:p>
        </w:tc>
        <w:tc>
          <w:tcPr>
            <w:tcW w:w="500" w:type="pct"/>
            <w:noWrap/>
            <w:hideMark/>
          </w:tcPr>
          <w:p w:rsidR="0001276C" w:rsidRPr="0001276C" w:rsidRDefault="0001276C" w:rsidP="0001276C">
            <w:pPr>
              <w:spacing w:before="0" w:after="0" w:line="240" w:lineRule="auto"/>
            </w:pPr>
            <w:r w:rsidRPr="0001276C">
              <w:t>774045</w:t>
            </w:r>
          </w:p>
        </w:tc>
        <w:tc>
          <w:tcPr>
            <w:tcW w:w="519" w:type="pct"/>
            <w:noWrap/>
            <w:hideMark/>
          </w:tcPr>
          <w:p w:rsidR="0001276C" w:rsidRPr="0001276C" w:rsidRDefault="0001276C" w:rsidP="0001276C">
            <w:pPr>
              <w:spacing w:before="0" w:after="0" w:line="240" w:lineRule="auto"/>
            </w:pPr>
            <w:r w:rsidRPr="0001276C">
              <w:t>2</w:t>
            </w:r>
          </w:p>
        </w:tc>
        <w:tc>
          <w:tcPr>
            <w:tcW w:w="506" w:type="pct"/>
            <w:noWrap/>
            <w:hideMark/>
          </w:tcPr>
          <w:p w:rsidR="0001276C" w:rsidRPr="0001276C" w:rsidRDefault="0001276C" w:rsidP="0001276C">
            <w:pPr>
              <w:spacing w:before="0" w:after="0" w:line="240" w:lineRule="auto"/>
            </w:pPr>
            <w:r w:rsidRPr="0001276C">
              <w:t>1441.7</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L</w:t>
            </w:r>
          </w:p>
        </w:tc>
        <w:tc>
          <w:tcPr>
            <w:tcW w:w="543" w:type="pct"/>
            <w:noWrap/>
            <w:hideMark/>
          </w:tcPr>
          <w:p w:rsidR="0001276C" w:rsidRPr="0001276C" w:rsidRDefault="0001276C" w:rsidP="0001276C">
            <w:pPr>
              <w:spacing w:before="0" w:after="0" w:line="240" w:lineRule="auto"/>
            </w:pPr>
            <w:r w:rsidRPr="0001276C">
              <w:t>M</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92</w:t>
            </w:r>
          </w:p>
        </w:tc>
        <w:tc>
          <w:tcPr>
            <w:tcW w:w="1133" w:type="pct"/>
            <w:noWrap/>
            <w:hideMark/>
          </w:tcPr>
          <w:p w:rsidR="0001276C" w:rsidRPr="0001276C" w:rsidRDefault="0001276C" w:rsidP="0001276C">
            <w:pPr>
              <w:spacing w:before="0" w:after="0" w:line="240" w:lineRule="auto"/>
            </w:pPr>
            <w:r w:rsidRPr="0001276C">
              <w:t>Weltei Drs_3</w:t>
            </w:r>
          </w:p>
        </w:tc>
        <w:tc>
          <w:tcPr>
            <w:tcW w:w="500" w:type="pct"/>
            <w:noWrap/>
            <w:hideMark/>
          </w:tcPr>
          <w:p w:rsidR="0001276C" w:rsidRPr="0001276C" w:rsidRDefault="0001276C" w:rsidP="0001276C">
            <w:pPr>
              <w:spacing w:before="0" w:after="0" w:line="240" w:lineRule="auto"/>
            </w:pPr>
            <w:r w:rsidRPr="0001276C">
              <w:t>624586</w:t>
            </w:r>
          </w:p>
        </w:tc>
        <w:tc>
          <w:tcPr>
            <w:tcW w:w="500" w:type="pct"/>
            <w:noWrap/>
            <w:hideMark/>
          </w:tcPr>
          <w:p w:rsidR="0001276C" w:rsidRPr="0001276C" w:rsidRDefault="0001276C" w:rsidP="0001276C">
            <w:pPr>
              <w:spacing w:before="0" w:after="0" w:line="240" w:lineRule="auto"/>
            </w:pPr>
            <w:r w:rsidRPr="0001276C">
              <w:t>741314</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1330</w:t>
            </w:r>
          </w:p>
        </w:tc>
        <w:tc>
          <w:tcPr>
            <w:tcW w:w="364" w:type="pct"/>
            <w:noWrap/>
            <w:hideMark/>
          </w:tcPr>
          <w:p w:rsidR="0001276C" w:rsidRPr="0001276C" w:rsidRDefault="0001276C" w:rsidP="0001276C">
            <w:pPr>
              <w:spacing w:before="0" w:after="0" w:line="240" w:lineRule="auto"/>
            </w:pPr>
            <w:r w:rsidRPr="0001276C">
              <w:t>DW</w:t>
            </w:r>
          </w:p>
        </w:tc>
        <w:tc>
          <w:tcPr>
            <w:tcW w:w="543"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 xml:space="preserve"> </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93</w:t>
            </w:r>
          </w:p>
        </w:tc>
        <w:tc>
          <w:tcPr>
            <w:tcW w:w="1133" w:type="pct"/>
            <w:noWrap/>
            <w:hideMark/>
          </w:tcPr>
          <w:p w:rsidR="0001276C" w:rsidRPr="0001276C" w:rsidRDefault="0001276C" w:rsidP="0001276C">
            <w:pPr>
              <w:spacing w:before="0" w:after="0" w:line="240" w:lineRule="auto"/>
            </w:pPr>
            <w:r w:rsidRPr="0001276C">
              <w:t>Weltei Drs_2</w:t>
            </w:r>
          </w:p>
        </w:tc>
        <w:tc>
          <w:tcPr>
            <w:tcW w:w="500" w:type="pct"/>
            <w:noWrap/>
            <w:hideMark/>
          </w:tcPr>
          <w:p w:rsidR="0001276C" w:rsidRPr="0001276C" w:rsidRDefault="0001276C" w:rsidP="0001276C">
            <w:pPr>
              <w:spacing w:before="0" w:after="0" w:line="240" w:lineRule="auto"/>
            </w:pPr>
            <w:r w:rsidRPr="0001276C">
              <w:t>624777</w:t>
            </w:r>
          </w:p>
        </w:tc>
        <w:tc>
          <w:tcPr>
            <w:tcW w:w="500" w:type="pct"/>
            <w:noWrap/>
            <w:hideMark/>
          </w:tcPr>
          <w:p w:rsidR="0001276C" w:rsidRPr="0001276C" w:rsidRDefault="0001276C" w:rsidP="0001276C">
            <w:pPr>
              <w:spacing w:before="0" w:after="0" w:line="240" w:lineRule="auto"/>
            </w:pPr>
            <w:r w:rsidRPr="0001276C">
              <w:t>741155</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1316</w:t>
            </w:r>
          </w:p>
        </w:tc>
        <w:tc>
          <w:tcPr>
            <w:tcW w:w="364" w:type="pct"/>
            <w:noWrap/>
            <w:hideMark/>
          </w:tcPr>
          <w:p w:rsidR="0001276C" w:rsidRPr="0001276C" w:rsidRDefault="0001276C" w:rsidP="0001276C">
            <w:pPr>
              <w:spacing w:before="0" w:after="0" w:line="240" w:lineRule="auto"/>
            </w:pPr>
            <w:r w:rsidRPr="0001276C">
              <w:t>DW</w:t>
            </w:r>
          </w:p>
        </w:tc>
        <w:tc>
          <w:tcPr>
            <w:tcW w:w="543"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 xml:space="preserve"> </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94</w:t>
            </w:r>
          </w:p>
        </w:tc>
        <w:tc>
          <w:tcPr>
            <w:tcW w:w="1133" w:type="pct"/>
            <w:noWrap/>
            <w:hideMark/>
          </w:tcPr>
          <w:p w:rsidR="0001276C" w:rsidRPr="0001276C" w:rsidRDefault="0001276C" w:rsidP="0001276C">
            <w:pPr>
              <w:spacing w:before="0" w:after="0" w:line="240" w:lineRule="auto"/>
            </w:pPr>
            <w:r w:rsidRPr="0001276C">
              <w:t>Weltei Drsa_1</w:t>
            </w:r>
          </w:p>
        </w:tc>
        <w:tc>
          <w:tcPr>
            <w:tcW w:w="500" w:type="pct"/>
            <w:noWrap/>
            <w:hideMark/>
          </w:tcPr>
          <w:p w:rsidR="0001276C" w:rsidRPr="0001276C" w:rsidRDefault="0001276C" w:rsidP="0001276C">
            <w:pPr>
              <w:spacing w:before="0" w:after="0" w:line="240" w:lineRule="auto"/>
            </w:pPr>
            <w:r w:rsidRPr="0001276C">
              <w:t>624951</w:t>
            </w:r>
          </w:p>
        </w:tc>
        <w:tc>
          <w:tcPr>
            <w:tcW w:w="500" w:type="pct"/>
            <w:noWrap/>
            <w:hideMark/>
          </w:tcPr>
          <w:p w:rsidR="0001276C" w:rsidRPr="0001276C" w:rsidRDefault="0001276C" w:rsidP="0001276C">
            <w:pPr>
              <w:spacing w:before="0" w:after="0" w:line="240" w:lineRule="auto"/>
            </w:pPr>
            <w:r w:rsidRPr="0001276C">
              <w:t>741025</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1312</w:t>
            </w:r>
          </w:p>
        </w:tc>
        <w:tc>
          <w:tcPr>
            <w:tcW w:w="364" w:type="pct"/>
            <w:noWrap/>
            <w:hideMark/>
          </w:tcPr>
          <w:p w:rsidR="0001276C" w:rsidRPr="0001276C" w:rsidRDefault="0001276C" w:rsidP="0001276C">
            <w:pPr>
              <w:spacing w:before="0" w:after="0" w:line="240" w:lineRule="auto"/>
            </w:pPr>
            <w:r w:rsidRPr="0001276C">
              <w:t>DW</w:t>
            </w:r>
          </w:p>
        </w:tc>
        <w:tc>
          <w:tcPr>
            <w:tcW w:w="543"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 xml:space="preserve"> </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95</w:t>
            </w:r>
          </w:p>
        </w:tc>
        <w:tc>
          <w:tcPr>
            <w:tcW w:w="1133" w:type="pct"/>
            <w:noWrap/>
            <w:hideMark/>
          </w:tcPr>
          <w:p w:rsidR="0001276C" w:rsidRPr="0001276C" w:rsidRDefault="0001276C" w:rsidP="0001276C">
            <w:pPr>
              <w:spacing w:before="0" w:after="0" w:line="240" w:lineRule="auto"/>
            </w:pPr>
            <w:r w:rsidRPr="0001276C">
              <w:t xml:space="preserve"> Melka Oda_2</w:t>
            </w:r>
          </w:p>
        </w:tc>
        <w:tc>
          <w:tcPr>
            <w:tcW w:w="500" w:type="pct"/>
            <w:noWrap/>
            <w:hideMark/>
          </w:tcPr>
          <w:p w:rsidR="0001276C" w:rsidRPr="0001276C" w:rsidRDefault="0001276C" w:rsidP="0001276C">
            <w:pPr>
              <w:spacing w:before="0" w:after="0" w:line="240" w:lineRule="auto"/>
            </w:pPr>
            <w:r w:rsidRPr="0001276C">
              <w:t>705448</w:t>
            </w:r>
          </w:p>
        </w:tc>
        <w:tc>
          <w:tcPr>
            <w:tcW w:w="500" w:type="pct"/>
            <w:noWrap/>
            <w:hideMark/>
          </w:tcPr>
          <w:p w:rsidR="0001276C" w:rsidRPr="0001276C" w:rsidRDefault="0001276C" w:rsidP="0001276C">
            <w:pPr>
              <w:spacing w:before="0" w:after="0" w:line="240" w:lineRule="auto"/>
            </w:pPr>
            <w:r w:rsidRPr="0001276C">
              <w:t>773777</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1165</w:t>
            </w:r>
          </w:p>
        </w:tc>
        <w:tc>
          <w:tcPr>
            <w:tcW w:w="364" w:type="pct"/>
            <w:noWrap/>
            <w:hideMark/>
          </w:tcPr>
          <w:p w:rsidR="0001276C" w:rsidRPr="0001276C" w:rsidRDefault="0001276C" w:rsidP="0001276C">
            <w:pPr>
              <w:spacing w:before="0" w:after="0" w:line="240" w:lineRule="auto"/>
            </w:pPr>
            <w:r w:rsidRPr="0001276C">
              <w:t>SP</w:t>
            </w:r>
          </w:p>
        </w:tc>
        <w:tc>
          <w:tcPr>
            <w:tcW w:w="543" w:type="pct"/>
            <w:noWrap/>
            <w:hideMark/>
          </w:tcPr>
          <w:p w:rsidR="0001276C" w:rsidRPr="0001276C" w:rsidRDefault="0001276C" w:rsidP="0001276C">
            <w:pPr>
              <w:spacing w:before="0" w:after="0" w:line="240" w:lineRule="auto"/>
            </w:pPr>
          </w:p>
        </w:tc>
        <w:tc>
          <w:tcPr>
            <w:tcW w:w="543" w:type="pct"/>
            <w:noWrap/>
            <w:hideMark/>
          </w:tcPr>
          <w:p w:rsidR="0001276C" w:rsidRPr="0001276C" w:rsidRDefault="0001276C" w:rsidP="0001276C">
            <w:pPr>
              <w:spacing w:before="0" w:after="0" w:line="240" w:lineRule="auto"/>
            </w:pPr>
            <w:r w:rsidRPr="0001276C">
              <w:t xml:space="preserve"> </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96</w:t>
            </w:r>
          </w:p>
        </w:tc>
        <w:tc>
          <w:tcPr>
            <w:tcW w:w="1133" w:type="pct"/>
            <w:noWrap/>
            <w:hideMark/>
          </w:tcPr>
          <w:p w:rsidR="0001276C" w:rsidRPr="0001276C" w:rsidRDefault="0001276C" w:rsidP="0001276C">
            <w:pPr>
              <w:spacing w:before="0" w:after="0" w:line="240" w:lineRule="auto"/>
            </w:pPr>
            <w:r w:rsidRPr="0001276C">
              <w:t xml:space="preserve"> Chelchel_2</w:t>
            </w:r>
          </w:p>
        </w:tc>
        <w:tc>
          <w:tcPr>
            <w:tcW w:w="500" w:type="pct"/>
            <w:noWrap/>
            <w:hideMark/>
          </w:tcPr>
          <w:p w:rsidR="0001276C" w:rsidRPr="0001276C" w:rsidRDefault="0001276C" w:rsidP="0001276C">
            <w:pPr>
              <w:spacing w:before="0" w:after="0" w:line="240" w:lineRule="auto"/>
            </w:pPr>
            <w:r w:rsidRPr="0001276C">
              <w:t>729099</w:t>
            </w:r>
          </w:p>
        </w:tc>
        <w:tc>
          <w:tcPr>
            <w:tcW w:w="500" w:type="pct"/>
            <w:noWrap/>
            <w:hideMark/>
          </w:tcPr>
          <w:p w:rsidR="0001276C" w:rsidRPr="0001276C" w:rsidRDefault="0001276C" w:rsidP="0001276C">
            <w:pPr>
              <w:spacing w:before="0" w:after="0" w:line="240" w:lineRule="auto"/>
            </w:pPr>
            <w:r w:rsidRPr="0001276C">
              <w:t>763783</w:t>
            </w:r>
          </w:p>
        </w:tc>
        <w:tc>
          <w:tcPr>
            <w:tcW w:w="519" w:type="pct"/>
            <w:noWrap/>
            <w:hideMark/>
          </w:tcPr>
          <w:p w:rsidR="0001276C" w:rsidRPr="0001276C" w:rsidRDefault="0001276C" w:rsidP="0001276C">
            <w:pPr>
              <w:spacing w:before="0" w:after="0" w:line="240" w:lineRule="auto"/>
            </w:pPr>
            <w:r w:rsidRPr="0001276C">
              <w:t>0.4</w:t>
            </w:r>
          </w:p>
        </w:tc>
        <w:tc>
          <w:tcPr>
            <w:tcW w:w="506" w:type="pct"/>
            <w:noWrap/>
            <w:hideMark/>
          </w:tcPr>
          <w:p w:rsidR="0001276C" w:rsidRPr="0001276C" w:rsidRDefault="0001276C" w:rsidP="0001276C">
            <w:pPr>
              <w:spacing w:before="0" w:after="0" w:line="240" w:lineRule="auto"/>
            </w:pPr>
            <w:r w:rsidRPr="0001276C">
              <w:t>1111</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p>
        </w:tc>
        <w:tc>
          <w:tcPr>
            <w:tcW w:w="543" w:type="pct"/>
            <w:noWrap/>
            <w:hideMark/>
          </w:tcPr>
          <w:p w:rsidR="0001276C" w:rsidRPr="0001276C" w:rsidRDefault="0001276C" w:rsidP="0001276C">
            <w:pPr>
              <w:spacing w:before="0" w:after="0" w:line="240" w:lineRule="auto"/>
            </w:pPr>
            <w:r w:rsidRPr="0001276C">
              <w:t xml:space="preserve"> </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97</w:t>
            </w:r>
          </w:p>
        </w:tc>
        <w:tc>
          <w:tcPr>
            <w:tcW w:w="1133" w:type="pct"/>
            <w:noWrap/>
            <w:hideMark/>
          </w:tcPr>
          <w:p w:rsidR="0001276C" w:rsidRPr="0001276C" w:rsidRDefault="0001276C" w:rsidP="0001276C">
            <w:pPr>
              <w:spacing w:before="0" w:after="0" w:line="240" w:lineRule="auto"/>
            </w:pPr>
            <w:r w:rsidRPr="0001276C">
              <w:t xml:space="preserve"> Chelchel_1</w:t>
            </w:r>
          </w:p>
        </w:tc>
        <w:tc>
          <w:tcPr>
            <w:tcW w:w="500" w:type="pct"/>
            <w:noWrap/>
            <w:hideMark/>
          </w:tcPr>
          <w:p w:rsidR="0001276C" w:rsidRPr="0001276C" w:rsidRDefault="0001276C" w:rsidP="0001276C">
            <w:pPr>
              <w:spacing w:before="0" w:after="0" w:line="240" w:lineRule="auto"/>
            </w:pPr>
            <w:r w:rsidRPr="0001276C">
              <w:t>729188</w:t>
            </w:r>
          </w:p>
        </w:tc>
        <w:tc>
          <w:tcPr>
            <w:tcW w:w="500" w:type="pct"/>
            <w:noWrap/>
            <w:hideMark/>
          </w:tcPr>
          <w:p w:rsidR="0001276C" w:rsidRPr="0001276C" w:rsidRDefault="0001276C" w:rsidP="0001276C">
            <w:pPr>
              <w:spacing w:before="0" w:after="0" w:line="240" w:lineRule="auto"/>
            </w:pPr>
            <w:r w:rsidRPr="0001276C">
              <w:t>763589</w:t>
            </w:r>
          </w:p>
        </w:tc>
        <w:tc>
          <w:tcPr>
            <w:tcW w:w="519" w:type="pct"/>
            <w:noWrap/>
            <w:hideMark/>
          </w:tcPr>
          <w:p w:rsidR="0001276C" w:rsidRPr="0001276C" w:rsidRDefault="0001276C" w:rsidP="0001276C">
            <w:pPr>
              <w:spacing w:before="0" w:after="0" w:line="240" w:lineRule="auto"/>
            </w:pPr>
            <w:r w:rsidRPr="0001276C">
              <w:t>0.4</w:t>
            </w:r>
          </w:p>
        </w:tc>
        <w:tc>
          <w:tcPr>
            <w:tcW w:w="506" w:type="pct"/>
            <w:noWrap/>
            <w:hideMark/>
          </w:tcPr>
          <w:p w:rsidR="0001276C" w:rsidRPr="0001276C" w:rsidRDefault="0001276C" w:rsidP="0001276C">
            <w:pPr>
              <w:spacing w:before="0" w:after="0" w:line="240" w:lineRule="auto"/>
            </w:pPr>
            <w:r w:rsidRPr="0001276C">
              <w:t>1107</w:t>
            </w:r>
          </w:p>
        </w:tc>
        <w:tc>
          <w:tcPr>
            <w:tcW w:w="364" w:type="pct"/>
            <w:noWrap/>
            <w:hideMark/>
          </w:tcPr>
          <w:p w:rsidR="0001276C" w:rsidRPr="0001276C" w:rsidRDefault="0001276C" w:rsidP="0001276C">
            <w:pPr>
              <w:spacing w:before="0" w:after="0" w:line="240" w:lineRule="auto"/>
            </w:pPr>
            <w:r w:rsidRPr="0001276C">
              <w:t xml:space="preserve"> BH</w:t>
            </w:r>
          </w:p>
        </w:tc>
        <w:tc>
          <w:tcPr>
            <w:tcW w:w="543" w:type="pct"/>
            <w:noWrap/>
            <w:hideMark/>
          </w:tcPr>
          <w:p w:rsidR="0001276C" w:rsidRPr="0001276C" w:rsidRDefault="0001276C" w:rsidP="0001276C">
            <w:pPr>
              <w:spacing w:before="0" w:after="0" w:line="240" w:lineRule="auto"/>
            </w:pPr>
          </w:p>
        </w:tc>
        <w:tc>
          <w:tcPr>
            <w:tcW w:w="543" w:type="pct"/>
            <w:noWrap/>
            <w:hideMark/>
          </w:tcPr>
          <w:p w:rsidR="0001276C" w:rsidRPr="0001276C" w:rsidRDefault="0001276C" w:rsidP="0001276C">
            <w:pPr>
              <w:spacing w:before="0" w:after="0" w:line="240" w:lineRule="auto"/>
            </w:pPr>
            <w:r w:rsidRPr="0001276C">
              <w:t xml:space="preserve"> </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98</w:t>
            </w:r>
          </w:p>
        </w:tc>
        <w:tc>
          <w:tcPr>
            <w:tcW w:w="1133" w:type="pct"/>
            <w:noWrap/>
            <w:hideMark/>
          </w:tcPr>
          <w:p w:rsidR="0001276C" w:rsidRPr="0001276C" w:rsidRDefault="0001276C" w:rsidP="0001276C">
            <w:pPr>
              <w:spacing w:before="0" w:after="0" w:line="240" w:lineRule="auto"/>
            </w:pPr>
            <w:r w:rsidRPr="0001276C">
              <w:t>Tedcha_BL_2</w:t>
            </w:r>
          </w:p>
        </w:tc>
        <w:tc>
          <w:tcPr>
            <w:tcW w:w="500" w:type="pct"/>
            <w:noWrap/>
            <w:hideMark/>
          </w:tcPr>
          <w:p w:rsidR="0001276C" w:rsidRPr="0001276C" w:rsidRDefault="0001276C" w:rsidP="0001276C">
            <w:pPr>
              <w:spacing w:before="0" w:after="0" w:line="240" w:lineRule="auto"/>
            </w:pPr>
            <w:r w:rsidRPr="0001276C">
              <w:t>734767</w:t>
            </w:r>
          </w:p>
        </w:tc>
        <w:tc>
          <w:tcPr>
            <w:tcW w:w="500" w:type="pct"/>
            <w:noWrap/>
            <w:hideMark/>
          </w:tcPr>
          <w:p w:rsidR="0001276C" w:rsidRPr="0001276C" w:rsidRDefault="0001276C" w:rsidP="0001276C">
            <w:pPr>
              <w:spacing w:before="0" w:after="0" w:line="240" w:lineRule="auto"/>
            </w:pPr>
            <w:r w:rsidRPr="0001276C">
              <w:t>762840</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1078</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p>
        </w:tc>
        <w:tc>
          <w:tcPr>
            <w:tcW w:w="543" w:type="pct"/>
            <w:noWrap/>
            <w:hideMark/>
          </w:tcPr>
          <w:p w:rsidR="0001276C" w:rsidRPr="0001276C" w:rsidRDefault="0001276C" w:rsidP="0001276C">
            <w:pPr>
              <w:spacing w:before="0" w:after="0" w:line="240" w:lineRule="auto"/>
            </w:pPr>
            <w:r w:rsidRPr="0001276C">
              <w:t xml:space="preserve"> </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99</w:t>
            </w:r>
          </w:p>
        </w:tc>
        <w:tc>
          <w:tcPr>
            <w:tcW w:w="1133" w:type="pct"/>
            <w:noWrap/>
            <w:hideMark/>
          </w:tcPr>
          <w:p w:rsidR="0001276C" w:rsidRPr="0001276C" w:rsidRDefault="0001276C" w:rsidP="0001276C">
            <w:pPr>
              <w:spacing w:before="0" w:after="0" w:line="240" w:lineRule="auto"/>
            </w:pPr>
            <w:r w:rsidRPr="0001276C">
              <w:t>Tedcha_BL_1</w:t>
            </w:r>
          </w:p>
        </w:tc>
        <w:tc>
          <w:tcPr>
            <w:tcW w:w="500" w:type="pct"/>
            <w:noWrap/>
            <w:hideMark/>
          </w:tcPr>
          <w:p w:rsidR="0001276C" w:rsidRPr="0001276C" w:rsidRDefault="0001276C" w:rsidP="0001276C">
            <w:pPr>
              <w:spacing w:before="0" w:after="0" w:line="240" w:lineRule="auto"/>
            </w:pPr>
            <w:r w:rsidRPr="0001276C">
              <w:t>733893</w:t>
            </w:r>
          </w:p>
        </w:tc>
        <w:tc>
          <w:tcPr>
            <w:tcW w:w="500" w:type="pct"/>
            <w:noWrap/>
            <w:hideMark/>
          </w:tcPr>
          <w:p w:rsidR="0001276C" w:rsidRPr="0001276C" w:rsidRDefault="0001276C" w:rsidP="0001276C">
            <w:pPr>
              <w:spacing w:before="0" w:after="0" w:line="240" w:lineRule="auto"/>
            </w:pPr>
            <w:r w:rsidRPr="0001276C">
              <w:t>762962</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1037</w:t>
            </w:r>
          </w:p>
        </w:tc>
        <w:tc>
          <w:tcPr>
            <w:tcW w:w="364" w:type="pct"/>
            <w:noWrap/>
            <w:hideMark/>
          </w:tcPr>
          <w:p w:rsidR="0001276C" w:rsidRPr="0001276C" w:rsidRDefault="0001276C" w:rsidP="0001276C">
            <w:pPr>
              <w:spacing w:before="0" w:after="0" w:line="240" w:lineRule="auto"/>
            </w:pPr>
            <w:r w:rsidRPr="0001276C">
              <w:t xml:space="preserve"> BH</w:t>
            </w:r>
          </w:p>
        </w:tc>
        <w:tc>
          <w:tcPr>
            <w:tcW w:w="543" w:type="pct"/>
            <w:noWrap/>
            <w:hideMark/>
          </w:tcPr>
          <w:p w:rsidR="0001276C" w:rsidRPr="0001276C" w:rsidRDefault="0001276C" w:rsidP="0001276C">
            <w:pPr>
              <w:spacing w:before="0" w:after="0" w:line="240" w:lineRule="auto"/>
            </w:pPr>
          </w:p>
        </w:tc>
        <w:tc>
          <w:tcPr>
            <w:tcW w:w="543" w:type="pct"/>
            <w:noWrap/>
            <w:hideMark/>
          </w:tcPr>
          <w:p w:rsidR="0001276C" w:rsidRPr="0001276C" w:rsidRDefault="0001276C" w:rsidP="0001276C">
            <w:pPr>
              <w:spacing w:before="0" w:after="0" w:line="240" w:lineRule="auto"/>
            </w:pPr>
            <w:r w:rsidRPr="0001276C">
              <w:t xml:space="preserve"> </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100</w:t>
            </w:r>
          </w:p>
        </w:tc>
        <w:tc>
          <w:tcPr>
            <w:tcW w:w="1133" w:type="pct"/>
            <w:noWrap/>
            <w:hideMark/>
          </w:tcPr>
          <w:p w:rsidR="0001276C" w:rsidRPr="0001276C" w:rsidRDefault="0001276C" w:rsidP="0001276C">
            <w:pPr>
              <w:spacing w:before="0" w:after="0" w:line="240" w:lineRule="auto"/>
            </w:pPr>
            <w:r w:rsidRPr="0001276C">
              <w:t>Arda Kello</w:t>
            </w:r>
          </w:p>
        </w:tc>
        <w:tc>
          <w:tcPr>
            <w:tcW w:w="500" w:type="pct"/>
            <w:noWrap/>
            <w:hideMark/>
          </w:tcPr>
          <w:p w:rsidR="0001276C" w:rsidRPr="0001276C" w:rsidRDefault="0001276C" w:rsidP="0001276C">
            <w:pPr>
              <w:spacing w:before="0" w:after="0" w:line="240" w:lineRule="auto"/>
            </w:pPr>
            <w:r w:rsidRPr="0001276C">
              <w:t>736292</w:t>
            </w:r>
          </w:p>
        </w:tc>
        <w:tc>
          <w:tcPr>
            <w:tcW w:w="500" w:type="pct"/>
            <w:noWrap/>
            <w:hideMark/>
          </w:tcPr>
          <w:p w:rsidR="0001276C" w:rsidRPr="0001276C" w:rsidRDefault="0001276C" w:rsidP="0001276C">
            <w:pPr>
              <w:spacing w:before="0" w:after="0" w:line="240" w:lineRule="auto"/>
            </w:pPr>
            <w:r w:rsidRPr="0001276C">
              <w:t>754011</w:t>
            </w:r>
          </w:p>
        </w:tc>
        <w:tc>
          <w:tcPr>
            <w:tcW w:w="519" w:type="pct"/>
            <w:noWrap/>
            <w:hideMark/>
          </w:tcPr>
          <w:p w:rsidR="0001276C" w:rsidRPr="0001276C" w:rsidRDefault="0001276C" w:rsidP="0001276C">
            <w:pPr>
              <w:spacing w:before="0" w:after="0" w:line="240" w:lineRule="auto"/>
            </w:pPr>
            <w:r w:rsidRPr="0001276C">
              <w:t>1</w:t>
            </w:r>
          </w:p>
        </w:tc>
        <w:tc>
          <w:tcPr>
            <w:tcW w:w="506" w:type="pct"/>
            <w:noWrap/>
            <w:hideMark/>
          </w:tcPr>
          <w:p w:rsidR="0001276C" w:rsidRPr="0001276C" w:rsidRDefault="0001276C" w:rsidP="0001276C">
            <w:pPr>
              <w:spacing w:before="0" w:after="0" w:line="240" w:lineRule="auto"/>
            </w:pPr>
            <w:r w:rsidRPr="0001276C">
              <w:t>971</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p>
        </w:tc>
        <w:tc>
          <w:tcPr>
            <w:tcW w:w="543" w:type="pct"/>
            <w:noWrap/>
            <w:hideMark/>
          </w:tcPr>
          <w:p w:rsidR="0001276C" w:rsidRPr="0001276C" w:rsidRDefault="0001276C" w:rsidP="0001276C">
            <w:pPr>
              <w:spacing w:before="0" w:after="0" w:line="240" w:lineRule="auto"/>
            </w:pPr>
            <w:r w:rsidRPr="0001276C">
              <w:t xml:space="preserve"> </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101</w:t>
            </w:r>
          </w:p>
        </w:tc>
        <w:tc>
          <w:tcPr>
            <w:tcW w:w="1133" w:type="pct"/>
            <w:noWrap/>
            <w:hideMark/>
          </w:tcPr>
          <w:p w:rsidR="0001276C" w:rsidRPr="0001276C" w:rsidRDefault="0001276C" w:rsidP="0001276C">
            <w:pPr>
              <w:spacing w:before="0" w:after="0" w:line="240" w:lineRule="auto"/>
            </w:pPr>
            <w:r w:rsidRPr="0001276C">
              <w:t>Tedcha_Alm1</w:t>
            </w:r>
          </w:p>
        </w:tc>
        <w:tc>
          <w:tcPr>
            <w:tcW w:w="500" w:type="pct"/>
            <w:noWrap/>
            <w:hideMark/>
          </w:tcPr>
          <w:p w:rsidR="0001276C" w:rsidRPr="0001276C" w:rsidRDefault="0001276C" w:rsidP="0001276C">
            <w:pPr>
              <w:spacing w:before="0" w:after="0" w:line="240" w:lineRule="auto"/>
            </w:pPr>
            <w:r w:rsidRPr="0001276C">
              <w:t>737637</w:t>
            </w:r>
          </w:p>
        </w:tc>
        <w:tc>
          <w:tcPr>
            <w:tcW w:w="500" w:type="pct"/>
            <w:noWrap/>
            <w:hideMark/>
          </w:tcPr>
          <w:p w:rsidR="0001276C" w:rsidRPr="0001276C" w:rsidRDefault="0001276C" w:rsidP="0001276C">
            <w:pPr>
              <w:spacing w:before="0" w:after="0" w:line="240" w:lineRule="auto"/>
            </w:pPr>
            <w:r w:rsidRPr="0001276C">
              <w:t>750255</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934</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p>
        </w:tc>
        <w:tc>
          <w:tcPr>
            <w:tcW w:w="543" w:type="pct"/>
            <w:noWrap/>
            <w:hideMark/>
          </w:tcPr>
          <w:p w:rsidR="0001276C" w:rsidRPr="0001276C" w:rsidRDefault="0001276C" w:rsidP="0001276C">
            <w:pPr>
              <w:spacing w:before="0" w:after="0" w:line="240" w:lineRule="auto"/>
            </w:pPr>
            <w:r w:rsidRPr="0001276C">
              <w:t xml:space="preserve"> </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102</w:t>
            </w:r>
          </w:p>
        </w:tc>
        <w:tc>
          <w:tcPr>
            <w:tcW w:w="1133" w:type="pct"/>
            <w:noWrap/>
            <w:hideMark/>
          </w:tcPr>
          <w:p w:rsidR="0001276C" w:rsidRPr="0001276C" w:rsidRDefault="0001276C" w:rsidP="0001276C">
            <w:pPr>
              <w:spacing w:before="0" w:after="0" w:line="240" w:lineRule="auto"/>
            </w:pPr>
            <w:r w:rsidRPr="0001276C">
              <w:t>TedchaAlm2</w:t>
            </w:r>
          </w:p>
        </w:tc>
        <w:tc>
          <w:tcPr>
            <w:tcW w:w="500" w:type="pct"/>
            <w:noWrap/>
            <w:hideMark/>
          </w:tcPr>
          <w:p w:rsidR="0001276C" w:rsidRPr="0001276C" w:rsidRDefault="0001276C" w:rsidP="0001276C">
            <w:pPr>
              <w:spacing w:before="0" w:after="0" w:line="240" w:lineRule="auto"/>
            </w:pPr>
            <w:r w:rsidRPr="0001276C">
              <w:t>739480</w:t>
            </w:r>
          </w:p>
        </w:tc>
        <w:tc>
          <w:tcPr>
            <w:tcW w:w="500" w:type="pct"/>
            <w:noWrap/>
            <w:hideMark/>
          </w:tcPr>
          <w:p w:rsidR="0001276C" w:rsidRPr="0001276C" w:rsidRDefault="0001276C" w:rsidP="0001276C">
            <w:pPr>
              <w:spacing w:before="0" w:after="0" w:line="240" w:lineRule="auto"/>
            </w:pPr>
            <w:r w:rsidRPr="0001276C">
              <w:t>750264</w:t>
            </w:r>
          </w:p>
        </w:tc>
        <w:tc>
          <w:tcPr>
            <w:tcW w:w="519" w:type="pct"/>
            <w:noWrap/>
            <w:hideMark/>
          </w:tcPr>
          <w:p w:rsidR="0001276C" w:rsidRPr="0001276C" w:rsidRDefault="0001276C" w:rsidP="0001276C">
            <w:pPr>
              <w:spacing w:before="0" w:after="0" w:line="240" w:lineRule="auto"/>
            </w:pPr>
            <w:r w:rsidRPr="0001276C">
              <w:t>1</w:t>
            </w:r>
          </w:p>
        </w:tc>
        <w:tc>
          <w:tcPr>
            <w:tcW w:w="506" w:type="pct"/>
            <w:noWrap/>
            <w:hideMark/>
          </w:tcPr>
          <w:p w:rsidR="0001276C" w:rsidRPr="0001276C" w:rsidRDefault="0001276C" w:rsidP="0001276C">
            <w:pPr>
              <w:spacing w:before="0" w:after="0" w:line="240" w:lineRule="auto"/>
            </w:pPr>
            <w:r w:rsidRPr="0001276C">
              <w:t>912</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p>
        </w:tc>
        <w:tc>
          <w:tcPr>
            <w:tcW w:w="543" w:type="pct"/>
            <w:noWrap/>
            <w:hideMark/>
          </w:tcPr>
          <w:p w:rsidR="0001276C" w:rsidRPr="0001276C" w:rsidRDefault="0001276C" w:rsidP="0001276C">
            <w:pPr>
              <w:spacing w:before="0" w:after="0" w:line="240" w:lineRule="auto"/>
            </w:pPr>
            <w:r w:rsidRPr="0001276C">
              <w:t xml:space="preserve"> </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103</w:t>
            </w:r>
          </w:p>
        </w:tc>
        <w:tc>
          <w:tcPr>
            <w:tcW w:w="1133" w:type="pct"/>
            <w:noWrap/>
            <w:hideMark/>
          </w:tcPr>
          <w:p w:rsidR="0001276C" w:rsidRPr="0001276C" w:rsidRDefault="0001276C" w:rsidP="0001276C">
            <w:pPr>
              <w:spacing w:before="0" w:after="0" w:line="240" w:lineRule="auto"/>
            </w:pPr>
            <w:r w:rsidRPr="0001276C">
              <w:t>Gabu Oda</w:t>
            </w:r>
          </w:p>
        </w:tc>
        <w:tc>
          <w:tcPr>
            <w:tcW w:w="500" w:type="pct"/>
            <w:noWrap/>
            <w:hideMark/>
          </w:tcPr>
          <w:p w:rsidR="0001276C" w:rsidRPr="0001276C" w:rsidRDefault="0001276C" w:rsidP="0001276C">
            <w:pPr>
              <w:spacing w:before="0" w:after="0" w:line="240" w:lineRule="auto"/>
            </w:pPr>
            <w:r w:rsidRPr="0001276C">
              <w:t>748669</w:t>
            </w:r>
          </w:p>
        </w:tc>
        <w:tc>
          <w:tcPr>
            <w:tcW w:w="500" w:type="pct"/>
            <w:noWrap/>
            <w:hideMark/>
          </w:tcPr>
          <w:p w:rsidR="0001276C" w:rsidRPr="0001276C" w:rsidRDefault="0001276C" w:rsidP="0001276C">
            <w:pPr>
              <w:spacing w:before="0" w:after="0" w:line="240" w:lineRule="auto"/>
            </w:pPr>
            <w:r w:rsidRPr="0001276C">
              <w:t>755837</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906</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p>
        </w:tc>
        <w:tc>
          <w:tcPr>
            <w:tcW w:w="543" w:type="pct"/>
            <w:noWrap/>
            <w:hideMark/>
          </w:tcPr>
          <w:p w:rsidR="0001276C" w:rsidRPr="0001276C" w:rsidRDefault="0001276C" w:rsidP="0001276C">
            <w:pPr>
              <w:spacing w:before="0" w:after="0" w:line="240" w:lineRule="auto"/>
            </w:pPr>
            <w:r w:rsidRPr="0001276C">
              <w:t xml:space="preserve"> </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104</w:t>
            </w:r>
          </w:p>
        </w:tc>
        <w:tc>
          <w:tcPr>
            <w:tcW w:w="1133" w:type="pct"/>
            <w:noWrap/>
            <w:hideMark/>
          </w:tcPr>
          <w:p w:rsidR="0001276C" w:rsidRPr="0001276C" w:rsidRDefault="0001276C" w:rsidP="0001276C">
            <w:pPr>
              <w:spacing w:before="0" w:after="0" w:line="240" w:lineRule="auto"/>
            </w:pPr>
            <w:r w:rsidRPr="0001276C">
              <w:t>Tedcho Frda</w:t>
            </w:r>
          </w:p>
        </w:tc>
        <w:tc>
          <w:tcPr>
            <w:tcW w:w="500" w:type="pct"/>
            <w:noWrap/>
            <w:hideMark/>
          </w:tcPr>
          <w:p w:rsidR="0001276C" w:rsidRPr="0001276C" w:rsidRDefault="0001276C" w:rsidP="0001276C">
            <w:pPr>
              <w:spacing w:before="0" w:after="0" w:line="240" w:lineRule="auto"/>
            </w:pPr>
            <w:r w:rsidRPr="0001276C">
              <w:t>741268</w:t>
            </w:r>
          </w:p>
        </w:tc>
        <w:tc>
          <w:tcPr>
            <w:tcW w:w="500" w:type="pct"/>
            <w:noWrap/>
            <w:hideMark/>
          </w:tcPr>
          <w:p w:rsidR="0001276C" w:rsidRPr="0001276C" w:rsidRDefault="0001276C" w:rsidP="0001276C">
            <w:pPr>
              <w:spacing w:before="0" w:after="0" w:line="240" w:lineRule="auto"/>
            </w:pPr>
            <w:r w:rsidRPr="0001276C">
              <w:t>746967</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775</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p>
        </w:tc>
        <w:tc>
          <w:tcPr>
            <w:tcW w:w="543" w:type="pct"/>
            <w:noWrap/>
            <w:hideMark/>
          </w:tcPr>
          <w:p w:rsidR="0001276C" w:rsidRPr="0001276C" w:rsidRDefault="0001276C" w:rsidP="0001276C">
            <w:pPr>
              <w:spacing w:before="0" w:after="0" w:line="240" w:lineRule="auto"/>
            </w:pPr>
            <w:r w:rsidRPr="0001276C">
              <w:t xml:space="preserve"> </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105</w:t>
            </w:r>
          </w:p>
        </w:tc>
        <w:tc>
          <w:tcPr>
            <w:tcW w:w="1133" w:type="pct"/>
            <w:noWrap/>
            <w:hideMark/>
          </w:tcPr>
          <w:p w:rsidR="0001276C" w:rsidRPr="0001276C" w:rsidRDefault="00D25E5D" w:rsidP="0001276C">
            <w:pPr>
              <w:spacing w:before="0" w:after="0" w:line="240" w:lineRule="auto"/>
            </w:pPr>
            <w:r>
              <w:t>GermbDma_</w:t>
            </w:r>
            <w:r w:rsidR="0001276C" w:rsidRPr="0001276C">
              <w:t>4</w:t>
            </w:r>
          </w:p>
        </w:tc>
        <w:tc>
          <w:tcPr>
            <w:tcW w:w="500" w:type="pct"/>
            <w:noWrap/>
            <w:hideMark/>
          </w:tcPr>
          <w:p w:rsidR="0001276C" w:rsidRPr="0001276C" w:rsidRDefault="0001276C" w:rsidP="0001276C">
            <w:pPr>
              <w:spacing w:before="0" w:after="0" w:line="240" w:lineRule="auto"/>
            </w:pPr>
            <w:r w:rsidRPr="0001276C">
              <w:t>573289</w:t>
            </w:r>
          </w:p>
        </w:tc>
        <w:tc>
          <w:tcPr>
            <w:tcW w:w="500" w:type="pct"/>
            <w:noWrap/>
            <w:hideMark/>
          </w:tcPr>
          <w:p w:rsidR="0001276C" w:rsidRPr="0001276C" w:rsidRDefault="0001276C" w:rsidP="0001276C">
            <w:pPr>
              <w:spacing w:before="0" w:after="0" w:line="240" w:lineRule="auto"/>
            </w:pPr>
            <w:r w:rsidRPr="0001276C">
              <w:t>782900</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3438</w:t>
            </w:r>
          </w:p>
        </w:tc>
        <w:tc>
          <w:tcPr>
            <w:tcW w:w="364" w:type="pct"/>
            <w:noWrap/>
            <w:hideMark/>
          </w:tcPr>
          <w:p w:rsidR="0001276C" w:rsidRPr="0001276C" w:rsidRDefault="0001276C" w:rsidP="0001276C">
            <w:pPr>
              <w:spacing w:before="0" w:after="0" w:line="240" w:lineRule="auto"/>
            </w:pPr>
            <w:r w:rsidRPr="0001276C">
              <w:t>DW</w:t>
            </w:r>
          </w:p>
        </w:tc>
        <w:tc>
          <w:tcPr>
            <w:tcW w:w="543"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 xml:space="preserve"> </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106</w:t>
            </w:r>
          </w:p>
        </w:tc>
        <w:tc>
          <w:tcPr>
            <w:tcW w:w="1133" w:type="pct"/>
            <w:noWrap/>
            <w:hideMark/>
          </w:tcPr>
          <w:p w:rsidR="0001276C" w:rsidRPr="0001276C" w:rsidRDefault="00D25E5D" w:rsidP="0001276C">
            <w:pPr>
              <w:spacing w:before="0" w:after="0" w:line="240" w:lineRule="auto"/>
            </w:pPr>
            <w:r>
              <w:t>Dinsa W_N0</w:t>
            </w:r>
          </w:p>
        </w:tc>
        <w:tc>
          <w:tcPr>
            <w:tcW w:w="500" w:type="pct"/>
            <w:noWrap/>
            <w:hideMark/>
          </w:tcPr>
          <w:p w:rsidR="0001276C" w:rsidRPr="0001276C" w:rsidRDefault="0001276C" w:rsidP="0001276C">
            <w:pPr>
              <w:spacing w:before="0" w:after="0" w:line="240" w:lineRule="auto"/>
            </w:pPr>
            <w:r w:rsidRPr="0001276C">
              <w:t>677972</w:t>
            </w:r>
          </w:p>
        </w:tc>
        <w:tc>
          <w:tcPr>
            <w:tcW w:w="500" w:type="pct"/>
            <w:noWrap/>
            <w:hideMark/>
          </w:tcPr>
          <w:p w:rsidR="0001276C" w:rsidRPr="0001276C" w:rsidRDefault="0001276C" w:rsidP="0001276C">
            <w:pPr>
              <w:spacing w:before="0" w:after="0" w:line="240" w:lineRule="auto"/>
            </w:pPr>
            <w:r w:rsidRPr="0001276C">
              <w:t>824208</w:t>
            </w:r>
          </w:p>
        </w:tc>
        <w:tc>
          <w:tcPr>
            <w:tcW w:w="519" w:type="pct"/>
            <w:noWrap/>
            <w:hideMark/>
          </w:tcPr>
          <w:p w:rsidR="0001276C" w:rsidRPr="0001276C" w:rsidRDefault="0001276C" w:rsidP="0001276C">
            <w:pPr>
              <w:spacing w:before="0" w:after="0" w:line="240" w:lineRule="auto"/>
            </w:pPr>
            <w:r w:rsidRPr="0001276C">
              <w:t>1.5</w:t>
            </w:r>
          </w:p>
        </w:tc>
        <w:tc>
          <w:tcPr>
            <w:tcW w:w="506" w:type="pct"/>
            <w:noWrap/>
            <w:hideMark/>
          </w:tcPr>
          <w:p w:rsidR="0001276C" w:rsidRPr="0001276C" w:rsidRDefault="0001276C" w:rsidP="0001276C">
            <w:pPr>
              <w:spacing w:before="0" w:after="0" w:line="240" w:lineRule="auto"/>
            </w:pPr>
            <w:r w:rsidRPr="0001276C">
              <w:t>1841</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 xml:space="preserve"> </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107</w:t>
            </w:r>
          </w:p>
        </w:tc>
        <w:tc>
          <w:tcPr>
            <w:tcW w:w="1133" w:type="pct"/>
            <w:noWrap/>
            <w:hideMark/>
          </w:tcPr>
          <w:p w:rsidR="0001276C" w:rsidRPr="0001276C" w:rsidRDefault="0001276C" w:rsidP="0001276C">
            <w:pPr>
              <w:spacing w:before="0" w:after="0" w:line="240" w:lineRule="auto"/>
            </w:pPr>
            <w:r w:rsidRPr="0001276C">
              <w:t>Micha</w:t>
            </w:r>
          </w:p>
        </w:tc>
        <w:tc>
          <w:tcPr>
            <w:tcW w:w="500" w:type="pct"/>
            <w:noWrap/>
            <w:hideMark/>
          </w:tcPr>
          <w:p w:rsidR="0001276C" w:rsidRPr="0001276C" w:rsidRDefault="0001276C" w:rsidP="0001276C">
            <w:pPr>
              <w:spacing w:before="0" w:after="0" w:line="240" w:lineRule="auto"/>
            </w:pPr>
            <w:r w:rsidRPr="0001276C">
              <w:t>718785</w:t>
            </w:r>
          </w:p>
        </w:tc>
        <w:tc>
          <w:tcPr>
            <w:tcW w:w="500" w:type="pct"/>
            <w:noWrap/>
            <w:hideMark/>
          </w:tcPr>
          <w:p w:rsidR="0001276C" w:rsidRPr="0001276C" w:rsidRDefault="0001276C" w:rsidP="0001276C">
            <w:pPr>
              <w:spacing w:before="0" w:after="0" w:line="240" w:lineRule="auto"/>
            </w:pPr>
            <w:r w:rsidRPr="0001276C">
              <w:t>825057</w:t>
            </w:r>
          </w:p>
        </w:tc>
        <w:tc>
          <w:tcPr>
            <w:tcW w:w="519" w:type="pct"/>
            <w:noWrap/>
            <w:hideMark/>
          </w:tcPr>
          <w:p w:rsidR="0001276C" w:rsidRPr="0001276C" w:rsidRDefault="0001276C" w:rsidP="0001276C">
            <w:pPr>
              <w:spacing w:before="0" w:after="0" w:line="240" w:lineRule="auto"/>
            </w:pPr>
            <w:r w:rsidRPr="0001276C">
              <w:t>4</w:t>
            </w:r>
          </w:p>
        </w:tc>
        <w:tc>
          <w:tcPr>
            <w:tcW w:w="506" w:type="pct"/>
            <w:noWrap/>
            <w:hideMark/>
          </w:tcPr>
          <w:p w:rsidR="0001276C" w:rsidRPr="0001276C" w:rsidRDefault="0001276C" w:rsidP="0001276C">
            <w:pPr>
              <w:spacing w:before="0" w:after="0" w:line="240" w:lineRule="auto"/>
            </w:pPr>
            <w:r w:rsidRPr="0001276C">
              <w:t>1291</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p>
        </w:tc>
        <w:tc>
          <w:tcPr>
            <w:tcW w:w="543" w:type="pct"/>
            <w:noWrap/>
            <w:hideMark/>
          </w:tcPr>
          <w:p w:rsidR="0001276C" w:rsidRPr="0001276C" w:rsidRDefault="0001276C" w:rsidP="0001276C">
            <w:pPr>
              <w:spacing w:before="0" w:after="0" w:line="240" w:lineRule="auto"/>
            </w:pPr>
            <w:r w:rsidRPr="0001276C">
              <w:t xml:space="preserve"> </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108</w:t>
            </w:r>
          </w:p>
        </w:tc>
        <w:tc>
          <w:tcPr>
            <w:tcW w:w="1133" w:type="pct"/>
            <w:noWrap/>
            <w:hideMark/>
          </w:tcPr>
          <w:p w:rsidR="0001276C" w:rsidRPr="0001276C" w:rsidRDefault="0001276C" w:rsidP="00D25E5D">
            <w:pPr>
              <w:spacing w:before="0" w:after="0" w:line="240" w:lineRule="auto"/>
            </w:pPr>
            <w:r w:rsidRPr="0001276C">
              <w:t>DirieGudo No 1</w:t>
            </w:r>
          </w:p>
        </w:tc>
        <w:tc>
          <w:tcPr>
            <w:tcW w:w="500" w:type="pct"/>
            <w:noWrap/>
            <w:hideMark/>
          </w:tcPr>
          <w:p w:rsidR="0001276C" w:rsidRPr="0001276C" w:rsidRDefault="0001276C" w:rsidP="0001276C">
            <w:pPr>
              <w:spacing w:before="0" w:after="0" w:line="240" w:lineRule="auto"/>
            </w:pPr>
            <w:r w:rsidRPr="0001276C">
              <w:t>674733</w:t>
            </w:r>
          </w:p>
        </w:tc>
        <w:tc>
          <w:tcPr>
            <w:tcW w:w="500" w:type="pct"/>
            <w:noWrap/>
            <w:hideMark/>
          </w:tcPr>
          <w:p w:rsidR="0001276C" w:rsidRPr="0001276C" w:rsidRDefault="0001276C" w:rsidP="0001276C">
            <w:pPr>
              <w:spacing w:before="0" w:after="0" w:line="240" w:lineRule="auto"/>
            </w:pPr>
            <w:r w:rsidRPr="0001276C">
              <w:t>823591</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1879</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 xml:space="preserve"> </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109</w:t>
            </w:r>
          </w:p>
        </w:tc>
        <w:tc>
          <w:tcPr>
            <w:tcW w:w="1133" w:type="pct"/>
            <w:noWrap/>
            <w:hideMark/>
          </w:tcPr>
          <w:p w:rsidR="0001276C" w:rsidRPr="0001276C" w:rsidRDefault="00D25E5D" w:rsidP="00D25E5D">
            <w:pPr>
              <w:spacing w:before="0" w:after="0" w:line="240" w:lineRule="auto"/>
            </w:pPr>
            <w:r>
              <w:t>Araremo BH</w:t>
            </w:r>
          </w:p>
        </w:tc>
        <w:tc>
          <w:tcPr>
            <w:tcW w:w="500" w:type="pct"/>
            <w:noWrap/>
            <w:hideMark/>
          </w:tcPr>
          <w:p w:rsidR="0001276C" w:rsidRPr="0001276C" w:rsidRDefault="0001276C" w:rsidP="0001276C">
            <w:pPr>
              <w:spacing w:before="0" w:after="0" w:line="240" w:lineRule="auto"/>
            </w:pPr>
            <w:r w:rsidRPr="0001276C">
              <w:t>672466</w:t>
            </w:r>
          </w:p>
        </w:tc>
        <w:tc>
          <w:tcPr>
            <w:tcW w:w="500" w:type="pct"/>
            <w:noWrap/>
            <w:hideMark/>
          </w:tcPr>
          <w:p w:rsidR="0001276C" w:rsidRPr="0001276C" w:rsidRDefault="0001276C" w:rsidP="0001276C">
            <w:pPr>
              <w:spacing w:before="0" w:after="0" w:line="240" w:lineRule="auto"/>
            </w:pPr>
            <w:r w:rsidRPr="0001276C">
              <w:t>823146</w:t>
            </w:r>
          </w:p>
        </w:tc>
        <w:tc>
          <w:tcPr>
            <w:tcW w:w="519" w:type="pct"/>
            <w:noWrap/>
            <w:hideMark/>
          </w:tcPr>
          <w:p w:rsidR="0001276C" w:rsidRPr="0001276C" w:rsidRDefault="0001276C" w:rsidP="0001276C">
            <w:pPr>
              <w:spacing w:before="0" w:after="0" w:line="240" w:lineRule="auto"/>
            </w:pPr>
            <w:r w:rsidRPr="0001276C">
              <w:t>2.5</w:t>
            </w:r>
          </w:p>
        </w:tc>
        <w:tc>
          <w:tcPr>
            <w:tcW w:w="506" w:type="pct"/>
            <w:noWrap/>
            <w:hideMark/>
          </w:tcPr>
          <w:p w:rsidR="0001276C" w:rsidRPr="0001276C" w:rsidRDefault="0001276C" w:rsidP="0001276C">
            <w:pPr>
              <w:spacing w:before="0" w:after="0" w:line="240" w:lineRule="auto"/>
            </w:pPr>
            <w:r w:rsidRPr="0001276C">
              <w:t>1946</w:t>
            </w:r>
          </w:p>
        </w:tc>
        <w:tc>
          <w:tcPr>
            <w:tcW w:w="364" w:type="pct"/>
            <w:noWrap/>
            <w:hideMark/>
          </w:tcPr>
          <w:p w:rsidR="0001276C" w:rsidRPr="0001276C" w:rsidRDefault="0001276C" w:rsidP="0001276C">
            <w:pPr>
              <w:spacing w:before="0" w:after="0" w:line="240" w:lineRule="auto"/>
            </w:pPr>
            <w:r w:rsidRPr="0001276C">
              <w:t>DW</w:t>
            </w:r>
          </w:p>
        </w:tc>
        <w:tc>
          <w:tcPr>
            <w:tcW w:w="543"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 xml:space="preserve"> </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lastRenderedPageBreak/>
              <w:t>110</w:t>
            </w:r>
          </w:p>
        </w:tc>
        <w:tc>
          <w:tcPr>
            <w:tcW w:w="1133" w:type="pct"/>
            <w:noWrap/>
            <w:hideMark/>
          </w:tcPr>
          <w:p w:rsidR="0001276C" w:rsidRPr="0001276C" w:rsidRDefault="00D25E5D" w:rsidP="0001276C">
            <w:pPr>
              <w:spacing w:before="0" w:after="0" w:line="240" w:lineRule="auto"/>
            </w:pPr>
            <w:r>
              <w:t>BulalaFurf</w:t>
            </w:r>
            <w:r w:rsidR="0001276C" w:rsidRPr="0001276C">
              <w:t>rsa</w:t>
            </w:r>
          </w:p>
        </w:tc>
        <w:tc>
          <w:tcPr>
            <w:tcW w:w="500" w:type="pct"/>
            <w:noWrap/>
            <w:hideMark/>
          </w:tcPr>
          <w:p w:rsidR="0001276C" w:rsidRPr="0001276C" w:rsidRDefault="0001276C" w:rsidP="0001276C">
            <w:pPr>
              <w:spacing w:before="0" w:after="0" w:line="240" w:lineRule="auto"/>
            </w:pPr>
            <w:r w:rsidRPr="0001276C">
              <w:t>675194</w:t>
            </w:r>
          </w:p>
        </w:tc>
        <w:tc>
          <w:tcPr>
            <w:tcW w:w="500" w:type="pct"/>
            <w:noWrap/>
            <w:hideMark/>
          </w:tcPr>
          <w:p w:rsidR="0001276C" w:rsidRPr="0001276C" w:rsidRDefault="0001276C" w:rsidP="0001276C">
            <w:pPr>
              <w:spacing w:before="0" w:after="0" w:line="240" w:lineRule="auto"/>
            </w:pPr>
            <w:r w:rsidRPr="0001276C">
              <w:t>816242</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1756</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 xml:space="preserve"> </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111</w:t>
            </w:r>
          </w:p>
        </w:tc>
        <w:tc>
          <w:tcPr>
            <w:tcW w:w="1133" w:type="pct"/>
            <w:noWrap/>
            <w:hideMark/>
          </w:tcPr>
          <w:p w:rsidR="0001276C" w:rsidRPr="0001276C" w:rsidRDefault="0001276C" w:rsidP="0001276C">
            <w:pPr>
              <w:spacing w:before="0" w:after="0" w:line="240" w:lineRule="auto"/>
            </w:pPr>
            <w:r w:rsidRPr="0001276C">
              <w:t>Tagay</w:t>
            </w:r>
          </w:p>
        </w:tc>
        <w:tc>
          <w:tcPr>
            <w:tcW w:w="500" w:type="pct"/>
            <w:noWrap/>
            <w:hideMark/>
          </w:tcPr>
          <w:p w:rsidR="0001276C" w:rsidRPr="0001276C" w:rsidRDefault="0001276C" w:rsidP="0001276C">
            <w:pPr>
              <w:spacing w:before="0" w:after="0" w:line="240" w:lineRule="auto"/>
            </w:pPr>
            <w:r w:rsidRPr="0001276C">
              <w:t>668509</w:t>
            </w:r>
          </w:p>
        </w:tc>
        <w:tc>
          <w:tcPr>
            <w:tcW w:w="500" w:type="pct"/>
            <w:noWrap/>
            <w:hideMark/>
          </w:tcPr>
          <w:p w:rsidR="0001276C" w:rsidRPr="0001276C" w:rsidRDefault="0001276C" w:rsidP="0001276C">
            <w:pPr>
              <w:spacing w:before="0" w:after="0" w:line="240" w:lineRule="auto"/>
            </w:pPr>
            <w:r w:rsidRPr="0001276C">
              <w:t>813130</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1845</w:t>
            </w:r>
          </w:p>
        </w:tc>
        <w:tc>
          <w:tcPr>
            <w:tcW w:w="364" w:type="pct"/>
            <w:noWrap/>
            <w:hideMark/>
          </w:tcPr>
          <w:p w:rsidR="0001276C" w:rsidRPr="0001276C" w:rsidRDefault="0001276C" w:rsidP="0001276C">
            <w:pPr>
              <w:spacing w:before="0" w:after="0" w:line="240" w:lineRule="auto"/>
            </w:pPr>
            <w:r w:rsidRPr="0001276C">
              <w:t>SP</w:t>
            </w:r>
          </w:p>
        </w:tc>
        <w:tc>
          <w:tcPr>
            <w:tcW w:w="543"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 xml:space="preserve"> </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112</w:t>
            </w:r>
          </w:p>
        </w:tc>
        <w:tc>
          <w:tcPr>
            <w:tcW w:w="1133" w:type="pct"/>
            <w:noWrap/>
            <w:hideMark/>
          </w:tcPr>
          <w:p w:rsidR="0001276C" w:rsidRPr="0001276C" w:rsidRDefault="0001276C" w:rsidP="0001276C">
            <w:pPr>
              <w:spacing w:before="0" w:after="0" w:line="240" w:lineRule="auto"/>
            </w:pPr>
            <w:r w:rsidRPr="0001276C">
              <w:t>Adele</w:t>
            </w:r>
          </w:p>
        </w:tc>
        <w:tc>
          <w:tcPr>
            <w:tcW w:w="500" w:type="pct"/>
            <w:noWrap/>
            <w:hideMark/>
          </w:tcPr>
          <w:p w:rsidR="0001276C" w:rsidRPr="0001276C" w:rsidRDefault="0001276C" w:rsidP="0001276C">
            <w:pPr>
              <w:spacing w:before="0" w:after="0" w:line="240" w:lineRule="auto"/>
            </w:pPr>
            <w:r w:rsidRPr="0001276C">
              <w:t>709974</w:t>
            </w:r>
          </w:p>
        </w:tc>
        <w:tc>
          <w:tcPr>
            <w:tcW w:w="500" w:type="pct"/>
            <w:noWrap/>
            <w:hideMark/>
          </w:tcPr>
          <w:p w:rsidR="0001276C" w:rsidRPr="0001276C" w:rsidRDefault="0001276C" w:rsidP="0001276C">
            <w:pPr>
              <w:spacing w:before="0" w:after="0" w:line="240" w:lineRule="auto"/>
            </w:pPr>
            <w:r w:rsidRPr="0001276C">
              <w:t>811366</w:t>
            </w:r>
          </w:p>
        </w:tc>
        <w:tc>
          <w:tcPr>
            <w:tcW w:w="519" w:type="pct"/>
            <w:noWrap/>
            <w:hideMark/>
          </w:tcPr>
          <w:p w:rsidR="0001276C" w:rsidRPr="0001276C" w:rsidRDefault="0001276C" w:rsidP="0001276C">
            <w:pPr>
              <w:spacing w:before="0" w:after="0" w:line="240" w:lineRule="auto"/>
            </w:pPr>
            <w:r w:rsidRPr="0001276C">
              <w:t>1.5</w:t>
            </w:r>
          </w:p>
        </w:tc>
        <w:tc>
          <w:tcPr>
            <w:tcW w:w="506" w:type="pct"/>
            <w:noWrap/>
            <w:hideMark/>
          </w:tcPr>
          <w:p w:rsidR="0001276C" w:rsidRPr="0001276C" w:rsidRDefault="0001276C" w:rsidP="0001276C">
            <w:pPr>
              <w:spacing w:before="0" w:after="0" w:line="240" w:lineRule="auto"/>
            </w:pPr>
            <w:r w:rsidRPr="0001276C">
              <w:t>1568</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 xml:space="preserve"> </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113</w:t>
            </w:r>
          </w:p>
        </w:tc>
        <w:tc>
          <w:tcPr>
            <w:tcW w:w="1133" w:type="pct"/>
            <w:noWrap/>
            <w:hideMark/>
          </w:tcPr>
          <w:p w:rsidR="0001276C" w:rsidRPr="0001276C" w:rsidRDefault="00F603D6" w:rsidP="0001276C">
            <w:pPr>
              <w:spacing w:before="0" w:after="0" w:line="240" w:lineRule="auto"/>
            </w:pPr>
            <w:r>
              <w:t>Harewa No 4 Motrz</w:t>
            </w:r>
            <w:r w:rsidR="0001276C" w:rsidRPr="0001276C">
              <w:t>d</w:t>
            </w:r>
          </w:p>
        </w:tc>
        <w:tc>
          <w:tcPr>
            <w:tcW w:w="500" w:type="pct"/>
            <w:noWrap/>
            <w:hideMark/>
          </w:tcPr>
          <w:p w:rsidR="0001276C" w:rsidRPr="0001276C" w:rsidRDefault="0001276C" w:rsidP="0001276C">
            <w:pPr>
              <w:spacing w:before="0" w:after="0" w:line="240" w:lineRule="auto"/>
            </w:pPr>
            <w:r w:rsidRPr="0001276C">
              <w:t>687349</w:t>
            </w:r>
          </w:p>
        </w:tc>
        <w:tc>
          <w:tcPr>
            <w:tcW w:w="500" w:type="pct"/>
            <w:noWrap/>
            <w:hideMark/>
          </w:tcPr>
          <w:p w:rsidR="0001276C" w:rsidRPr="0001276C" w:rsidRDefault="0001276C" w:rsidP="0001276C">
            <w:pPr>
              <w:spacing w:before="0" w:after="0" w:line="240" w:lineRule="auto"/>
            </w:pPr>
            <w:r w:rsidRPr="0001276C">
              <w:t>810879</w:t>
            </w:r>
          </w:p>
        </w:tc>
        <w:tc>
          <w:tcPr>
            <w:tcW w:w="519" w:type="pct"/>
            <w:noWrap/>
            <w:hideMark/>
          </w:tcPr>
          <w:p w:rsidR="0001276C" w:rsidRPr="0001276C" w:rsidRDefault="0001276C" w:rsidP="0001276C">
            <w:pPr>
              <w:spacing w:before="0" w:after="0" w:line="240" w:lineRule="auto"/>
            </w:pPr>
            <w:r w:rsidRPr="0001276C">
              <w:t>2.2</w:t>
            </w:r>
          </w:p>
        </w:tc>
        <w:tc>
          <w:tcPr>
            <w:tcW w:w="506" w:type="pct"/>
            <w:noWrap/>
            <w:hideMark/>
          </w:tcPr>
          <w:p w:rsidR="0001276C" w:rsidRPr="0001276C" w:rsidRDefault="0001276C" w:rsidP="0001276C">
            <w:pPr>
              <w:spacing w:before="0" w:after="0" w:line="240" w:lineRule="auto"/>
            </w:pPr>
            <w:r w:rsidRPr="0001276C">
              <w:t>1876</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 xml:space="preserve"> </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114</w:t>
            </w:r>
          </w:p>
        </w:tc>
        <w:tc>
          <w:tcPr>
            <w:tcW w:w="1133" w:type="pct"/>
            <w:noWrap/>
            <w:hideMark/>
          </w:tcPr>
          <w:p w:rsidR="0001276C" w:rsidRPr="0001276C" w:rsidRDefault="0001276C" w:rsidP="0001276C">
            <w:pPr>
              <w:spacing w:before="0" w:after="0" w:line="240" w:lineRule="auto"/>
            </w:pPr>
            <w:r w:rsidRPr="0001276C">
              <w:t>Hada</w:t>
            </w:r>
          </w:p>
        </w:tc>
        <w:tc>
          <w:tcPr>
            <w:tcW w:w="500" w:type="pct"/>
            <w:noWrap/>
            <w:hideMark/>
          </w:tcPr>
          <w:p w:rsidR="0001276C" w:rsidRPr="0001276C" w:rsidRDefault="0001276C" w:rsidP="0001276C">
            <w:pPr>
              <w:spacing w:before="0" w:after="0" w:line="240" w:lineRule="auto"/>
            </w:pPr>
            <w:r w:rsidRPr="0001276C">
              <w:t>741609</w:t>
            </w:r>
          </w:p>
        </w:tc>
        <w:tc>
          <w:tcPr>
            <w:tcW w:w="500" w:type="pct"/>
            <w:noWrap/>
            <w:hideMark/>
          </w:tcPr>
          <w:p w:rsidR="0001276C" w:rsidRPr="0001276C" w:rsidRDefault="0001276C" w:rsidP="0001276C">
            <w:pPr>
              <w:spacing w:before="0" w:after="0" w:line="240" w:lineRule="auto"/>
            </w:pPr>
            <w:r w:rsidRPr="0001276C">
              <w:t>810553</w:t>
            </w:r>
          </w:p>
        </w:tc>
        <w:tc>
          <w:tcPr>
            <w:tcW w:w="519" w:type="pct"/>
            <w:noWrap/>
            <w:hideMark/>
          </w:tcPr>
          <w:p w:rsidR="0001276C" w:rsidRPr="0001276C" w:rsidRDefault="0001276C" w:rsidP="0001276C">
            <w:pPr>
              <w:spacing w:before="0" w:after="0" w:line="240" w:lineRule="auto"/>
            </w:pPr>
            <w:r w:rsidRPr="0001276C">
              <w:t>1.67</w:t>
            </w:r>
          </w:p>
        </w:tc>
        <w:tc>
          <w:tcPr>
            <w:tcW w:w="506" w:type="pct"/>
            <w:noWrap/>
            <w:hideMark/>
          </w:tcPr>
          <w:p w:rsidR="0001276C" w:rsidRPr="0001276C" w:rsidRDefault="0001276C" w:rsidP="0001276C">
            <w:pPr>
              <w:spacing w:before="0" w:after="0" w:line="240" w:lineRule="auto"/>
            </w:pPr>
            <w:r w:rsidRPr="0001276C">
              <w:t>1226</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p>
        </w:tc>
        <w:tc>
          <w:tcPr>
            <w:tcW w:w="543" w:type="pct"/>
            <w:noWrap/>
            <w:hideMark/>
          </w:tcPr>
          <w:p w:rsidR="0001276C" w:rsidRPr="0001276C" w:rsidRDefault="0001276C" w:rsidP="0001276C">
            <w:pPr>
              <w:spacing w:before="0" w:after="0" w:line="240" w:lineRule="auto"/>
            </w:pPr>
            <w:r w:rsidRPr="0001276C">
              <w:t xml:space="preserve"> </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115</w:t>
            </w:r>
          </w:p>
        </w:tc>
        <w:tc>
          <w:tcPr>
            <w:tcW w:w="1133" w:type="pct"/>
            <w:noWrap/>
            <w:hideMark/>
          </w:tcPr>
          <w:p w:rsidR="0001276C" w:rsidRPr="0001276C" w:rsidRDefault="0001276C" w:rsidP="0001276C">
            <w:pPr>
              <w:spacing w:before="0" w:after="0" w:line="240" w:lineRule="auto"/>
            </w:pPr>
            <w:r w:rsidRPr="0001276C">
              <w:t>Suratari No. 1</w:t>
            </w:r>
          </w:p>
        </w:tc>
        <w:tc>
          <w:tcPr>
            <w:tcW w:w="500" w:type="pct"/>
            <w:noWrap/>
            <w:hideMark/>
          </w:tcPr>
          <w:p w:rsidR="0001276C" w:rsidRPr="0001276C" w:rsidRDefault="0001276C" w:rsidP="0001276C">
            <w:pPr>
              <w:spacing w:before="0" w:after="0" w:line="240" w:lineRule="auto"/>
            </w:pPr>
            <w:r w:rsidRPr="0001276C">
              <w:t>687048</w:t>
            </w:r>
          </w:p>
        </w:tc>
        <w:tc>
          <w:tcPr>
            <w:tcW w:w="500" w:type="pct"/>
            <w:noWrap/>
            <w:hideMark/>
          </w:tcPr>
          <w:p w:rsidR="0001276C" w:rsidRPr="0001276C" w:rsidRDefault="0001276C" w:rsidP="0001276C">
            <w:pPr>
              <w:spacing w:before="0" w:after="0" w:line="240" w:lineRule="auto"/>
            </w:pPr>
            <w:r w:rsidRPr="0001276C">
              <w:t>810723</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1800</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 xml:space="preserve"> </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116</w:t>
            </w:r>
          </w:p>
        </w:tc>
        <w:tc>
          <w:tcPr>
            <w:tcW w:w="1133" w:type="pct"/>
            <w:noWrap/>
            <w:hideMark/>
          </w:tcPr>
          <w:p w:rsidR="0001276C" w:rsidRPr="0001276C" w:rsidRDefault="0001276C" w:rsidP="0001276C">
            <w:pPr>
              <w:spacing w:before="0" w:after="0" w:line="240" w:lineRule="auto"/>
            </w:pPr>
            <w:r w:rsidRPr="0001276C">
              <w:t>Elbulcki No. 1</w:t>
            </w:r>
          </w:p>
        </w:tc>
        <w:tc>
          <w:tcPr>
            <w:tcW w:w="500" w:type="pct"/>
            <w:noWrap/>
            <w:hideMark/>
          </w:tcPr>
          <w:p w:rsidR="0001276C" w:rsidRPr="0001276C" w:rsidRDefault="0001276C" w:rsidP="0001276C">
            <w:pPr>
              <w:spacing w:before="0" w:after="0" w:line="240" w:lineRule="auto"/>
            </w:pPr>
            <w:r w:rsidRPr="0001276C">
              <w:t>687209</w:t>
            </w:r>
          </w:p>
        </w:tc>
        <w:tc>
          <w:tcPr>
            <w:tcW w:w="500" w:type="pct"/>
            <w:noWrap/>
            <w:hideMark/>
          </w:tcPr>
          <w:p w:rsidR="0001276C" w:rsidRPr="0001276C" w:rsidRDefault="0001276C" w:rsidP="0001276C">
            <w:pPr>
              <w:spacing w:before="0" w:after="0" w:line="240" w:lineRule="auto"/>
            </w:pPr>
            <w:r w:rsidRPr="0001276C">
              <w:t>808574</w:t>
            </w:r>
          </w:p>
        </w:tc>
        <w:tc>
          <w:tcPr>
            <w:tcW w:w="519" w:type="pct"/>
            <w:noWrap/>
            <w:hideMark/>
          </w:tcPr>
          <w:p w:rsidR="0001276C" w:rsidRPr="0001276C" w:rsidRDefault="0001276C" w:rsidP="0001276C">
            <w:pPr>
              <w:spacing w:before="0" w:after="0" w:line="240" w:lineRule="auto"/>
            </w:pPr>
            <w:r w:rsidRPr="0001276C">
              <w:t>2</w:t>
            </w:r>
          </w:p>
        </w:tc>
        <w:tc>
          <w:tcPr>
            <w:tcW w:w="506" w:type="pct"/>
            <w:noWrap/>
            <w:hideMark/>
          </w:tcPr>
          <w:p w:rsidR="0001276C" w:rsidRPr="0001276C" w:rsidRDefault="0001276C" w:rsidP="0001276C">
            <w:pPr>
              <w:spacing w:before="0" w:after="0" w:line="240" w:lineRule="auto"/>
            </w:pPr>
            <w:r w:rsidRPr="0001276C">
              <w:t>1898.46</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 xml:space="preserve"> </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117</w:t>
            </w:r>
          </w:p>
        </w:tc>
        <w:tc>
          <w:tcPr>
            <w:tcW w:w="1133" w:type="pct"/>
            <w:noWrap/>
            <w:hideMark/>
          </w:tcPr>
          <w:p w:rsidR="0001276C" w:rsidRPr="0001276C" w:rsidRDefault="0001276C" w:rsidP="0001276C">
            <w:pPr>
              <w:spacing w:before="0" w:after="0" w:line="240" w:lineRule="auto"/>
            </w:pPr>
            <w:r w:rsidRPr="0001276C">
              <w:t>Harewa No 7</w:t>
            </w:r>
          </w:p>
        </w:tc>
        <w:tc>
          <w:tcPr>
            <w:tcW w:w="500" w:type="pct"/>
            <w:noWrap/>
            <w:hideMark/>
          </w:tcPr>
          <w:p w:rsidR="0001276C" w:rsidRPr="0001276C" w:rsidRDefault="0001276C" w:rsidP="0001276C">
            <w:pPr>
              <w:spacing w:before="0" w:after="0" w:line="240" w:lineRule="auto"/>
            </w:pPr>
            <w:r w:rsidRPr="0001276C">
              <w:t>687037</w:t>
            </w:r>
          </w:p>
        </w:tc>
        <w:tc>
          <w:tcPr>
            <w:tcW w:w="500" w:type="pct"/>
            <w:noWrap/>
            <w:hideMark/>
          </w:tcPr>
          <w:p w:rsidR="0001276C" w:rsidRPr="0001276C" w:rsidRDefault="0001276C" w:rsidP="0001276C">
            <w:pPr>
              <w:spacing w:before="0" w:after="0" w:line="240" w:lineRule="auto"/>
            </w:pPr>
            <w:r w:rsidRPr="0001276C">
              <w:t>808639</w:t>
            </w:r>
          </w:p>
        </w:tc>
        <w:tc>
          <w:tcPr>
            <w:tcW w:w="519" w:type="pct"/>
            <w:noWrap/>
            <w:hideMark/>
          </w:tcPr>
          <w:p w:rsidR="0001276C" w:rsidRPr="0001276C" w:rsidRDefault="0001276C" w:rsidP="0001276C">
            <w:pPr>
              <w:spacing w:before="0" w:after="0" w:line="240" w:lineRule="auto"/>
            </w:pPr>
            <w:r w:rsidRPr="0001276C">
              <w:t>3</w:t>
            </w:r>
          </w:p>
        </w:tc>
        <w:tc>
          <w:tcPr>
            <w:tcW w:w="506" w:type="pct"/>
            <w:noWrap/>
            <w:hideMark/>
          </w:tcPr>
          <w:p w:rsidR="0001276C" w:rsidRPr="0001276C" w:rsidRDefault="0001276C" w:rsidP="0001276C">
            <w:pPr>
              <w:spacing w:before="0" w:after="0" w:line="240" w:lineRule="auto"/>
            </w:pPr>
            <w:r w:rsidRPr="0001276C">
              <w:t>1915</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 xml:space="preserve"> </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118</w:t>
            </w:r>
          </w:p>
        </w:tc>
        <w:tc>
          <w:tcPr>
            <w:tcW w:w="1133" w:type="pct"/>
            <w:noWrap/>
            <w:hideMark/>
          </w:tcPr>
          <w:p w:rsidR="0001276C" w:rsidRPr="0001276C" w:rsidRDefault="0001276C" w:rsidP="0001276C">
            <w:pPr>
              <w:spacing w:before="0" w:after="0" w:line="240" w:lineRule="auto"/>
            </w:pPr>
            <w:r w:rsidRPr="0001276C">
              <w:t>Hesernege No. 1</w:t>
            </w:r>
          </w:p>
        </w:tc>
        <w:tc>
          <w:tcPr>
            <w:tcW w:w="500" w:type="pct"/>
            <w:noWrap/>
            <w:hideMark/>
          </w:tcPr>
          <w:p w:rsidR="0001276C" w:rsidRPr="0001276C" w:rsidRDefault="0001276C" w:rsidP="0001276C">
            <w:pPr>
              <w:spacing w:before="0" w:after="0" w:line="240" w:lineRule="auto"/>
            </w:pPr>
            <w:r w:rsidRPr="0001276C">
              <w:t>687209</w:t>
            </w:r>
          </w:p>
        </w:tc>
        <w:tc>
          <w:tcPr>
            <w:tcW w:w="500" w:type="pct"/>
            <w:noWrap/>
            <w:hideMark/>
          </w:tcPr>
          <w:p w:rsidR="0001276C" w:rsidRPr="0001276C" w:rsidRDefault="0001276C" w:rsidP="0001276C">
            <w:pPr>
              <w:spacing w:before="0" w:after="0" w:line="240" w:lineRule="auto"/>
            </w:pPr>
            <w:r w:rsidRPr="0001276C">
              <w:t>808574</w:t>
            </w:r>
          </w:p>
        </w:tc>
        <w:tc>
          <w:tcPr>
            <w:tcW w:w="519" w:type="pct"/>
            <w:noWrap/>
            <w:hideMark/>
          </w:tcPr>
          <w:p w:rsidR="0001276C" w:rsidRPr="0001276C" w:rsidRDefault="0001276C" w:rsidP="0001276C">
            <w:pPr>
              <w:spacing w:before="0" w:after="0" w:line="240" w:lineRule="auto"/>
            </w:pPr>
            <w:r w:rsidRPr="0001276C">
              <w:t>1.75</w:t>
            </w:r>
          </w:p>
        </w:tc>
        <w:tc>
          <w:tcPr>
            <w:tcW w:w="506" w:type="pct"/>
            <w:noWrap/>
            <w:hideMark/>
          </w:tcPr>
          <w:p w:rsidR="0001276C" w:rsidRPr="0001276C" w:rsidRDefault="0001276C" w:rsidP="0001276C">
            <w:pPr>
              <w:spacing w:before="0" w:after="0" w:line="240" w:lineRule="auto"/>
            </w:pPr>
            <w:r w:rsidRPr="0001276C">
              <w:t>1889.25</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 xml:space="preserve"> </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119</w:t>
            </w:r>
          </w:p>
        </w:tc>
        <w:tc>
          <w:tcPr>
            <w:tcW w:w="1133" w:type="pct"/>
            <w:noWrap/>
            <w:hideMark/>
          </w:tcPr>
          <w:p w:rsidR="0001276C" w:rsidRPr="0001276C" w:rsidRDefault="00D25E5D" w:rsidP="00D25E5D">
            <w:pPr>
              <w:spacing w:before="0" w:after="0" w:line="240" w:lineRule="auto"/>
            </w:pPr>
            <w:r>
              <w:t>Harewa No 3_</w:t>
            </w:r>
            <w:r w:rsidR="0001276C" w:rsidRPr="0001276C">
              <w:t>2</w:t>
            </w:r>
          </w:p>
        </w:tc>
        <w:tc>
          <w:tcPr>
            <w:tcW w:w="500" w:type="pct"/>
            <w:noWrap/>
            <w:hideMark/>
          </w:tcPr>
          <w:p w:rsidR="0001276C" w:rsidRPr="0001276C" w:rsidRDefault="0001276C" w:rsidP="0001276C">
            <w:pPr>
              <w:spacing w:before="0" w:after="0" w:line="240" w:lineRule="auto"/>
            </w:pPr>
            <w:r w:rsidRPr="0001276C">
              <w:t>687038</w:t>
            </w:r>
          </w:p>
        </w:tc>
        <w:tc>
          <w:tcPr>
            <w:tcW w:w="500" w:type="pct"/>
            <w:noWrap/>
            <w:hideMark/>
          </w:tcPr>
          <w:p w:rsidR="0001276C" w:rsidRPr="0001276C" w:rsidRDefault="0001276C" w:rsidP="0001276C">
            <w:pPr>
              <w:spacing w:before="0" w:after="0" w:line="240" w:lineRule="auto"/>
            </w:pPr>
            <w:r w:rsidRPr="0001276C">
              <w:t>807960</w:t>
            </w:r>
          </w:p>
        </w:tc>
        <w:tc>
          <w:tcPr>
            <w:tcW w:w="519" w:type="pct"/>
            <w:noWrap/>
            <w:hideMark/>
          </w:tcPr>
          <w:p w:rsidR="0001276C" w:rsidRPr="0001276C" w:rsidRDefault="0001276C" w:rsidP="0001276C">
            <w:pPr>
              <w:spacing w:before="0" w:after="0" w:line="240" w:lineRule="auto"/>
            </w:pPr>
            <w:r w:rsidRPr="0001276C">
              <w:t>1.9</w:t>
            </w:r>
          </w:p>
        </w:tc>
        <w:tc>
          <w:tcPr>
            <w:tcW w:w="506" w:type="pct"/>
            <w:noWrap/>
            <w:hideMark/>
          </w:tcPr>
          <w:p w:rsidR="0001276C" w:rsidRPr="0001276C" w:rsidRDefault="0001276C" w:rsidP="0001276C">
            <w:pPr>
              <w:spacing w:before="0" w:after="0" w:line="240" w:lineRule="auto"/>
            </w:pPr>
            <w:r w:rsidRPr="0001276C">
              <w:t>1888</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 xml:space="preserve"> </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120</w:t>
            </w:r>
          </w:p>
        </w:tc>
        <w:tc>
          <w:tcPr>
            <w:tcW w:w="1133" w:type="pct"/>
            <w:noWrap/>
            <w:hideMark/>
          </w:tcPr>
          <w:p w:rsidR="0001276C" w:rsidRPr="0001276C" w:rsidRDefault="0001276C" w:rsidP="0001276C">
            <w:pPr>
              <w:spacing w:before="0" w:after="0" w:line="240" w:lineRule="auto"/>
            </w:pPr>
            <w:r w:rsidRPr="0001276C">
              <w:t>Wadja No. 1</w:t>
            </w:r>
          </w:p>
        </w:tc>
        <w:tc>
          <w:tcPr>
            <w:tcW w:w="500" w:type="pct"/>
            <w:noWrap/>
            <w:hideMark/>
          </w:tcPr>
          <w:p w:rsidR="0001276C" w:rsidRPr="0001276C" w:rsidRDefault="0001276C" w:rsidP="0001276C">
            <w:pPr>
              <w:spacing w:before="0" w:after="0" w:line="240" w:lineRule="auto"/>
            </w:pPr>
            <w:r w:rsidRPr="0001276C">
              <w:t>690131</w:t>
            </w:r>
          </w:p>
        </w:tc>
        <w:tc>
          <w:tcPr>
            <w:tcW w:w="500" w:type="pct"/>
            <w:noWrap/>
            <w:hideMark/>
          </w:tcPr>
          <w:p w:rsidR="0001276C" w:rsidRPr="0001276C" w:rsidRDefault="0001276C" w:rsidP="0001276C">
            <w:pPr>
              <w:spacing w:before="0" w:after="0" w:line="240" w:lineRule="auto"/>
            </w:pPr>
            <w:r w:rsidRPr="0001276C">
              <w:t>806588</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1825</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 xml:space="preserve"> </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121</w:t>
            </w:r>
          </w:p>
        </w:tc>
        <w:tc>
          <w:tcPr>
            <w:tcW w:w="1133" w:type="pct"/>
            <w:noWrap/>
            <w:hideMark/>
          </w:tcPr>
          <w:p w:rsidR="0001276C" w:rsidRPr="0001276C" w:rsidRDefault="0001276C" w:rsidP="0001276C">
            <w:pPr>
              <w:spacing w:before="0" w:after="0" w:line="240" w:lineRule="auto"/>
            </w:pPr>
            <w:r w:rsidRPr="0001276C">
              <w:t>Harewa No 1 &amp; 2</w:t>
            </w:r>
          </w:p>
        </w:tc>
        <w:tc>
          <w:tcPr>
            <w:tcW w:w="500" w:type="pct"/>
            <w:noWrap/>
            <w:hideMark/>
          </w:tcPr>
          <w:p w:rsidR="0001276C" w:rsidRPr="0001276C" w:rsidRDefault="0001276C" w:rsidP="0001276C">
            <w:pPr>
              <w:spacing w:before="0" w:after="0" w:line="240" w:lineRule="auto"/>
            </w:pPr>
            <w:r w:rsidRPr="0001276C">
              <w:t>685261</w:t>
            </w:r>
          </w:p>
        </w:tc>
        <w:tc>
          <w:tcPr>
            <w:tcW w:w="500" w:type="pct"/>
            <w:noWrap/>
            <w:hideMark/>
          </w:tcPr>
          <w:p w:rsidR="0001276C" w:rsidRPr="0001276C" w:rsidRDefault="0001276C" w:rsidP="0001276C">
            <w:pPr>
              <w:spacing w:before="0" w:after="0" w:line="240" w:lineRule="auto"/>
            </w:pPr>
            <w:r w:rsidRPr="0001276C">
              <w:t>805957</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1849</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 xml:space="preserve"> </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122</w:t>
            </w:r>
          </w:p>
        </w:tc>
        <w:tc>
          <w:tcPr>
            <w:tcW w:w="1133" w:type="pct"/>
            <w:noWrap/>
            <w:hideMark/>
          </w:tcPr>
          <w:p w:rsidR="0001276C" w:rsidRPr="0001276C" w:rsidRDefault="0001276C" w:rsidP="00D25E5D">
            <w:pPr>
              <w:spacing w:before="0" w:after="0" w:line="240" w:lineRule="auto"/>
            </w:pPr>
            <w:r w:rsidRPr="0001276C">
              <w:t>Harewa No</w:t>
            </w:r>
            <w:r w:rsidR="00D25E5D">
              <w:t>_</w:t>
            </w:r>
            <w:r w:rsidRPr="0001276C">
              <w:t>2</w:t>
            </w:r>
          </w:p>
        </w:tc>
        <w:tc>
          <w:tcPr>
            <w:tcW w:w="500" w:type="pct"/>
            <w:noWrap/>
            <w:hideMark/>
          </w:tcPr>
          <w:p w:rsidR="0001276C" w:rsidRPr="0001276C" w:rsidRDefault="0001276C" w:rsidP="0001276C">
            <w:pPr>
              <w:spacing w:before="0" w:after="0" w:line="240" w:lineRule="auto"/>
            </w:pPr>
            <w:r w:rsidRPr="0001276C">
              <w:t>685027</w:t>
            </w:r>
          </w:p>
        </w:tc>
        <w:tc>
          <w:tcPr>
            <w:tcW w:w="500" w:type="pct"/>
            <w:noWrap/>
            <w:hideMark/>
          </w:tcPr>
          <w:p w:rsidR="0001276C" w:rsidRPr="0001276C" w:rsidRDefault="0001276C" w:rsidP="0001276C">
            <w:pPr>
              <w:spacing w:before="0" w:after="0" w:line="240" w:lineRule="auto"/>
            </w:pPr>
            <w:r w:rsidRPr="0001276C">
              <w:t>805989</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1868</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 xml:space="preserve"> </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123</w:t>
            </w:r>
          </w:p>
        </w:tc>
        <w:tc>
          <w:tcPr>
            <w:tcW w:w="1133" w:type="pct"/>
            <w:noWrap/>
            <w:hideMark/>
          </w:tcPr>
          <w:p w:rsidR="0001276C" w:rsidRPr="0001276C" w:rsidRDefault="00F603D6" w:rsidP="00F603D6">
            <w:pPr>
              <w:spacing w:before="0" w:after="0" w:line="240" w:lineRule="auto"/>
            </w:pPr>
            <w:r>
              <w:t>Elbuco &amp; Harwa_</w:t>
            </w:r>
            <w:r w:rsidR="0001276C" w:rsidRPr="0001276C">
              <w:t>8</w:t>
            </w:r>
          </w:p>
        </w:tc>
        <w:tc>
          <w:tcPr>
            <w:tcW w:w="500" w:type="pct"/>
            <w:noWrap/>
            <w:hideMark/>
          </w:tcPr>
          <w:p w:rsidR="0001276C" w:rsidRPr="0001276C" w:rsidRDefault="0001276C" w:rsidP="0001276C">
            <w:pPr>
              <w:spacing w:before="0" w:after="0" w:line="240" w:lineRule="auto"/>
            </w:pPr>
            <w:r w:rsidRPr="0001276C">
              <w:t>683899</w:t>
            </w:r>
          </w:p>
        </w:tc>
        <w:tc>
          <w:tcPr>
            <w:tcW w:w="500" w:type="pct"/>
            <w:noWrap/>
            <w:hideMark/>
          </w:tcPr>
          <w:p w:rsidR="0001276C" w:rsidRPr="0001276C" w:rsidRDefault="0001276C" w:rsidP="0001276C">
            <w:pPr>
              <w:spacing w:before="0" w:after="0" w:line="240" w:lineRule="auto"/>
            </w:pPr>
            <w:r w:rsidRPr="0001276C">
              <w:t>805240</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1908</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 xml:space="preserve"> </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124</w:t>
            </w:r>
          </w:p>
        </w:tc>
        <w:tc>
          <w:tcPr>
            <w:tcW w:w="1133" w:type="pct"/>
            <w:noWrap/>
            <w:hideMark/>
          </w:tcPr>
          <w:p w:rsidR="0001276C" w:rsidRPr="0001276C" w:rsidRDefault="0001276C" w:rsidP="0001276C">
            <w:pPr>
              <w:spacing w:before="0" w:after="0" w:line="240" w:lineRule="auto"/>
            </w:pPr>
            <w:r w:rsidRPr="0001276C">
              <w:t>Harawa No. 2</w:t>
            </w:r>
          </w:p>
        </w:tc>
        <w:tc>
          <w:tcPr>
            <w:tcW w:w="500" w:type="pct"/>
            <w:noWrap/>
            <w:hideMark/>
          </w:tcPr>
          <w:p w:rsidR="0001276C" w:rsidRPr="0001276C" w:rsidRDefault="0001276C" w:rsidP="0001276C">
            <w:pPr>
              <w:spacing w:before="0" w:after="0" w:line="240" w:lineRule="auto"/>
            </w:pPr>
            <w:r w:rsidRPr="0001276C">
              <w:t>680319</w:t>
            </w:r>
          </w:p>
        </w:tc>
        <w:tc>
          <w:tcPr>
            <w:tcW w:w="500" w:type="pct"/>
            <w:noWrap/>
            <w:hideMark/>
          </w:tcPr>
          <w:p w:rsidR="0001276C" w:rsidRPr="0001276C" w:rsidRDefault="0001276C" w:rsidP="0001276C">
            <w:pPr>
              <w:spacing w:before="0" w:after="0" w:line="240" w:lineRule="auto"/>
            </w:pPr>
            <w:r w:rsidRPr="0001276C">
              <w:t>805323</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2068</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 xml:space="preserve"> </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125</w:t>
            </w:r>
          </w:p>
        </w:tc>
        <w:tc>
          <w:tcPr>
            <w:tcW w:w="1133" w:type="pct"/>
            <w:noWrap/>
            <w:hideMark/>
          </w:tcPr>
          <w:p w:rsidR="0001276C" w:rsidRPr="0001276C" w:rsidRDefault="0001276C" w:rsidP="0001276C">
            <w:pPr>
              <w:spacing w:before="0" w:after="0" w:line="240" w:lineRule="auto"/>
            </w:pPr>
            <w:r w:rsidRPr="0001276C">
              <w:t>Harawa No. 3</w:t>
            </w:r>
          </w:p>
        </w:tc>
        <w:tc>
          <w:tcPr>
            <w:tcW w:w="500" w:type="pct"/>
            <w:noWrap/>
            <w:hideMark/>
          </w:tcPr>
          <w:p w:rsidR="0001276C" w:rsidRPr="0001276C" w:rsidRDefault="0001276C" w:rsidP="0001276C">
            <w:pPr>
              <w:spacing w:before="0" w:after="0" w:line="240" w:lineRule="auto"/>
            </w:pPr>
            <w:r w:rsidRPr="0001276C">
              <w:t>680319</w:t>
            </w:r>
          </w:p>
        </w:tc>
        <w:tc>
          <w:tcPr>
            <w:tcW w:w="500" w:type="pct"/>
            <w:noWrap/>
            <w:hideMark/>
          </w:tcPr>
          <w:p w:rsidR="0001276C" w:rsidRPr="0001276C" w:rsidRDefault="0001276C" w:rsidP="0001276C">
            <w:pPr>
              <w:spacing w:before="0" w:after="0" w:line="240" w:lineRule="auto"/>
            </w:pPr>
            <w:r w:rsidRPr="0001276C">
              <w:t>805323</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2002</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 xml:space="preserve"> </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126</w:t>
            </w:r>
          </w:p>
        </w:tc>
        <w:tc>
          <w:tcPr>
            <w:tcW w:w="1133" w:type="pct"/>
            <w:noWrap/>
            <w:hideMark/>
          </w:tcPr>
          <w:p w:rsidR="0001276C" w:rsidRPr="0001276C" w:rsidRDefault="0001276C" w:rsidP="0001276C">
            <w:pPr>
              <w:spacing w:before="0" w:after="0" w:line="240" w:lineRule="auto"/>
            </w:pPr>
            <w:r w:rsidRPr="0001276C">
              <w:t>Harawa No. 4</w:t>
            </w:r>
          </w:p>
        </w:tc>
        <w:tc>
          <w:tcPr>
            <w:tcW w:w="500" w:type="pct"/>
            <w:noWrap/>
            <w:hideMark/>
          </w:tcPr>
          <w:p w:rsidR="0001276C" w:rsidRPr="0001276C" w:rsidRDefault="0001276C" w:rsidP="0001276C">
            <w:pPr>
              <w:spacing w:before="0" w:after="0" w:line="240" w:lineRule="auto"/>
            </w:pPr>
            <w:r w:rsidRPr="0001276C">
              <w:t>680319</w:t>
            </w:r>
          </w:p>
        </w:tc>
        <w:tc>
          <w:tcPr>
            <w:tcW w:w="500" w:type="pct"/>
            <w:noWrap/>
            <w:hideMark/>
          </w:tcPr>
          <w:p w:rsidR="0001276C" w:rsidRPr="0001276C" w:rsidRDefault="0001276C" w:rsidP="0001276C">
            <w:pPr>
              <w:spacing w:before="0" w:after="0" w:line="240" w:lineRule="auto"/>
            </w:pPr>
            <w:r w:rsidRPr="0001276C">
              <w:t>805323</w:t>
            </w:r>
          </w:p>
        </w:tc>
        <w:tc>
          <w:tcPr>
            <w:tcW w:w="519" w:type="pct"/>
            <w:noWrap/>
            <w:hideMark/>
          </w:tcPr>
          <w:p w:rsidR="0001276C" w:rsidRPr="0001276C" w:rsidRDefault="0001276C" w:rsidP="0001276C">
            <w:pPr>
              <w:spacing w:before="0" w:after="0" w:line="240" w:lineRule="auto"/>
            </w:pPr>
            <w:r w:rsidRPr="0001276C">
              <w:t>0.42</w:t>
            </w:r>
          </w:p>
        </w:tc>
        <w:tc>
          <w:tcPr>
            <w:tcW w:w="506" w:type="pct"/>
            <w:noWrap/>
            <w:hideMark/>
          </w:tcPr>
          <w:p w:rsidR="0001276C" w:rsidRPr="0001276C" w:rsidRDefault="0001276C" w:rsidP="0001276C">
            <w:pPr>
              <w:spacing w:before="0" w:after="0" w:line="240" w:lineRule="auto"/>
            </w:pPr>
            <w:r w:rsidRPr="0001276C">
              <w:t>2092</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 xml:space="preserve"> </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127</w:t>
            </w:r>
          </w:p>
        </w:tc>
        <w:tc>
          <w:tcPr>
            <w:tcW w:w="1133" w:type="pct"/>
            <w:noWrap/>
            <w:hideMark/>
          </w:tcPr>
          <w:p w:rsidR="0001276C" w:rsidRPr="0001276C" w:rsidRDefault="0001276C" w:rsidP="0001276C">
            <w:pPr>
              <w:spacing w:before="0" w:after="0" w:line="240" w:lineRule="auto"/>
            </w:pPr>
            <w:r w:rsidRPr="0001276C">
              <w:t>Harawa No. 5</w:t>
            </w:r>
          </w:p>
        </w:tc>
        <w:tc>
          <w:tcPr>
            <w:tcW w:w="500" w:type="pct"/>
            <w:noWrap/>
            <w:hideMark/>
          </w:tcPr>
          <w:p w:rsidR="0001276C" w:rsidRPr="0001276C" w:rsidRDefault="0001276C" w:rsidP="0001276C">
            <w:pPr>
              <w:spacing w:before="0" w:after="0" w:line="240" w:lineRule="auto"/>
            </w:pPr>
            <w:r w:rsidRPr="0001276C">
              <w:t>680319</w:t>
            </w:r>
          </w:p>
        </w:tc>
        <w:tc>
          <w:tcPr>
            <w:tcW w:w="500" w:type="pct"/>
            <w:noWrap/>
            <w:hideMark/>
          </w:tcPr>
          <w:p w:rsidR="0001276C" w:rsidRPr="0001276C" w:rsidRDefault="0001276C" w:rsidP="0001276C">
            <w:pPr>
              <w:spacing w:before="0" w:after="0" w:line="240" w:lineRule="auto"/>
            </w:pPr>
            <w:r w:rsidRPr="0001276C">
              <w:t>805323</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1916</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 xml:space="preserve"> </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128</w:t>
            </w:r>
          </w:p>
        </w:tc>
        <w:tc>
          <w:tcPr>
            <w:tcW w:w="1133" w:type="pct"/>
            <w:noWrap/>
            <w:hideMark/>
          </w:tcPr>
          <w:p w:rsidR="0001276C" w:rsidRPr="0001276C" w:rsidRDefault="0001276C" w:rsidP="0001276C">
            <w:pPr>
              <w:spacing w:before="0" w:after="0" w:line="240" w:lineRule="auto"/>
            </w:pPr>
            <w:r w:rsidRPr="0001276C">
              <w:t>Weltai Atota</w:t>
            </w:r>
          </w:p>
        </w:tc>
        <w:tc>
          <w:tcPr>
            <w:tcW w:w="500" w:type="pct"/>
            <w:noWrap/>
            <w:hideMark/>
          </w:tcPr>
          <w:p w:rsidR="0001276C" w:rsidRPr="0001276C" w:rsidRDefault="0001276C" w:rsidP="0001276C">
            <w:pPr>
              <w:spacing w:before="0" w:after="0" w:line="240" w:lineRule="auto"/>
            </w:pPr>
            <w:r w:rsidRPr="0001276C">
              <w:t>672952</w:t>
            </w:r>
          </w:p>
        </w:tc>
        <w:tc>
          <w:tcPr>
            <w:tcW w:w="500" w:type="pct"/>
            <w:noWrap/>
            <w:hideMark/>
          </w:tcPr>
          <w:p w:rsidR="0001276C" w:rsidRPr="0001276C" w:rsidRDefault="0001276C" w:rsidP="0001276C">
            <w:pPr>
              <w:spacing w:before="0" w:after="0" w:line="240" w:lineRule="auto"/>
            </w:pPr>
            <w:r w:rsidRPr="0001276C">
              <w:t>804715</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2037</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 xml:space="preserve"> </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129</w:t>
            </w:r>
          </w:p>
        </w:tc>
        <w:tc>
          <w:tcPr>
            <w:tcW w:w="1133" w:type="pct"/>
            <w:noWrap/>
            <w:hideMark/>
          </w:tcPr>
          <w:p w:rsidR="0001276C" w:rsidRPr="0001276C" w:rsidRDefault="0001276C" w:rsidP="0001276C">
            <w:pPr>
              <w:spacing w:before="0" w:after="0" w:line="240" w:lineRule="auto"/>
            </w:pPr>
            <w:r w:rsidRPr="0001276C">
              <w:t>Wolti Hatota No. 3</w:t>
            </w:r>
          </w:p>
        </w:tc>
        <w:tc>
          <w:tcPr>
            <w:tcW w:w="500" w:type="pct"/>
            <w:noWrap/>
            <w:hideMark/>
          </w:tcPr>
          <w:p w:rsidR="0001276C" w:rsidRPr="0001276C" w:rsidRDefault="0001276C" w:rsidP="0001276C">
            <w:pPr>
              <w:spacing w:before="0" w:after="0" w:line="240" w:lineRule="auto"/>
            </w:pPr>
            <w:r w:rsidRPr="0001276C">
              <w:t>678486</w:t>
            </w:r>
          </w:p>
        </w:tc>
        <w:tc>
          <w:tcPr>
            <w:tcW w:w="500" w:type="pct"/>
            <w:noWrap/>
            <w:hideMark/>
          </w:tcPr>
          <w:p w:rsidR="0001276C" w:rsidRPr="0001276C" w:rsidRDefault="0001276C" w:rsidP="0001276C">
            <w:pPr>
              <w:spacing w:before="0" w:after="0" w:line="240" w:lineRule="auto"/>
            </w:pPr>
            <w:r w:rsidRPr="0001276C">
              <w:t>803473</w:t>
            </w:r>
          </w:p>
        </w:tc>
        <w:tc>
          <w:tcPr>
            <w:tcW w:w="519" w:type="pct"/>
            <w:noWrap/>
            <w:hideMark/>
          </w:tcPr>
          <w:p w:rsidR="0001276C" w:rsidRPr="0001276C" w:rsidRDefault="0001276C" w:rsidP="0001276C">
            <w:pPr>
              <w:spacing w:before="0" w:after="0" w:line="240" w:lineRule="auto"/>
            </w:pPr>
            <w:r w:rsidRPr="0001276C">
              <w:t>2</w:t>
            </w:r>
          </w:p>
        </w:tc>
        <w:tc>
          <w:tcPr>
            <w:tcW w:w="506" w:type="pct"/>
            <w:noWrap/>
            <w:hideMark/>
          </w:tcPr>
          <w:p w:rsidR="0001276C" w:rsidRPr="0001276C" w:rsidRDefault="0001276C" w:rsidP="0001276C">
            <w:pPr>
              <w:spacing w:before="0" w:after="0" w:line="240" w:lineRule="auto"/>
            </w:pPr>
            <w:r w:rsidRPr="0001276C">
              <w:t>2011</w:t>
            </w:r>
          </w:p>
        </w:tc>
        <w:tc>
          <w:tcPr>
            <w:tcW w:w="364" w:type="pct"/>
            <w:noWrap/>
            <w:hideMark/>
          </w:tcPr>
          <w:p w:rsidR="0001276C" w:rsidRPr="0001276C" w:rsidRDefault="0001276C" w:rsidP="0001276C">
            <w:pPr>
              <w:spacing w:before="0" w:after="0" w:line="240" w:lineRule="auto"/>
            </w:pPr>
            <w:r w:rsidRPr="0001276C">
              <w:t>DW</w:t>
            </w:r>
          </w:p>
        </w:tc>
        <w:tc>
          <w:tcPr>
            <w:tcW w:w="543"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 xml:space="preserve"> </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130</w:t>
            </w:r>
          </w:p>
        </w:tc>
        <w:tc>
          <w:tcPr>
            <w:tcW w:w="1133" w:type="pct"/>
            <w:noWrap/>
            <w:hideMark/>
          </w:tcPr>
          <w:p w:rsidR="0001276C" w:rsidRPr="0001276C" w:rsidRDefault="0001276C" w:rsidP="0001276C">
            <w:pPr>
              <w:spacing w:before="0" w:after="0" w:line="240" w:lineRule="auto"/>
            </w:pPr>
            <w:r w:rsidRPr="0001276C">
              <w:t>Wolti Hatota No. 2</w:t>
            </w:r>
          </w:p>
        </w:tc>
        <w:tc>
          <w:tcPr>
            <w:tcW w:w="500" w:type="pct"/>
            <w:noWrap/>
            <w:hideMark/>
          </w:tcPr>
          <w:p w:rsidR="0001276C" w:rsidRPr="0001276C" w:rsidRDefault="0001276C" w:rsidP="0001276C">
            <w:pPr>
              <w:spacing w:before="0" w:after="0" w:line="240" w:lineRule="auto"/>
            </w:pPr>
            <w:r w:rsidRPr="0001276C">
              <w:t>672198</w:t>
            </w:r>
          </w:p>
        </w:tc>
        <w:tc>
          <w:tcPr>
            <w:tcW w:w="500" w:type="pct"/>
            <w:noWrap/>
            <w:hideMark/>
          </w:tcPr>
          <w:p w:rsidR="0001276C" w:rsidRPr="0001276C" w:rsidRDefault="0001276C" w:rsidP="0001276C">
            <w:pPr>
              <w:spacing w:before="0" w:after="0" w:line="240" w:lineRule="auto"/>
            </w:pPr>
            <w:r w:rsidRPr="0001276C">
              <w:t>803144</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1879</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 xml:space="preserve"> </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131</w:t>
            </w:r>
          </w:p>
        </w:tc>
        <w:tc>
          <w:tcPr>
            <w:tcW w:w="1133" w:type="pct"/>
            <w:noWrap/>
            <w:hideMark/>
          </w:tcPr>
          <w:p w:rsidR="0001276C" w:rsidRPr="0001276C" w:rsidRDefault="0001276C" w:rsidP="0001276C">
            <w:pPr>
              <w:spacing w:before="0" w:after="0" w:line="240" w:lineRule="auto"/>
            </w:pPr>
            <w:r w:rsidRPr="0001276C">
              <w:t>Akasha</w:t>
            </w:r>
          </w:p>
        </w:tc>
        <w:tc>
          <w:tcPr>
            <w:tcW w:w="500" w:type="pct"/>
            <w:noWrap/>
            <w:hideMark/>
          </w:tcPr>
          <w:p w:rsidR="0001276C" w:rsidRPr="0001276C" w:rsidRDefault="0001276C" w:rsidP="0001276C">
            <w:pPr>
              <w:spacing w:before="0" w:after="0" w:line="240" w:lineRule="auto"/>
            </w:pPr>
            <w:r w:rsidRPr="0001276C">
              <w:t>679194</w:t>
            </w:r>
          </w:p>
        </w:tc>
        <w:tc>
          <w:tcPr>
            <w:tcW w:w="500" w:type="pct"/>
            <w:noWrap/>
            <w:hideMark/>
          </w:tcPr>
          <w:p w:rsidR="0001276C" w:rsidRPr="0001276C" w:rsidRDefault="0001276C" w:rsidP="0001276C">
            <w:pPr>
              <w:spacing w:before="0" w:after="0" w:line="240" w:lineRule="auto"/>
            </w:pPr>
            <w:r w:rsidRPr="0001276C">
              <w:t>801693</w:t>
            </w:r>
          </w:p>
        </w:tc>
        <w:tc>
          <w:tcPr>
            <w:tcW w:w="519" w:type="pct"/>
            <w:noWrap/>
            <w:hideMark/>
          </w:tcPr>
          <w:p w:rsidR="0001276C" w:rsidRPr="0001276C" w:rsidRDefault="0001276C" w:rsidP="0001276C">
            <w:pPr>
              <w:spacing w:before="0" w:after="0" w:line="240" w:lineRule="auto"/>
            </w:pPr>
            <w:r w:rsidRPr="0001276C">
              <w:t>3</w:t>
            </w:r>
          </w:p>
        </w:tc>
        <w:tc>
          <w:tcPr>
            <w:tcW w:w="506" w:type="pct"/>
            <w:noWrap/>
            <w:hideMark/>
          </w:tcPr>
          <w:p w:rsidR="0001276C" w:rsidRPr="0001276C" w:rsidRDefault="0001276C" w:rsidP="0001276C">
            <w:pPr>
              <w:spacing w:before="0" w:after="0" w:line="240" w:lineRule="auto"/>
            </w:pPr>
            <w:r w:rsidRPr="0001276C">
              <w:t>1962</w:t>
            </w:r>
          </w:p>
        </w:tc>
        <w:tc>
          <w:tcPr>
            <w:tcW w:w="364" w:type="pct"/>
            <w:noWrap/>
            <w:hideMark/>
          </w:tcPr>
          <w:p w:rsidR="0001276C" w:rsidRPr="0001276C" w:rsidRDefault="0001276C" w:rsidP="0001276C">
            <w:pPr>
              <w:spacing w:before="0" w:after="0" w:line="240" w:lineRule="auto"/>
            </w:pPr>
            <w:r w:rsidRPr="0001276C">
              <w:t>SP</w:t>
            </w:r>
          </w:p>
        </w:tc>
        <w:tc>
          <w:tcPr>
            <w:tcW w:w="543"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 xml:space="preserve"> </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132</w:t>
            </w:r>
          </w:p>
        </w:tc>
        <w:tc>
          <w:tcPr>
            <w:tcW w:w="1133" w:type="pct"/>
            <w:noWrap/>
            <w:hideMark/>
          </w:tcPr>
          <w:p w:rsidR="0001276C" w:rsidRPr="0001276C" w:rsidRDefault="0001276C" w:rsidP="0001276C">
            <w:pPr>
              <w:spacing w:before="0" w:after="0" w:line="240" w:lineRule="auto"/>
            </w:pPr>
            <w:r w:rsidRPr="0001276C">
              <w:t>Harana No. 1</w:t>
            </w:r>
          </w:p>
        </w:tc>
        <w:tc>
          <w:tcPr>
            <w:tcW w:w="500" w:type="pct"/>
            <w:noWrap/>
            <w:hideMark/>
          </w:tcPr>
          <w:p w:rsidR="0001276C" w:rsidRPr="0001276C" w:rsidRDefault="0001276C" w:rsidP="0001276C">
            <w:pPr>
              <w:spacing w:before="0" w:after="0" w:line="240" w:lineRule="auto"/>
            </w:pPr>
            <w:r w:rsidRPr="0001276C">
              <w:t>684934</w:t>
            </w:r>
          </w:p>
        </w:tc>
        <w:tc>
          <w:tcPr>
            <w:tcW w:w="500" w:type="pct"/>
            <w:noWrap/>
            <w:hideMark/>
          </w:tcPr>
          <w:p w:rsidR="0001276C" w:rsidRPr="0001276C" w:rsidRDefault="0001276C" w:rsidP="0001276C">
            <w:pPr>
              <w:spacing w:before="0" w:after="0" w:line="240" w:lineRule="auto"/>
            </w:pPr>
            <w:r w:rsidRPr="0001276C">
              <w:t>801807</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1760</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 xml:space="preserve"> </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133</w:t>
            </w:r>
          </w:p>
        </w:tc>
        <w:tc>
          <w:tcPr>
            <w:tcW w:w="1133" w:type="pct"/>
            <w:noWrap/>
            <w:hideMark/>
          </w:tcPr>
          <w:p w:rsidR="0001276C" w:rsidRPr="0001276C" w:rsidRDefault="0001276C" w:rsidP="0001276C">
            <w:pPr>
              <w:spacing w:before="0" w:after="0" w:line="240" w:lineRule="auto"/>
            </w:pPr>
            <w:r w:rsidRPr="0001276C">
              <w:t>Arda Gelma</w:t>
            </w:r>
          </w:p>
        </w:tc>
        <w:tc>
          <w:tcPr>
            <w:tcW w:w="500" w:type="pct"/>
            <w:noWrap/>
            <w:hideMark/>
          </w:tcPr>
          <w:p w:rsidR="0001276C" w:rsidRPr="0001276C" w:rsidRDefault="0001276C" w:rsidP="0001276C">
            <w:pPr>
              <w:spacing w:before="0" w:after="0" w:line="240" w:lineRule="auto"/>
            </w:pPr>
            <w:r w:rsidRPr="0001276C">
              <w:t>703138</w:t>
            </w:r>
          </w:p>
        </w:tc>
        <w:tc>
          <w:tcPr>
            <w:tcW w:w="500" w:type="pct"/>
            <w:noWrap/>
            <w:hideMark/>
          </w:tcPr>
          <w:p w:rsidR="0001276C" w:rsidRPr="0001276C" w:rsidRDefault="0001276C" w:rsidP="0001276C">
            <w:pPr>
              <w:spacing w:before="0" w:after="0" w:line="240" w:lineRule="auto"/>
            </w:pPr>
            <w:r w:rsidRPr="0001276C">
              <w:t>801078</w:t>
            </w:r>
          </w:p>
        </w:tc>
        <w:tc>
          <w:tcPr>
            <w:tcW w:w="519" w:type="pct"/>
            <w:noWrap/>
            <w:hideMark/>
          </w:tcPr>
          <w:p w:rsidR="0001276C" w:rsidRPr="0001276C" w:rsidRDefault="0001276C" w:rsidP="0001276C">
            <w:pPr>
              <w:spacing w:before="0" w:after="0" w:line="240" w:lineRule="auto"/>
            </w:pPr>
            <w:r w:rsidRPr="0001276C">
              <w:t>2.5</w:t>
            </w:r>
          </w:p>
        </w:tc>
        <w:tc>
          <w:tcPr>
            <w:tcW w:w="506" w:type="pct"/>
            <w:noWrap/>
            <w:hideMark/>
          </w:tcPr>
          <w:p w:rsidR="0001276C" w:rsidRPr="0001276C" w:rsidRDefault="0001276C" w:rsidP="0001276C">
            <w:pPr>
              <w:spacing w:before="0" w:after="0" w:line="240" w:lineRule="auto"/>
            </w:pPr>
            <w:r w:rsidRPr="0001276C">
              <w:t>1703</w:t>
            </w:r>
          </w:p>
        </w:tc>
        <w:tc>
          <w:tcPr>
            <w:tcW w:w="364" w:type="pct"/>
            <w:noWrap/>
            <w:hideMark/>
          </w:tcPr>
          <w:p w:rsidR="0001276C" w:rsidRPr="0001276C" w:rsidRDefault="0001276C" w:rsidP="0001276C">
            <w:pPr>
              <w:spacing w:before="0" w:after="0" w:line="240" w:lineRule="auto"/>
            </w:pPr>
            <w:r w:rsidRPr="0001276C">
              <w:t>SP</w:t>
            </w:r>
          </w:p>
        </w:tc>
        <w:tc>
          <w:tcPr>
            <w:tcW w:w="543"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 xml:space="preserve"> </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134</w:t>
            </w:r>
          </w:p>
        </w:tc>
        <w:tc>
          <w:tcPr>
            <w:tcW w:w="1133" w:type="pct"/>
            <w:noWrap/>
            <w:hideMark/>
          </w:tcPr>
          <w:p w:rsidR="0001276C" w:rsidRPr="0001276C" w:rsidRDefault="0001276C" w:rsidP="0001276C">
            <w:pPr>
              <w:spacing w:before="0" w:after="0" w:line="240" w:lineRule="auto"/>
            </w:pPr>
            <w:r w:rsidRPr="0001276C">
              <w:t>Kebena</w:t>
            </w:r>
          </w:p>
        </w:tc>
        <w:tc>
          <w:tcPr>
            <w:tcW w:w="500" w:type="pct"/>
            <w:noWrap/>
            <w:hideMark/>
          </w:tcPr>
          <w:p w:rsidR="0001276C" w:rsidRPr="0001276C" w:rsidRDefault="0001276C" w:rsidP="0001276C">
            <w:pPr>
              <w:spacing w:before="0" w:after="0" w:line="240" w:lineRule="auto"/>
            </w:pPr>
            <w:r w:rsidRPr="0001276C">
              <w:t>673327</w:t>
            </w:r>
          </w:p>
        </w:tc>
        <w:tc>
          <w:tcPr>
            <w:tcW w:w="500" w:type="pct"/>
            <w:noWrap/>
            <w:hideMark/>
          </w:tcPr>
          <w:p w:rsidR="0001276C" w:rsidRPr="0001276C" w:rsidRDefault="0001276C" w:rsidP="0001276C">
            <w:pPr>
              <w:spacing w:before="0" w:after="0" w:line="240" w:lineRule="auto"/>
            </w:pPr>
            <w:r w:rsidRPr="0001276C">
              <w:t>798220</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1969</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 xml:space="preserve"> </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135</w:t>
            </w:r>
          </w:p>
        </w:tc>
        <w:tc>
          <w:tcPr>
            <w:tcW w:w="1133" w:type="pct"/>
            <w:noWrap/>
            <w:hideMark/>
          </w:tcPr>
          <w:p w:rsidR="0001276C" w:rsidRPr="0001276C" w:rsidRDefault="0001276C" w:rsidP="0001276C">
            <w:pPr>
              <w:spacing w:before="0" w:after="0" w:line="240" w:lineRule="auto"/>
            </w:pPr>
            <w:r w:rsidRPr="0001276C">
              <w:t>Tulu Jaja No 3</w:t>
            </w:r>
          </w:p>
        </w:tc>
        <w:tc>
          <w:tcPr>
            <w:tcW w:w="500" w:type="pct"/>
            <w:noWrap/>
            <w:hideMark/>
          </w:tcPr>
          <w:p w:rsidR="0001276C" w:rsidRPr="0001276C" w:rsidRDefault="0001276C" w:rsidP="0001276C">
            <w:pPr>
              <w:spacing w:before="0" w:after="0" w:line="240" w:lineRule="auto"/>
            </w:pPr>
            <w:r w:rsidRPr="0001276C">
              <w:t>686627</w:t>
            </w:r>
          </w:p>
        </w:tc>
        <w:tc>
          <w:tcPr>
            <w:tcW w:w="500" w:type="pct"/>
            <w:noWrap/>
            <w:hideMark/>
          </w:tcPr>
          <w:p w:rsidR="0001276C" w:rsidRPr="0001276C" w:rsidRDefault="0001276C" w:rsidP="0001276C">
            <w:pPr>
              <w:spacing w:before="0" w:after="0" w:line="240" w:lineRule="auto"/>
            </w:pPr>
            <w:r w:rsidRPr="0001276C">
              <w:t>797056</w:t>
            </w:r>
          </w:p>
        </w:tc>
        <w:tc>
          <w:tcPr>
            <w:tcW w:w="519" w:type="pct"/>
            <w:noWrap/>
            <w:hideMark/>
          </w:tcPr>
          <w:p w:rsidR="0001276C" w:rsidRPr="0001276C" w:rsidRDefault="0001276C" w:rsidP="0001276C">
            <w:pPr>
              <w:spacing w:before="0" w:after="0" w:line="240" w:lineRule="auto"/>
            </w:pPr>
            <w:r w:rsidRPr="0001276C">
              <w:t>0.5</w:t>
            </w:r>
          </w:p>
        </w:tc>
        <w:tc>
          <w:tcPr>
            <w:tcW w:w="506" w:type="pct"/>
            <w:noWrap/>
            <w:hideMark/>
          </w:tcPr>
          <w:p w:rsidR="0001276C" w:rsidRPr="0001276C" w:rsidRDefault="0001276C" w:rsidP="0001276C">
            <w:pPr>
              <w:spacing w:before="0" w:after="0" w:line="240" w:lineRule="auto"/>
            </w:pPr>
            <w:r w:rsidRPr="0001276C">
              <w:t>1883</w:t>
            </w:r>
          </w:p>
        </w:tc>
        <w:tc>
          <w:tcPr>
            <w:tcW w:w="364" w:type="pct"/>
            <w:noWrap/>
            <w:hideMark/>
          </w:tcPr>
          <w:p w:rsidR="0001276C" w:rsidRPr="0001276C" w:rsidRDefault="0001276C" w:rsidP="0001276C">
            <w:pPr>
              <w:spacing w:before="0" w:after="0" w:line="240" w:lineRule="auto"/>
            </w:pPr>
            <w:r w:rsidRPr="0001276C">
              <w:t>DW</w:t>
            </w:r>
          </w:p>
        </w:tc>
        <w:tc>
          <w:tcPr>
            <w:tcW w:w="543"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 xml:space="preserve"> </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136</w:t>
            </w:r>
          </w:p>
        </w:tc>
        <w:tc>
          <w:tcPr>
            <w:tcW w:w="1133" w:type="pct"/>
            <w:noWrap/>
            <w:hideMark/>
          </w:tcPr>
          <w:p w:rsidR="0001276C" w:rsidRPr="0001276C" w:rsidRDefault="0001276C" w:rsidP="0001276C">
            <w:pPr>
              <w:spacing w:before="0" w:after="0" w:line="240" w:lineRule="auto"/>
            </w:pPr>
            <w:r w:rsidRPr="0001276C">
              <w:t>Sede Fente No 2</w:t>
            </w:r>
          </w:p>
        </w:tc>
        <w:tc>
          <w:tcPr>
            <w:tcW w:w="500" w:type="pct"/>
            <w:noWrap/>
            <w:hideMark/>
          </w:tcPr>
          <w:p w:rsidR="0001276C" w:rsidRPr="0001276C" w:rsidRDefault="0001276C" w:rsidP="0001276C">
            <w:pPr>
              <w:spacing w:before="0" w:after="0" w:line="240" w:lineRule="auto"/>
            </w:pPr>
            <w:r w:rsidRPr="0001276C">
              <w:t>684845</w:t>
            </w:r>
          </w:p>
        </w:tc>
        <w:tc>
          <w:tcPr>
            <w:tcW w:w="500" w:type="pct"/>
            <w:noWrap/>
            <w:hideMark/>
          </w:tcPr>
          <w:p w:rsidR="0001276C" w:rsidRPr="0001276C" w:rsidRDefault="0001276C" w:rsidP="0001276C">
            <w:pPr>
              <w:spacing w:before="0" w:after="0" w:line="240" w:lineRule="auto"/>
            </w:pPr>
            <w:r w:rsidRPr="0001276C">
              <w:t>795839</w:t>
            </w:r>
          </w:p>
        </w:tc>
        <w:tc>
          <w:tcPr>
            <w:tcW w:w="519" w:type="pct"/>
            <w:noWrap/>
            <w:hideMark/>
          </w:tcPr>
          <w:p w:rsidR="0001276C" w:rsidRPr="0001276C" w:rsidRDefault="0001276C" w:rsidP="0001276C">
            <w:pPr>
              <w:spacing w:before="0" w:after="0" w:line="240" w:lineRule="auto"/>
            </w:pPr>
            <w:r w:rsidRPr="0001276C">
              <w:t>0.6</w:t>
            </w:r>
          </w:p>
        </w:tc>
        <w:tc>
          <w:tcPr>
            <w:tcW w:w="506" w:type="pct"/>
            <w:noWrap/>
            <w:hideMark/>
          </w:tcPr>
          <w:p w:rsidR="0001276C" w:rsidRPr="0001276C" w:rsidRDefault="0001276C" w:rsidP="0001276C">
            <w:pPr>
              <w:spacing w:before="0" w:after="0" w:line="240" w:lineRule="auto"/>
            </w:pPr>
            <w:r w:rsidRPr="0001276C">
              <w:t>1858</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 xml:space="preserve"> </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137</w:t>
            </w:r>
          </w:p>
        </w:tc>
        <w:tc>
          <w:tcPr>
            <w:tcW w:w="1133" w:type="pct"/>
            <w:noWrap/>
            <w:hideMark/>
          </w:tcPr>
          <w:p w:rsidR="0001276C" w:rsidRPr="0001276C" w:rsidRDefault="0001276C" w:rsidP="0001276C">
            <w:pPr>
              <w:spacing w:before="0" w:after="0" w:line="240" w:lineRule="auto"/>
            </w:pPr>
            <w:r w:rsidRPr="0001276C">
              <w:t>Tulu Jaja No 1</w:t>
            </w:r>
          </w:p>
        </w:tc>
        <w:tc>
          <w:tcPr>
            <w:tcW w:w="500" w:type="pct"/>
            <w:noWrap/>
            <w:hideMark/>
          </w:tcPr>
          <w:p w:rsidR="0001276C" w:rsidRPr="0001276C" w:rsidRDefault="0001276C" w:rsidP="0001276C">
            <w:pPr>
              <w:spacing w:before="0" w:after="0" w:line="240" w:lineRule="auto"/>
            </w:pPr>
            <w:r w:rsidRPr="0001276C">
              <w:t>686853</w:t>
            </w:r>
          </w:p>
        </w:tc>
        <w:tc>
          <w:tcPr>
            <w:tcW w:w="500" w:type="pct"/>
            <w:noWrap/>
            <w:hideMark/>
          </w:tcPr>
          <w:p w:rsidR="0001276C" w:rsidRPr="0001276C" w:rsidRDefault="0001276C" w:rsidP="0001276C">
            <w:pPr>
              <w:spacing w:before="0" w:after="0" w:line="240" w:lineRule="auto"/>
            </w:pPr>
            <w:r w:rsidRPr="0001276C">
              <w:t>795623</w:t>
            </w:r>
          </w:p>
        </w:tc>
        <w:tc>
          <w:tcPr>
            <w:tcW w:w="519" w:type="pct"/>
            <w:noWrap/>
            <w:hideMark/>
          </w:tcPr>
          <w:p w:rsidR="0001276C" w:rsidRPr="0001276C" w:rsidRDefault="0001276C" w:rsidP="0001276C">
            <w:pPr>
              <w:spacing w:before="0" w:after="0" w:line="240" w:lineRule="auto"/>
            </w:pPr>
            <w:r w:rsidRPr="0001276C">
              <w:t>3</w:t>
            </w:r>
          </w:p>
        </w:tc>
        <w:tc>
          <w:tcPr>
            <w:tcW w:w="506" w:type="pct"/>
            <w:noWrap/>
            <w:hideMark/>
          </w:tcPr>
          <w:p w:rsidR="0001276C" w:rsidRPr="0001276C" w:rsidRDefault="0001276C" w:rsidP="0001276C">
            <w:pPr>
              <w:spacing w:before="0" w:after="0" w:line="240" w:lineRule="auto"/>
            </w:pPr>
            <w:r w:rsidRPr="0001276C">
              <w:t>1849</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 xml:space="preserve"> </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138</w:t>
            </w:r>
          </w:p>
        </w:tc>
        <w:tc>
          <w:tcPr>
            <w:tcW w:w="1133" w:type="pct"/>
            <w:noWrap/>
            <w:hideMark/>
          </w:tcPr>
          <w:p w:rsidR="0001276C" w:rsidRPr="0001276C" w:rsidRDefault="0001276C" w:rsidP="0001276C">
            <w:pPr>
              <w:spacing w:before="0" w:after="0" w:line="240" w:lineRule="auto"/>
            </w:pPr>
            <w:r w:rsidRPr="0001276C">
              <w:t>Tulu Jaja No 2</w:t>
            </w:r>
          </w:p>
        </w:tc>
        <w:tc>
          <w:tcPr>
            <w:tcW w:w="500" w:type="pct"/>
            <w:noWrap/>
            <w:hideMark/>
          </w:tcPr>
          <w:p w:rsidR="0001276C" w:rsidRPr="0001276C" w:rsidRDefault="0001276C" w:rsidP="0001276C">
            <w:pPr>
              <w:spacing w:before="0" w:after="0" w:line="240" w:lineRule="auto"/>
            </w:pPr>
            <w:r w:rsidRPr="0001276C">
              <w:t>686381</w:t>
            </w:r>
          </w:p>
        </w:tc>
        <w:tc>
          <w:tcPr>
            <w:tcW w:w="500" w:type="pct"/>
            <w:noWrap/>
            <w:hideMark/>
          </w:tcPr>
          <w:p w:rsidR="0001276C" w:rsidRPr="0001276C" w:rsidRDefault="0001276C" w:rsidP="0001276C">
            <w:pPr>
              <w:spacing w:before="0" w:after="0" w:line="240" w:lineRule="auto"/>
            </w:pPr>
            <w:r w:rsidRPr="0001276C">
              <w:t>795589</w:t>
            </w:r>
          </w:p>
        </w:tc>
        <w:tc>
          <w:tcPr>
            <w:tcW w:w="519" w:type="pct"/>
            <w:noWrap/>
            <w:hideMark/>
          </w:tcPr>
          <w:p w:rsidR="0001276C" w:rsidRPr="0001276C" w:rsidRDefault="0001276C" w:rsidP="0001276C">
            <w:pPr>
              <w:spacing w:before="0" w:after="0" w:line="240" w:lineRule="auto"/>
            </w:pPr>
            <w:r w:rsidRPr="0001276C">
              <w:t>0.3</w:t>
            </w:r>
          </w:p>
        </w:tc>
        <w:tc>
          <w:tcPr>
            <w:tcW w:w="506" w:type="pct"/>
            <w:noWrap/>
            <w:hideMark/>
          </w:tcPr>
          <w:p w:rsidR="0001276C" w:rsidRPr="0001276C" w:rsidRDefault="0001276C" w:rsidP="0001276C">
            <w:pPr>
              <w:spacing w:before="0" w:after="0" w:line="240" w:lineRule="auto"/>
            </w:pPr>
            <w:r w:rsidRPr="0001276C">
              <w:t>1852</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 xml:space="preserve"> </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139</w:t>
            </w:r>
          </w:p>
        </w:tc>
        <w:tc>
          <w:tcPr>
            <w:tcW w:w="1133" w:type="pct"/>
            <w:noWrap/>
            <w:hideMark/>
          </w:tcPr>
          <w:p w:rsidR="0001276C" w:rsidRPr="0001276C" w:rsidRDefault="0001276C" w:rsidP="0001276C">
            <w:pPr>
              <w:spacing w:before="0" w:after="0" w:line="240" w:lineRule="auto"/>
            </w:pPr>
            <w:r w:rsidRPr="0001276C">
              <w:t>Sede Fente No 1</w:t>
            </w:r>
          </w:p>
        </w:tc>
        <w:tc>
          <w:tcPr>
            <w:tcW w:w="500" w:type="pct"/>
            <w:noWrap/>
            <w:hideMark/>
          </w:tcPr>
          <w:p w:rsidR="0001276C" w:rsidRPr="0001276C" w:rsidRDefault="0001276C" w:rsidP="0001276C">
            <w:pPr>
              <w:spacing w:before="0" w:after="0" w:line="240" w:lineRule="auto"/>
            </w:pPr>
            <w:r w:rsidRPr="0001276C">
              <w:t>684485</w:t>
            </w:r>
          </w:p>
        </w:tc>
        <w:tc>
          <w:tcPr>
            <w:tcW w:w="500" w:type="pct"/>
            <w:noWrap/>
            <w:hideMark/>
          </w:tcPr>
          <w:p w:rsidR="0001276C" w:rsidRPr="0001276C" w:rsidRDefault="0001276C" w:rsidP="0001276C">
            <w:pPr>
              <w:spacing w:before="0" w:after="0" w:line="240" w:lineRule="auto"/>
            </w:pPr>
            <w:r w:rsidRPr="0001276C">
              <w:t>795510</w:t>
            </w:r>
          </w:p>
        </w:tc>
        <w:tc>
          <w:tcPr>
            <w:tcW w:w="519" w:type="pct"/>
            <w:noWrap/>
            <w:hideMark/>
          </w:tcPr>
          <w:p w:rsidR="0001276C" w:rsidRPr="0001276C" w:rsidRDefault="0001276C" w:rsidP="0001276C">
            <w:pPr>
              <w:spacing w:before="0" w:after="0" w:line="240" w:lineRule="auto"/>
            </w:pPr>
            <w:r w:rsidRPr="0001276C">
              <w:t>2</w:t>
            </w:r>
          </w:p>
        </w:tc>
        <w:tc>
          <w:tcPr>
            <w:tcW w:w="506" w:type="pct"/>
            <w:noWrap/>
            <w:hideMark/>
          </w:tcPr>
          <w:p w:rsidR="0001276C" w:rsidRPr="0001276C" w:rsidRDefault="0001276C" w:rsidP="0001276C">
            <w:pPr>
              <w:spacing w:before="0" w:after="0" w:line="240" w:lineRule="auto"/>
            </w:pPr>
            <w:r w:rsidRPr="0001276C">
              <w:t>1858</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 xml:space="preserve"> </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140</w:t>
            </w:r>
          </w:p>
        </w:tc>
        <w:tc>
          <w:tcPr>
            <w:tcW w:w="1133" w:type="pct"/>
            <w:noWrap/>
            <w:hideMark/>
          </w:tcPr>
          <w:p w:rsidR="0001276C" w:rsidRPr="0001276C" w:rsidRDefault="0001276C" w:rsidP="0001276C">
            <w:pPr>
              <w:spacing w:before="0" w:after="0" w:line="240" w:lineRule="auto"/>
            </w:pPr>
            <w:r w:rsidRPr="0001276C">
              <w:t>Ebisa</w:t>
            </w:r>
          </w:p>
        </w:tc>
        <w:tc>
          <w:tcPr>
            <w:tcW w:w="500" w:type="pct"/>
            <w:noWrap/>
            <w:hideMark/>
          </w:tcPr>
          <w:p w:rsidR="0001276C" w:rsidRPr="0001276C" w:rsidRDefault="0001276C" w:rsidP="0001276C">
            <w:pPr>
              <w:spacing w:before="0" w:after="0" w:line="240" w:lineRule="auto"/>
            </w:pPr>
            <w:r w:rsidRPr="0001276C">
              <w:t>683136</w:t>
            </w:r>
          </w:p>
        </w:tc>
        <w:tc>
          <w:tcPr>
            <w:tcW w:w="500" w:type="pct"/>
            <w:noWrap/>
            <w:hideMark/>
          </w:tcPr>
          <w:p w:rsidR="0001276C" w:rsidRPr="0001276C" w:rsidRDefault="0001276C" w:rsidP="0001276C">
            <w:pPr>
              <w:spacing w:before="0" w:after="0" w:line="240" w:lineRule="auto"/>
            </w:pPr>
            <w:r w:rsidRPr="0001276C">
              <w:t>792317</w:t>
            </w:r>
          </w:p>
        </w:tc>
        <w:tc>
          <w:tcPr>
            <w:tcW w:w="519" w:type="pct"/>
            <w:noWrap/>
            <w:hideMark/>
          </w:tcPr>
          <w:p w:rsidR="0001276C" w:rsidRPr="0001276C" w:rsidRDefault="0001276C" w:rsidP="0001276C">
            <w:pPr>
              <w:spacing w:before="0" w:after="0" w:line="240" w:lineRule="auto"/>
            </w:pPr>
            <w:r w:rsidRPr="0001276C">
              <w:t>0.6</w:t>
            </w:r>
          </w:p>
        </w:tc>
        <w:tc>
          <w:tcPr>
            <w:tcW w:w="506" w:type="pct"/>
            <w:noWrap/>
            <w:hideMark/>
          </w:tcPr>
          <w:p w:rsidR="0001276C" w:rsidRPr="0001276C" w:rsidRDefault="0001276C" w:rsidP="0001276C">
            <w:pPr>
              <w:spacing w:before="0" w:after="0" w:line="240" w:lineRule="auto"/>
            </w:pPr>
            <w:r w:rsidRPr="0001276C">
              <w:t>1911</w:t>
            </w:r>
          </w:p>
        </w:tc>
        <w:tc>
          <w:tcPr>
            <w:tcW w:w="364" w:type="pct"/>
            <w:noWrap/>
            <w:hideMark/>
          </w:tcPr>
          <w:p w:rsidR="0001276C" w:rsidRPr="0001276C" w:rsidRDefault="0001276C" w:rsidP="0001276C">
            <w:pPr>
              <w:spacing w:before="0" w:after="0" w:line="240" w:lineRule="auto"/>
            </w:pPr>
            <w:r w:rsidRPr="0001276C">
              <w:t>SP</w:t>
            </w:r>
          </w:p>
        </w:tc>
        <w:tc>
          <w:tcPr>
            <w:tcW w:w="543"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 xml:space="preserve"> </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141</w:t>
            </w:r>
          </w:p>
        </w:tc>
        <w:tc>
          <w:tcPr>
            <w:tcW w:w="1133" w:type="pct"/>
            <w:noWrap/>
            <w:hideMark/>
          </w:tcPr>
          <w:p w:rsidR="0001276C" w:rsidRPr="0001276C" w:rsidRDefault="0001276C" w:rsidP="0001276C">
            <w:pPr>
              <w:spacing w:before="0" w:after="0" w:line="240" w:lineRule="auto"/>
            </w:pPr>
            <w:r w:rsidRPr="0001276C">
              <w:t>Ginir</w:t>
            </w:r>
          </w:p>
        </w:tc>
        <w:tc>
          <w:tcPr>
            <w:tcW w:w="500" w:type="pct"/>
            <w:noWrap/>
            <w:hideMark/>
          </w:tcPr>
          <w:p w:rsidR="0001276C" w:rsidRPr="0001276C" w:rsidRDefault="0001276C" w:rsidP="0001276C">
            <w:pPr>
              <w:spacing w:before="0" w:after="0" w:line="240" w:lineRule="auto"/>
            </w:pPr>
            <w:r w:rsidRPr="0001276C">
              <w:t>690000</w:t>
            </w:r>
          </w:p>
        </w:tc>
        <w:tc>
          <w:tcPr>
            <w:tcW w:w="500" w:type="pct"/>
            <w:noWrap/>
            <w:hideMark/>
          </w:tcPr>
          <w:p w:rsidR="0001276C" w:rsidRPr="0001276C" w:rsidRDefault="0001276C" w:rsidP="0001276C">
            <w:pPr>
              <w:spacing w:before="0" w:after="0" w:line="240" w:lineRule="auto"/>
            </w:pPr>
            <w:r w:rsidRPr="0001276C">
              <w:t>788000</w:t>
            </w:r>
          </w:p>
        </w:tc>
        <w:tc>
          <w:tcPr>
            <w:tcW w:w="519" w:type="pct"/>
            <w:noWrap/>
            <w:hideMark/>
          </w:tcPr>
          <w:p w:rsidR="0001276C" w:rsidRPr="0001276C" w:rsidRDefault="0001276C" w:rsidP="0001276C">
            <w:pPr>
              <w:spacing w:before="0" w:after="0" w:line="240" w:lineRule="auto"/>
            </w:pPr>
            <w:r w:rsidRPr="0001276C">
              <w:t>1.7</w:t>
            </w:r>
          </w:p>
        </w:tc>
        <w:tc>
          <w:tcPr>
            <w:tcW w:w="506" w:type="pct"/>
            <w:noWrap/>
            <w:hideMark/>
          </w:tcPr>
          <w:p w:rsidR="0001276C" w:rsidRPr="0001276C" w:rsidRDefault="0001276C" w:rsidP="0001276C">
            <w:pPr>
              <w:spacing w:before="0" w:after="0" w:line="240" w:lineRule="auto"/>
            </w:pPr>
            <w:r w:rsidRPr="0001276C">
              <w:t>1900</w:t>
            </w:r>
          </w:p>
        </w:tc>
        <w:tc>
          <w:tcPr>
            <w:tcW w:w="364" w:type="pct"/>
            <w:noWrap/>
            <w:hideMark/>
          </w:tcPr>
          <w:p w:rsidR="0001276C" w:rsidRPr="0001276C" w:rsidRDefault="0001276C" w:rsidP="0001276C">
            <w:pPr>
              <w:spacing w:before="0" w:after="0" w:line="240" w:lineRule="auto"/>
            </w:pPr>
            <w:r w:rsidRPr="0001276C">
              <w:t>SP</w:t>
            </w:r>
          </w:p>
        </w:tc>
        <w:tc>
          <w:tcPr>
            <w:tcW w:w="543"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 xml:space="preserve"> </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142</w:t>
            </w:r>
          </w:p>
        </w:tc>
        <w:tc>
          <w:tcPr>
            <w:tcW w:w="1133" w:type="pct"/>
            <w:noWrap/>
            <w:hideMark/>
          </w:tcPr>
          <w:p w:rsidR="0001276C" w:rsidRPr="0001276C" w:rsidRDefault="0001276C" w:rsidP="0001276C">
            <w:pPr>
              <w:spacing w:before="0" w:after="0" w:line="240" w:lineRule="auto"/>
            </w:pPr>
            <w:r w:rsidRPr="0001276C">
              <w:t>Gamora</w:t>
            </w:r>
          </w:p>
        </w:tc>
        <w:tc>
          <w:tcPr>
            <w:tcW w:w="500" w:type="pct"/>
            <w:noWrap/>
            <w:hideMark/>
          </w:tcPr>
          <w:p w:rsidR="0001276C" w:rsidRPr="0001276C" w:rsidRDefault="0001276C" w:rsidP="0001276C">
            <w:pPr>
              <w:spacing w:before="0" w:after="0" w:line="240" w:lineRule="auto"/>
            </w:pPr>
            <w:r w:rsidRPr="0001276C">
              <w:t>639953</w:t>
            </w:r>
          </w:p>
        </w:tc>
        <w:tc>
          <w:tcPr>
            <w:tcW w:w="500" w:type="pct"/>
            <w:noWrap/>
            <w:hideMark/>
          </w:tcPr>
          <w:p w:rsidR="0001276C" w:rsidRPr="0001276C" w:rsidRDefault="0001276C" w:rsidP="0001276C">
            <w:pPr>
              <w:spacing w:before="0" w:after="0" w:line="240" w:lineRule="auto"/>
            </w:pPr>
            <w:r w:rsidRPr="0001276C">
              <w:t>780710</w:t>
            </w:r>
          </w:p>
        </w:tc>
        <w:tc>
          <w:tcPr>
            <w:tcW w:w="519" w:type="pct"/>
            <w:noWrap/>
            <w:hideMark/>
          </w:tcPr>
          <w:p w:rsidR="0001276C" w:rsidRPr="0001276C" w:rsidRDefault="0001276C" w:rsidP="0001276C">
            <w:pPr>
              <w:spacing w:before="0" w:after="0" w:line="240" w:lineRule="auto"/>
            </w:pPr>
            <w:r w:rsidRPr="0001276C">
              <w:t>1.56</w:t>
            </w:r>
          </w:p>
        </w:tc>
        <w:tc>
          <w:tcPr>
            <w:tcW w:w="506" w:type="pct"/>
            <w:noWrap/>
            <w:hideMark/>
          </w:tcPr>
          <w:p w:rsidR="0001276C" w:rsidRPr="0001276C" w:rsidRDefault="0001276C" w:rsidP="0001276C">
            <w:pPr>
              <w:spacing w:before="0" w:after="0" w:line="240" w:lineRule="auto"/>
            </w:pPr>
            <w:r w:rsidRPr="0001276C">
              <w:t>2245</w:t>
            </w:r>
          </w:p>
        </w:tc>
        <w:tc>
          <w:tcPr>
            <w:tcW w:w="364" w:type="pct"/>
            <w:noWrap/>
            <w:hideMark/>
          </w:tcPr>
          <w:p w:rsidR="0001276C" w:rsidRPr="0001276C" w:rsidRDefault="0001276C" w:rsidP="0001276C">
            <w:pPr>
              <w:spacing w:before="0" w:after="0" w:line="240" w:lineRule="auto"/>
            </w:pPr>
            <w:r w:rsidRPr="0001276C">
              <w:t>DW</w:t>
            </w:r>
          </w:p>
        </w:tc>
        <w:tc>
          <w:tcPr>
            <w:tcW w:w="543"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 xml:space="preserve"> </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143</w:t>
            </w:r>
          </w:p>
        </w:tc>
        <w:tc>
          <w:tcPr>
            <w:tcW w:w="1133" w:type="pct"/>
            <w:noWrap/>
            <w:hideMark/>
          </w:tcPr>
          <w:p w:rsidR="0001276C" w:rsidRPr="0001276C" w:rsidRDefault="0001276C" w:rsidP="0001276C">
            <w:pPr>
              <w:spacing w:before="0" w:after="0" w:line="240" w:lineRule="auto"/>
            </w:pPr>
            <w:r w:rsidRPr="0001276C">
              <w:t>Tullicha No 4</w:t>
            </w:r>
          </w:p>
        </w:tc>
        <w:tc>
          <w:tcPr>
            <w:tcW w:w="500" w:type="pct"/>
            <w:noWrap/>
            <w:hideMark/>
          </w:tcPr>
          <w:p w:rsidR="0001276C" w:rsidRPr="0001276C" w:rsidRDefault="0001276C" w:rsidP="0001276C">
            <w:pPr>
              <w:spacing w:before="0" w:after="0" w:line="240" w:lineRule="auto"/>
            </w:pPr>
            <w:r w:rsidRPr="0001276C">
              <w:t>700047</w:t>
            </w:r>
          </w:p>
        </w:tc>
        <w:tc>
          <w:tcPr>
            <w:tcW w:w="500" w:type="pct"/>
            <w:noWrap/>
            <w:hideMark/>
          </w:tcPr>
          <w:p w:rsidR="0001276C" w:rsidRPr="0001276C" w:rsidRDefault="0001276C" w:rsidP="0001276C">
            <w:pPr>
              <w:spacing w:before="0" w:after="0" w:line="240" w:lineRule="auto"/>
            </w:pPr>
            <w:r w:rsidRPr="0001276C">
              <w:t>779439</w:t>
            </w:r>
          </w:p>
        </w:tc>
        <w:tc>
          <w:tcPr>
            <w:tcW w:w="519" w:type="pct"/>
            <w:noWrap/>
            <w:hideMark/>
          </w:tcPr>
          <w:p w:rsidR="0001276C" w:rsidRPr="0001276C" w:rsidRDefault="0001276C" w:rsidP="0001276C">
            <w:pPr>
              <w:spacing w:before="0" w:after="0" w:line="240" w:lineRule="auto"/>
            </w:pPr>
            <w:r w:rsidRPr="0001276C">
              <w:t>2.5</w:t>
            </w:r>
          </w:p>
        </w:tc>
        <w:tc>
          <w:tcPr>
            <w:tcW w:w="506" w:type="pct"/>
            <w:noWrap/>
            <w:hideMark/>
          </w:tcPr>
          <w:p w:rsidR="0001276C" w:rsidRPr="0001276C" w:rsidRDefault="0001276C" w:rsidP="0001276C">
            <w:pPr>
              <w:spacing w:before="0" w:after="0" w:line="240" w:lineRule="auto"/>
            </w:pPr>
            <w:r w:rsidRPr="0001276C">
              <w:t>1360</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 xml:space="preserve"> </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144</w:t>
            </w:r>
          </w:p>
        </w:tc>
        <w:tc>
          <w:tcPr>
            <w:tcW w:w="1133" w:type="pct"/>
            <w:noWrap/>
            <w:hideMark/>
          </w:tcPr>
          <w:p w:rsidR="0001276C" w:rsidRPr="0001276C" w:rsidRDefault="0001276C" w:rsidP="0001276C">
            <w:pPr>
              <w:spacing w:before="0" w:after="0" w:line="240" w:lineRule="auto"/>
            </w:pPr>
            <w:r w:rsidRPr="0001276C">
              <w:t>Tullicha No 1</w:t>
            </w:r>
          </w:p>
        </w:tc>
        <w:tc>
          <w:tcPr>
            <w:tcW w:w="500" w:type="pct"/>
            <w:noWrap/>
            <w:hideMark/>
          </w:tcPr>
          <w:p w:rsidR="0001276C" w:rsidRPr="0001276C" w:rsidRDefault="0001276C" w:rsidP="0001276C">
            <w:pPr>
              <w:spacing w:before="0" w:after="0" w:line="240" w:lineRule="auto"/>
            </w:pPr>
            <w:r w:rsidRPr="0001276C">
              <w:t>700903</w:t>
            </w:r>
          </w:p>
        </w:tc>
        <w:tc>
          <w:tcPr>
            <w:tcW w:w="500" w:type="pct"/>
            <w:noWrap/>
            <w:hideMark/>
          </w:tcPr>
          <w:p w:rsidR="0001276C" w:rsidRPr="0001276C" w:rsidRDefault="0001276C" w:rsidP="0001276C">
            <w:pPr>
              <w:spacing w:before="0" w:after="0" w:line="240" w:lineRule="auto"/>
            </w:pPr>
            <w:r w:rsidRPr="0001276C">
              <w:t>778997</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1296</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p>
        </w:tc>
        <w:tc>
          <w:tcPr>
            <w:tcW w:w="543" w:type="pct"/>
            <w:noWrap/>
            <w:hideMark/>
          </w:tcPr>
          <w:p w:rsidR="0001276C" w:rsidRPr="0001276C" w:rsidRDefault="0001276C" w:rsidP="0001276C">
            <w:pPr>
              <w:spacing w:before="0" w:after="0" w:line="240" w:lineRule="auto"/>
            </w:pPr>
            <w:r w:rsidRPr="0001276C">
              <w:t xml:space="preserve"> </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145</w:t>
            </w:r>
          </w:p>
        </w:tc>
        <w:tc>
          <w:tcPr>
            <w:tcW w:w="1133" w:type="pct"/>
            <w:noWrap/>
            <w:hideMark/>
          </w:tcPr>
          <w:p w:rsidR="0001276C" w:rsidRPr="0001276C" w:rsidRDefault="0001276C" w:rsidP="0001276C">
            <w:pPr>
              <w:spacing w:before="0" w:after="0" w:line="240" w:lineRule="auto"/>
            </w:pPr>
            <w:r w:rsidRPr="0001276C">
              <w:t>Tullicha No 2</w:t>
            </w:r>
          </w:p>
        </w:tc>
        <w:tc>
          <w:tcPr>
            <w:tcW w:w="500" w:type="pct"/>
            <w:noWrap/>
            <w:hideMark/>
          </w:tcPr>
          <w:p w:rsidR="0001276C" w:rsidRPr="0001276C" w:rsidRDefault="0001276C" w:rsidP="0001276C">
            <w:pPr>
              <w:spacing w:before="0" w:after="0" w:line="240" w:lineRule="auto"/>
            </w:pPr>
            <w:r w:rsidRPr="0001276C">
              <w:t>700497</w:t>
            </w:r>
          </w:p>
        </w:tc>
        <w:tc>
          <w:tcPr>
            <w:tcW w:w="500" w:type="pct"/>
            <w:noWrap/>
            <w:hideMark/>
          </w:tcPr>
          <w:p w:rsidR="0001276C" w:rsidRPr="0001276C" w:rsidRDefault="0001276C" w:rsidP="0001276C">
            <w:pPr>
              <w:spacing w:before="0" w:after="0" w:line="240" w:lineRule="auto"/>
            </w:pPr>
            <w:r w:rsidRPr="0001276C">
              <w:t>778771</w:t>
            </w:r>
          </w:p>
        </w:tc>
        <w:tc>
          <w:tcPr>
            <w:tcW w:w="519" w:type="pct"/>
            <w:noWrap/>
            <w:hideMark/>
          </w:tcPr>
          <w:p w:rsidR="0001276C" w:rsidRPr="0001276C" w:rsidRDefault="0001276C" w:rsidP="0001276C">
            <w:pPr>
              <w:spacing w:before="0" w:after="0" w:line="240" w:lineRule="auto"/>
            </w:pPr>
            <w:r w:rsidRPr="0001276C">
              <w:t>0.5</w:t>
            </w:r>
          </w:p>
        </w:tc>
        <w:tc>
          <w:tcPr>
            <w:tcW w:w="506" w:type="pct"/>
            <w:noWrap/>
            <w:hideMark/>
          </w:tcPr>
          <w:p w:rsidR="0001276C" w:rsidRPr="0001276C" w:rsidRDefault="0001276C" w:rsidP="0001276C">
            <w:pPr>
              <w:spacing w:before="0" w:after="0" w:line="240" w:lineRule="auto"/>
            </w:pPr>
            <w:r w:rsidRPr="0001276C">
              <w:t>1354</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 xml:space="preserve"> </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146</w:t>
            </w:r>
          </w:p>
        </w:tc>
        <w:tc>
          <w:tcPr>
            <w:tcW w:w="1133" w:type="pct"/>
            <w:noWrap/>
            <w:hideMark/>
          </w:tcPr>
          <w:p w:rsidR="0001276C" w:rsidRPr="0001276C" w:rsidRDefault="0001276C" w:rsidP="0001276C">
            <w:pPr>
              <w:spacing w:before="0" w:after="0" w:line="240" w:lineRule="auto"/>
            </w:pPr>
            <w:r w:rsidRPr="0001276C">
              <w:t>Tullicha No 3</w:t>
            </w:r>
          </w:p>
        </w:tc>
        <w:tc>
          <w:tcPr>
            <w:tcW w:w="500" w:type="pct"/>
            <w:noWrap/>
            <w:hideMark/>
          </w:tcPr>
          <w:p w:rsidR="0001276C" w:rsidRPr="0001276C" w:rsidRDefault="0001276C" w:rsidP="0001276C">
            <w:pPr>
              <w:spacing w:before="0" w:after="0" w:line="240" w:lineRule="auto"/>
            </w:pPr>
            <w:r w:rsidRPr="0001276C">
              <w:t>700224</w:t>
            </w:r>
          </w:p>
        </w:tc>
        <w:tc>
          <w:tcPr>
            <w:tcW w:w="500" w:type="pct"/>
            <w:noWrap/>
            <w:hideMark/>
          </w:tcPr>
          <w:p w:rsidR="0001276C" w:rsidRPr="0001276C" w:rsidRDefault="0001276C" w:rsidP="0001276C">
            <w:pPr>
              <w:spacing w:before="0" w:after="0" w:line="240" w:lineRule="auto"/>
            </w:pPr>
            <w:r w:rsidRPr="0001276C">
              <w:t>779151</w:t>
            </w:r>
          </w:p>
        </w:tc>
        <w:tc>
          <w:tcPr>
            <w:tcW w:w="519" w:type="pct"/>
            <w:noWrap/>
            <w:hideMark/>
          </w:tcPr>
          <w:p w:rsidR="0001276C" w:rsidRPr="0001276C" w:rsidRDefault="0001276C" w:rsidP="0001276C">
            <w:pPr>
              <w:spacing w:before="0" w:after="0" w:line="240" w:lineRule="auto"/>
            </w:pPr>
            <w:r w:rsidRPr="0001276C">
              <w:t>0.5</w:t>
            </w:r>
          </w:p>
        </w:tc>
        <w:tc>
          <w:tcPr>
            <w:tcW w:w="506" w:type="pct"/>
            <w:noWrap/>
            <w:hideMark/>
          </w:tcPr>
          <w:p w:rsidR="0001276C" w:rsidRPr="0001276C" w:rsidRDefault="0001276C" w:rsidP="0001276C">
            <w:pPr>
              <w:spacing w:before="0" w:after="0" w:line="240" w:lineRule="auto"/>
            </w:pPr>
            <w:r w:rsidRPr="0001276C">
              <w:t>1361</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 xml:space="preserve"> </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147</w:t>
            </w:r>
          </w:p>
        </w:tc>
        <w:tc>
          <w:tcPr>
            <w:tcW w:w="1133" w:type="pct"/>
            <w:noWrap/>
            <w:hideMark/>
          </w:tcPr>
          <w:p w:rsidR="0001276C" w:rsidRPr="0001276C" w:rsidRDefault="00D25E5D" w:rsidP="00D25E5D">
            <w:pPr>
              <w:spacing w:before="0" w:after="0" w:line="240" w:lineRule="auto"/>
            </w:pPr>
            <w:r>
              <w:t xml:space="preserve">Sinana_3St. </w:t>
            </w:r>
            <w:r w:rsidR="00F603D6">
              <w:t>Frm</w:t>
            </w:r>
          </w:p>
        </w:tc>
        <w:tc>
          <w:tcPr>
            <w:tcW w:w="500" w:type="pct"/>
            <w:noWrap/>
            <w:hideMark/>
          </w:tcPr>
          <w:p w:rsidR="0001276C" w:rsidRPr="0001276C" w:rsidRDefault="0001276C" w:rsidP="0001276C">
            <w:pPr>
              <w:spacing w:before="0" w:after="0" w:line="240" w:lineRule="auto"/>
            </w:pPr>
            <w:r w:rsidRPr="0001276C">
              <w:t>643010</w:t>
            </w:r>
          </w:p>
        </w:tc>
        <w:tc>
          <w:tcPr>
            <w:tcW w:w="500" w:type="pct"/>
            <w:noWrap/>
            <w:hideMark/>
          </w:tcPr>
          <w:p w:rsidR="0001276C" w:rsidRPr="0001276C" w:rsidRDefault="0001276C" w:rsidP="0001276C">
            <w:pPr>
              <w:spacing w:before="0" w:after="0" w:line="240" w:lineRule="auto"/>
            </w:pPr>
            <w:r w:rsidRPr="0001276C">
              <w:t>778424</w:t>
            </w:r>
          </w:p>
        </w:tc>
        <w:tc>
          <w:tcPr>
            <w:tcW w:w="519" w:type="pct"/>
            <w:noWrap/>
            <w:hideMark/>
          </w:tcPr>
          <w:p w:rsidR="0001276C" w:rsidRPr="0001276C" w:rsidRDefault="0001276C" w:rsidP="0001276C">
            <w:pPr>
              <w:spacing w:before="0" w:after="0" w:line="240" w:lineRule="auto"/>
            </w:pPr>
            <w:r w:rsidRPr="0001276C">
              <w:t>1.52</w:t>
            </w:r>
          </w:p>
        </w:tc>
        <w:tc>
          <w:tcPr>
            <w:tcW w:w="506" w:type="pct"/>
            <w:noWrap/>
            <w:hideMark/>
          </w:tcPr>
          <w:p w:rsidR="0001276C" w:rsidRPr="0001276C" w:rsidRDefault="0001276C" w:rsidP="0001276C">
            <w:pPr>
              <w:spacing w:before="0" w:after="0" w:line="240" w:lineRule="auto"/>
            </w:pPr>
            <w:r w:rsidRPr="0001276C">
              <w:t>2264</w:t>
            </w:r>
          </w:p>
        </w:tc>
        <w:tc>
          <w:tcPr>
            <w:tcW w:w="364" w:type="pct"/>
            <w:noWrap/>
            <w:hideMark/>
          </w:tcPr>
          <w:p w:rsidR="0001276C" w:rsidRPr="0001276C" w:rsidRDefault="0001276C" w:rsidP="0001276C">
            <w:pPr>
              <w:spacing w:before="0" w:after="0" w:line="240" w:lineRule="auto"/>
            </w:pPr>
            <w:r w:rsidRPr="0001276C">
              <w:t>SP</w:t>
            </w:r>
          </w:p>
        </w:tc>
        <w:tc>
          <w:tcPr>
            <w:tcW w:w="543"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 xml:space="preserve"> </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148</w:t>
            </w:r>
          </w:p>
        </w:tc>
        <w:tc>
          <w:tcPr>
            <w:tcW w:w="1133" w:type="pct"/>
            <w:noWrap/>
            <w:hideMark/>
          </w:tcPr>
          <w:p w:rsidR="0001276C" w:rsidRPr="0001276C" w:rsidRDefault="00D25E5D" w:rsidP="00D25E5D">
            <w:pPr>
              <w:spacing w:before="0" w:after="0" w:line="240" w:lineRule="auto"/>
            </w:pPr>
            <w:r>
              <w:t>SelkaW_No.</w:t>
            </w:r>
            <w:r w:rsidR="0001276C" w:rsidRPr="0001276C">
              <w:t>012</w:t>
            </w:r>
          </w:p>
        </w:tc>
        <w:tc>
          <w:tcPr>
            <w:tcW w:w="500" w:type="pct"/>
            <w:noWrap/>
            <w:hideMark/>
          </w:tcPr>
          <w:p w:rsidR="0001276C" w:rsidRPr="0001276C" w:rsidRDefault="0001276C" w:rsidP="0001276C">
            <w:pPr>
              <w:spacing w:before="0" w:after="0" w:line="240" w:lineRule="auto"/>
            </w:pPr>
            <w:r w:rsidRPr="0001276C">
              <w:t>645432</w:t>
            </w:r>
          </w:p>
        </w:tc>
        <w:tc>
          <w:tcPr>
            <w:tcW w:w="500" w:type="pct"/>
            <w:noWrap/>
            <w:hideMark/>
          </w:tcPr>
          <w:p w:rsidR="0001276C" w:rsidRPr="0001276C" w:rsidRDefault="0001276C" w:rsidP="0001276C">
            <w:pPr>
              <w:spacing w:before="0" w:after="0" w:line="240" w:lineRule="auto"/>
            </w:pPr>
            <w:r w:rsidRPr="0001276C">
              <w:t>777567</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2146</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 xml:space="preserve"> </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149</w:t>
            </w:r>
          </w:p>
        </w:tc>
        <w:tc>
          <w:tcPr>
            <w:tcW w:w="1133" w:type="pct"/>
            <w:noWrap/>
            <w:hideMark/>
          </w:tcPr>
          <w:p w:rsidR="0001276C" w:rsidRPr="0001276C" w:rsidRDefault="0001276C" w:rsidP="0001276C">
            <w:pPr>
              <w:spacing w:before="0" w:after="0" w:line="240" w:lineRule="auto"/>
            </w:pPr>
            <w:r w:rsidRPr="0001276C">
              <w:t>Melka Oda</w:t>
            </w:r>
          </w:p>
        </w:tc>
        <w:tc>
          <w:tcPr>
            <w:tcW w:w="500" w:type="pct"/>
            <w:noWrap/>
            <w:hideMark/>
          </w:tcPr>
          <w:p w:rsidR="0001276C" w:rsidRPr="0001276C" w:rsidRDefault="0001276C" w:rsidP="0001276C">
            <w:pPr>
              <w:spacing w:before="0" w:after="0" w:line="240" w:lineRule="auto"/>
            </w:pPr>
            <w:r w:rsidRPr="0001276C">
              <w:t>703398</w:t>
            </w:r>
          </w:p>
        </w:tc>
        <w:tc>
          <w:tcPr>
            <w:tcW w:w="500" w:type="pct"/>
            <w:noWrap/>
            <w:hideMark/>
          </w:tcPr>
          <w:p w:rsidR="0001276C" w:rsidRPr="0001276C" w:rsidRDefault="0001276C" w:rsidP="0001276C">
            <w:pPr>
              <w:spacing w:before="0" w:after="0" w:line="240" w:lineRule="auto"/>
            </w:pPr>
            <w:r w:rsidRPr="0001276C">
              <w:t>775701</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1311</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 xml:space="preserve"> </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150</w:t>
            </w:r>
          </w:p>
        </w:tc>
        <w:tc>
          <w:tcPr>
            <w:tcW w:w="1133" w:type="pct"/>
            <w:noWrap/>
            <w:hideMark/>
          </w:tcPr>
          <w:p w:rsidR="0001276C" w:rsidRPr="0001276C" w:rsidRDefault="0001276C" w:rsidP="0001276C">
            <w:pPr>
              <w:spacing w:before="0" w:after="0" w:line="240" w:lineRule="auto"/>
            </w:pPr>
            <w:r w:rsidRPr="0001276C">
              <w:t>Melka Oda No. 1</w:t>
            </w:r>
          </w:p>
        </w:tc>
        <w:tc>
          <w:tcPr>
            <w:tcW w:w="500" w:type="pct"/>
            <w:noWrap/>
            <w:hideMark/>
          </w:tcPr>
          <w:p w:rsidR="0001276C" w:rsidRPr="0001276C" w:rsidRDefault="0001276C" w:rsidP="0001276C">
            <w:pPr>
              <w:spacing w:before="0" w:after="0" w:line="240" w:lineRule="auto"/>
            </w:pPr>
            <w:r w:rsidRPr="0001276C">
              <w:t>705143</w:t>
            </w:r>
          </w:p>
        </w:tc>
        <w:tc>
          <w:tcPr>
            <w:tcW w:w="500" w:type="pct"/>
            <w:noWrap/>
            <w:hideMark/>
          </w:tcPr>
          <w:p w:rsidR="0001276C" w:rsidRPr="0001276C" w:rsidRDefault="0001276C" w:rsidP="0001276C">
            <w:pPr>
              <w:spacing w:before="0" w:after="0" w:line="240" w:lineRule="auto"/>
            </w:pPr>
            <w:r w:rsidRPr="0001276C">
              <w:t>773469</w:t>
            </w:r>
          </w:p>
        </w:tc>
        <w:tc>
          <w:tcPr>
            <w:tcW w:w="519" w:type="pct"/>
            <w:noWrap/>
            <w:hideMark/>
          </w:tcPr>
          <w:p w:rsidR="0001276C" w:rsidRPr="0001276C" w:rsidRDefault="0001276C" w:rsidP="0001276C">
            <w:pPr>
              <w:spacing w:before="0" w:after="0" w:line="240" w:lineRule="auto"/>
            </w:pPr>
            <w:r w:rsidRPr="0001276C">
              <w:t>1.1</w:t>
            </w:r>
          </w:p>
        </w:tc>
        <w:tc>
          <w:tcPr>
            <w:tcW w:w="506" w:type="pct"/>
            <w:noWrap/>
            <w:hideMark/>
          </w:tcPr>
          <w:p w:rsidR="0001276C" w:rsidRPr="0001276C" w:rsidRDefault="0001276C" w:rsidP="0001276C">
            <w:pPr>
              <w:spacing w:before="0" w:after="0" w:line="240" w:lineRule="auto"/>
            </w:pPr>
            <w:r w:rsidRPr="0001276C">
              <w:t>1298</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 xml:space="preserve"> </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152</w:t>
            </w:r>
          </w:p>
        </w:tc>
        <w:tc>
          <w:tcPr>
            <w:tcW w:w="1133" w:type="pct"/>
            <w:noWrap/>
            <w:hideMark/>
          </w:tcPr>
          <w:p w:rsidR="0001276C" w:rsidRPr="0001276C" w:rsidRDefault="0001276C" w:rsidP="0001276C">
            <w:pPr>
              <w:spacing w:before="0" w:after="0" w:line="240" w:lineRule="auto"/>
            </w:pPr>
            <w:r w:rsidRPr="0001276C">
              <w:t>Weltai Chefa</w:t>
            </w:r>
          </w:p>
        </w:tc>
        <w:tc>
          <w:tcPr>
            <w:tcW w:w="500" w:type="pct"/>
            <w:noWrap/>
            <w:hideMark/>
          </w:tcPr>
          <w:p w:rsidR="0001276C" w:rsidRPr="0001276C" w:rsidRDefault="0001276C" w:rsidP="0001276C">
            <w:pPr>
              <w:spacing w:before="0" w:after="0" w:line="240" w:lineRule="auto"/>
            </w:pPr>
            <w:r w:rsidRPr="0001276C">
              <w:t>664708</w:t>
            </w:r>
          </w:p>
        </w:tc>
        <w:tc>
          <w:tcPr>
            <w:tcW w:w="500" w:type="pct"/>
            <w:noWrap/>
            <w:hideMark/>
          </w:tcPr>
          <w:p w:rsidR="0001276C" w:rsidRPr="0001276C" w:rsidRDefault="0001276C" w:rsidP="0001276C">
            <w:pPr>
              <w:spacing w:before="0" w:after="0" w:line="240" w:lineRule="auto"/>
            </w:pPr>
            <w:r w:rsidRPr="0001276C">
              <w:t>771782</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1694</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 xml:space="preserve"> </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153</w:t>
            </w:r>
          </w:p>
        </w:tc>
        <w:tc>
          <w:tcPr>
            <w:tcW w:w="1133" w:type="pct"/>
            <w:noWrap/>
            <w:hideMark/>
          </w:tcPr>
          <w:p w:rsidR="0001276C" w:rsidRPr="0001276C" w:rsidRDefault="0001276C" w:rsidP="0001276C">
            <w:pPr>
              <w:spacing w:before="0" w:after="0" w:line="240" w:lineRule="auto"/>
            </w:pPr>
            <w:r w:rsidRPr="0001276C">
              <w:t>Gamo Duksi</w:t>
            </w:r>
          </w:p>
        </w:tc>
        <w:tc>
          <w:tcPr>
            <w:tcW w:w="500" w:type="pct"/>
            <w:noWrap/>
            <w:hideMark/>
          </w:tcPr>
          <w:p w:rsidR="0001276C" w:rsidRPr="0001276C" w:rsidRDefault="0001276C" w:rsidP="0001276C">
            <w:pPr>
              <w:spacing w:before="0" w:after="0" w:line="240" w:lineRule="auto"/>
            </w:pPr>
            <w:r w:rsidRPr="0001276C">
              <w:t>749680</w:t>
            </w:r>
          </w:p>
        </w:tc>
        <w:tc>
          <w:tcPr>
            <w:tcW w:w="500" w:type="pct"/>
            <w:noWrap/>
            <w:hideMark/>
          </w:tcPr>
          <w:p w:rsidR="0001276C" w:rsidRPr="0001276C" w:rsidRDefault="0001276C" w:rsidP="0001276C">
            <w:pPr>
              <w:spacing w:before="0" w:after="0" w:line="240" w:lineRule="auto"/>
            </w:pPr>
            <w:r w:rsidRPr="0001276C">
              <w:t>770946</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1263.57</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p>
        </w:tc>
        <w:tc>
          <w:tcPr>
            <w:tcW w:w="543" w:type="pct"/>
            <w:noWrap/>
            <w:hideMark/>
          </w:tcPr>
          <w:p w:rsidR="0001276C" w:rsidRPr="0001276C" w:rsidRDefault="0001276C" w:rsidP="0001276C">
            <w:pPr>
              <w:spacing w:before="0" w:after="0" w:line="240" w:lineRule="auto"/>
            </w:pPr>
            <w:r w:rsidRPr="0001276C">
              <w:t xml:space="preserve"> </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154</w:t>
            </w:r>
          </w:p>
        </w:tc>
        <w:tc>
          <w:tcPr>
            <w:tcW w:w="1133" w:type="pct"/>
            <w:noWrap/>
            <w:hideMark/>
          </w:tcPr>
          <w:p w:rsidR="0001276C" w:rsidRPr="0001276C" w:rsidRDefault="0001276C" w:rsidP="0001276C">
            <w:pPr>
              <w:spacing w:before="0" w:after="0" w:line="240" w:lineRule="auto"/>
            </w:pPr>
            <w:r w:rsidRPr="0001276C">
              <w:t>Duksi No. 1</w:t>
            </w:r>
          </w:p>
        </w:tc>
        <w:tc>
          <w:tcPr>
            <w:tcW w:w="500" w:type="pct"/>
            <w:noWrap/>
            <w:hideMark/>
          </w:tcPr>
          <w:p w:rsidR="0001276C" w:rsidRPr="0001276C" w:rsidRDefault="0001276C" w:rsidP="0001276C">
            <w:pPr>
              <w:spacing w:before="0" w:after="0" w:line="240" w:lineRule="auto"/>
            </w:pPr>
            <w:r w:rsidRPr="0001276C">
              <w:t>706092</w:t>
            </w:r>
          </w:p>
        </w:tc>
        <w:tc>
          <w:tcPr>
            <w:tcW w:w="500" w:type="pct"/>
            <w:noWrap/>
            <w:hideMark/>
          </w:tcPr>
          <w:p w:rsidR="0001276C" w:rsidRPr="0001276C" w:rsidRDefault="0001276C" w:rsidP="0001276C">
            <w:pPr>
              <w:spacing w:before="0" w:after="0" w:line="240" w:lineRule="auto"/>
            </w:pPr>
            <w:r w:rsidRPr="0001276C">
              <w:t>766407</w:t>
            </w:r>
          </w:p>
        </w:tc>
        <w:tc>
          <w:tcPr>
            <w:tcW w:w="519" w:type="pct"/>
            <w:noWrap/>
            <w:hideMark/>
          </w:tcPr>
          <w:p w:rsidR="0001276C" w:rsidRPr="0001276C" w:rsidRDefault="0001276C" w:rsidP="0001276C">
            <w:pPr>
              <w:spacing w:before="0" w:after="0" w:line="240" w:lineRule="auto"/>
            </w:pPr>
            <w:r w:rsidRPr="0001276C">
              <w:t>2</w:t>
            </w:r>
          </w:p>
        </w:tc>
        <w:tc>
          <w:tcPr>
            <w:tcW w:w="506" w:type="pct"/>
            <w:noWrap/>
            <w:hideMark/>
          </w:tcPr>
          <w:p w:rsidR="0001276C" w:rsidRPr="0001276C" w:rsidRDefault="0001276C" w:rsidP="0001276C">
            <w:pPr>
              <w:spacing w:before="0" w:after="0" w:line="240" w:lineRule="auto"/>
            </w:pPr>
            <w:r w:rsidRPr="0001276C">
              <w:t>1268</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p>
        </w:tc>
        <w:tc>
          <w:tcPr>
            <w:tcW w:w="543" w:type="pct"/>
            <w:noWrap/>
            <w:hideMark/>
          </w:tcPr>
          <w:p w:rsidR="0001276C" w:rsidRPr="0001276C" w:rsidRDefault="0001276C" w:rsidP="0001276C">
            <w:pPr>
              <w:spacing w:before="0" w:after="0" w:line="240" w:lineRule="auto"/>
            </w:pPr>
            <w:r w:rsidRPr="0001276C">
              <w:t xml:space="preserve"> </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155</w:t>
            </w:r>
          </w:p>
        </w:tc>
        <w:tc>
          <w:tcPr>
            <w:tcW w:w="1133" w:type="pct"/>
            <w:noWrap/>
            <w:hideMark/>
          </w:tcPr>
          <w:p w:rsidR="0001276C" w:rsidRPr="0001276C" w:rsidRDefault="0001276C" w:rsidP="00D25E5D">
            <w:pPr>
              <w:spacing w:before="0" w:after="0" w:line="240" w:lineRule="auto"/>
            </w:pPr>
            <w:r w:rsidRPr="0001276C">
              <w:t>Keku W</w:t>
            </w:r>
            <w:r w:rsidR="00D25E5D">
              <w:t>.</w:t>
            </w:r>
            <w:r w:rsidRPr="0001276C">
              <w:t>N</w:t>
            </w:r>
            <w:r w:rsidR="00D25E5D">
              <w:t>o_</w:t>
            </w:r>
            <w:r w:rsidRPr="0001276C">
              <w:t>025</w:t>
            </w:r>
          </w:p>
        </w:tc>
        <w:tc>
          <w:tcPr>
            <w:tcW w:w="500" w:type="pct"/>
            <w:noWrap/>
            <w:hideMark/>
          </w:tcPr>
          <w:p w:rsidR="0001276C" w:rsidRPr="0001276C" w:rsidRDefault="0001276C" w:rsidP="0001276C">
            <w:pPr>
              <w:spacing w:before="0" w:after="0" w:line="240" w:lineRule="auto"/>
            </w:pPr>
            <w:r w:rsidRPr="0001276C">
              <w:t>685982</w:t>
            </w:r>
          </w:p>
        </w:tc>
        <w:tc>
          <w:tcPr>
            <w:tcW w:w="500" w:type="pct"/>
            <w:noWrap/>
            <w:hideMark/>
          </w:tcPr>
          <w:p w:rsidR="0001276C" w:rsidRPr="0001276C" w:rsidRDefault="0001276C" w:rsidP="0001276C">
            <w:pPr>
              <w:spacing w:before="0" w:after="0" w:line="240" w:lineRule="auto"/>
            </w:pPr>
            <w:r w:rsidRPr="0001276C">
              <w:t>766639</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1376</w:t>
            </w:r>
          </w:p>
        </w:tc>
        <w:tc>
          <w:tcPr>
            <w:tcW w:w="364" w:type="pct"/>
            <w:noWrap/>
            <w:hideMark/>
          </w:tcPr>
          <w:p w:rsidR="0001276C" w:rsidRPr="0001276C" w:rsidRDefault="0001276C" w:rsidP="0001276C">
            <w:pPr>
              <w:spacing w:before="0" w:after="0" w:line="240" w:lineRule="auto"/>
            </w:pPr>
            <w:r w:rsidRPr="0001276C">
              <w:t>SP</w:t>
            </w:r>
          </w:p>
        </w:tc>
        <w:tc>
          <w:tcPr>
            <w:tcW w:w="543"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 xml:space="preserve"> </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lastRenderedPageBreak/>
              <w:t>156</w:t>
            </w:r>
          </w:p>
        </w:tc>
        <w:tc>
          <w:tcPr>
            <w:tcW w:w="1133" w:type="pct"/>
            <w:noWrap/>
            <w:hideMark/>
          </w:tcPr>
          <w:p w:rsidR="0001276C" w:rsidRPr="0001276C" w:rsidRDefault="0001276C" w:rsidP="0001276C">
            <w:pPr>
              <w:spacing w:before="0" w:after="0" w:line="240" w:lineRule="auto"/>
            </w:pPr>
            <w:r w:rsidRPr="0001276C">
              <w:t>Melka Buta</w:t>
            </w:r>
          </w:p>
        </w:tc>
        <w:tc>
          <w:tcPr>
            <w:tcW w:w="500" w:type="pct"/>
            <w:noWrap/>
            <w:hideMark/>
          </w:tcPr>
          <w:p w:rsidR="0001276C" w:rsidRPr="0001276C" w:rsidRDefault="0001276C" w:rsidP="0001276C">
            <w:pPr>
              <w:spacing w:before="0" w:after="0" w:line="240" w:lineRule="auto"/>
            </w:pPr>
            <w:r w:rsidRPr="0001276C">
              <w:t>678614</w:t>
            </w:r>
          </w:p>
        </w:tc>
        <w:tc>
          <w:tcPr>
            <w:tcW w:w="500" w:type="pct"/>
            <w:noWrap/>
            <w:hideMark/>
          </w:tcPr>
          <w:p w:rsidR="0001276C" w:rsidRPr="0001276C" w:rsidRDefault="0001276C" w:rsidP="0001276C">
            <w:pPr>
              <w:spacing w:before="0" w:after="0" w:line="240" w:lineRule="auto"/>
            </w:pPr>
            <w:r w:rsidRPr="0001276C">
              <w:t>766613</w:t>
            </w:r>
          </w:p>
        </w:tc>
        <w:tc>
          <w:tcPr>
            <w:tcW w:w="519" w:type="pct"/>
            <w:noWrap/>
            <w:hideMark/>
          </w:tcPr>
          <w:p w:rsidR="0001276C" w:rsidRPr="0001276C" w:rsidRDefault="0001276C" w:rsidP="0001276C">
            <w:pPr>
              <w:spacing w:before="0" w:after="0" w:line="240" w:lineRule="auto"/>
            </w:pPr>
            <w:r w:rsidRPr="0001276C">
              <w:t>2.5</w:t>
            </w:r>
          </w:p>
        </w:tc>
        <w:tc>
          <w:tcPr>
            <w:tcW w:w="506" w:type="pct"/>
            <w:noWrap/>
            <w:hideMark/>
          </w:tcPr>
          <w:p w:rsidR="0001276C" w:rsidRPr="0001276C" w:rsidRDefault="0001276C" w:rsidP="0001276C">
            <w:pPr>
              <w:spacing w:before="0" w:after="0" w:line="240" w:lineRule="auto"/>
            </w:pPr>
            <w:r w:rsidRPr="0001276C">
              <w:t>1580</w:t>
            </w:r>
          </w:p>
        </w:tc>
        <w:tc>
          <w:tcPr>
            <w:tcW w:w="364" w:type="pct"/>
            <w:noWrap/>
            <w:hideMark/>
          </w:tcPr>
          <w:p w:rsidR="0001276C" w:rsidRPr="0001276C" w:rsidRDefault="0001276C" w:rsidP="0001276C">
            <w:pPr>
              <w:spacing w:before="0" w:after="0" w:line="240" w:lineRule="auto"/>
            </w:pPr>
            <w:r w:rsidRPr="0001276C">
              <w:t>SP</w:t>
            </w:r>
          </w:p>
        </w:tc>
        <w:tc>
          <w:tcPr>
            <w:tcW w:w="543"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 xml:space="preserve"> </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161</w:t>
            </w:r>
          </w:p>
        </w:tc>
        <w:tc>
          <w:tcPr>
            <w:tcW w:w="1133" w:type="pct"/>
            <w:noWrap/>
            <w:hideMark/>
          </w:tcPr>
          <w:p w:rsidR="0001276C" w:rsidRPr="0001276C" w:rsidRDefault="0001276C" w:rsidP="0001276C">
            <w:pPr>
              <w:spacing w:before="0" w:after="0" w:line="240" w:lineRule="auto"/>
            </w:pPr>
            <w:r w:rsidRPr="0001276C">
              <w:t>Gamo Duksi No. 1</w:t>
            </w:r>
          </w:p>
        </w:tc>
        <w:tc>
          <w:tcPr>
            <w:tcW w:w="500" w:type="pct"/>
            <w:noWrap/>
            <w:hideMark/>
          </w:tcPr>
          <w:p w:rsidR="0001276C" w:rsidRPr="0001276C" w:rsidRDefault="0001276C" w:rsidP="0001276C">
            <w:pPr>
              <w:spacing w:before="0" w:after="0" w:line="240" w:lineRule="auto"/>
            </w:pPr>
            <w:r w:rsidRPr="0001276C">
              <w:t>704576</w:t>
            </w:r>
          </w:p>
        </w:tc>
        <w:tc>
          <w:tcPr>
            <w:tcW w:w="500" w:type="pct"/>
            <w:noWrap/>
            <w:hideMark/>
          </w:tcPr>
          <w:p w:rsidR="0001276C" w:rsidRPr="0001276C" w:rsidRDefault="0001276C" w:rsidP="0001276C">
            <w:pPr>
              <w:spacing w:before="0" w:after="0" w:line="240" w:lineRule="auto"/>
            </w:pPr>
            <w:r w:rsidRPr="0001276C">
              <w:t>761332</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1208</w:t>
            </w:r>
          </w:p>
        </w:tc>
        <w:tc>
          <w:tcPr>
            <w:tcW w:w="364" w:type="pct"/>
            <w:noWrap/>
            <w:hideMark/>
          </w:tcPr>
          <w:p w:rsidR="0001276C" w:rsidRPr="0001276C" w:rsidRDefault="0001276C" w:rsidP="0001276C">
            <w:pPr>
              <w:spacing w:before="0" w:after="0" w:line="240" w:lineRule="auto"/>
            </w:pPr>
            <w:r w:rsidRPr="0001276C">
              <w:t>BH</w:t>
            </w:r>
          </w:p>
        </w:tc>
        <w:tc>
          <w:tcPr>
            <w:tcW w:w="543" w:type="pct"/>
            <w:noWrap/>
            <w:hideMark/>
          </w:tcPr>
          <w:p w:rsidR="0001276C" w:rsidRPr="0001276C" w:rsidRDefault="0001276C" w:rsidP="0001276C">
            <w:pPr>
              <w:spacing w:before="0" w:after="0" w:line="240" w:lineRule="auto"/>
            </w:pPr>
          </w:p>
        </w:tc>
        <w:tc>
          <w:tcPr>
            <w:tcW w:w="543" w:type="pct"/>
            <w:noWrap/>
            <w:hideMark/>
          </w:tcPr>
          <w:p w:rsidR="0001276C" w:rsidRPr="0001276C" w:rsidRDefault="0001276C" w:rsidP="0001276C">
            <w:pPr>
              <w:spacing w:before="0" w:after="0" w:line="240" w:lineRule="auto"/>
            </w:pPr>
            <w:r w:rsidRPr="0001276C">
              <w:t xml:space="preserve"> </w:t>
            </w:r>
          </w:p>
        </w:tc>
      </w:tr>
      <w:tr w:rsidR="00D25E5D" w:rsidRPr="0001276C" w:rsidTr="000704D6">
        <w:trPr>
          <w:trHeight w:val="300"/>
        </w:trPr>
        <w:tc>
          <w:tcPr>
            <w:tcW w:w="391" w:type="pct"/>
            <w:noWrap/>
            <w:hideMark/>
          </w:tcPr>
          <w:p w:rsidR="0001276C" w:rsidRPr="0001276C" w:rsidRDefault="0001276C" w:rsidP="0001276C">
            <w:pPr>
              <w:spacing w:before="0" w:after="0" w:line="240" w:lineRule="auto"/>
            </w:pPr>
            <w:r w:rsidRPr="0001276C">
              <w:t>164</w:t>
            </w:r>
          </w:p>
        </w:tc>
        <w:tc>
          <w:tcPr>
            <w:tcW w:w="1133" w:type="pct"/>
            <w:noWrap/>
            <w:hideMark/>
          </w:tcPr>
          <w:p w:rsidR="0001276C" w:rsidRPr="0001276C" w:rsidRDefault="0001276C" w:rsidP="0001276C">
            <w:pPr>
              <w:spacing w:before="0" w:after="0" w:line="240" w:lineRule="auto"/>
            </w:pPr>
            <w:r w:rsidRPr="0001276C">
              <w:t>Ardatere No. 1</w:t>
            </w:r>
          </w:p>
        </w:tc>
        <w:tc>
          <w:tcPr>
            <w:tcW w:w="500" w:type="pct"/>
            <w:noWrap/>
            <w:hideMark/>
          </w:tcPr>
          <w:p w:rsidR="0001276C" w:rsidRPr="0001276C" w:rsidRDefault="0001276C" w:rsidP="0001276C">
            <w:pPr>
              <w:spacing w:before="0" w:after="0" w:line="240" w:lineRule="auto"/>
            </w:pPr>
            <w:r w:rsidRPr="0001276C">
              <w:t>697083</w:t>
            </w:r>
          </w:p>
        </w:tc>
        <w:tc>
          <w:tcPr>
            <w:tcW w:w="500" w:type="pct"/>
            <w:noWrap/>
            <w:hideMark/>
          </w:tcPr>
          <w:p w:rsidR="0001276C" w:rsidRPr="0001276C" w:rsidRDefault="0001276C" w:rsidP="0001276C">
            <w:pPr>
              <w:spacing w:before="0" w:after="0" w:line="240" w:lineRule="auto"/>
            </w:pPr>
            <w:r w:rsidRPr="0001276C">
              <w:t>753347</w:t>
            </w:r>
          </w:p>
        </w:tc>
        <w:tc>
          <w:tcPr>
            <w:tcW w:w="519" w:type="pct"/>
            <w:noWrap/>
            <w:hideMark/>
          </w:tcPr>
          <w:p w:rsidR="0001276C" w:rsidRPr="0001276C" w:rsidRDefault="0001276C" w:rsidP="0001276C">
            <w:pPr>
              <w:spacing w:before="0" w:after="0" w:line="240" w:lineRule="auto"/>
            </w:pPr>
            <w:r w:rsidRPr="0001276C">
              <w:t>0</w:t>
            </w:r>
          </w:p>
        </w:tc>
        <w:tc>
          <w:tcPr>
            <w:tcW w:w="506" w:type="pct"/>
            <w:noWrap/>
            <w:hideMark/>
          </w:tcPr>
          <w:p w:rsidR="0001276C" w:rsidRPr="0001276C" w:rsidRDefault="0001276C" w:rsidP="0001276C">
            <w:pPr>
              <w:spacing w:before="0" w:after="0" w:line="240" w:lineRule="auto"/>
            </w:pPr>
            <w:r w:rsidRPr="0001276C">
              <w:t>1449.91</w:t>
            </w:r>
          </w:p>
        </w:tc>
        <w:tc>
          <w:tcPr>
            <w:tcW w:w="364" w:type="pct"/>
            <w:noWrap/>
            <w:hideMark/>
          </w:tcPr>
          <w:p w:rsidR="0001276C" w:rsidRPr="0001276C" w:rsidRDefault="0001276C" w:rsidP="0001276C">
            <w:pPr>
              <w:spacing w:before="0" w:after="0" w:line="240" w:lineRule="auto"/>
            </w:pPr>
            <w:r w:rsidRPr="0001276C">
              <w:t>SP</w:t>
            </w:r>
          </w:p>
        </w:tc>
        <w:tc>
          <w:tcPr>
            <w:tcW w:w="543" w:type="pct"/>
            <w:noWrap/>
            <w:hideMark/>
          </w:tcPr>
          <w:p w:rsidR="0001276C" w:rsidRPr="0001276C" w:rsidRDefault="0001276C" w:rsidP="0001276C">
            <w:pPr>
              <w:spacing w:before="0" w:after="0" w:line="240" w:lineRule="auto"/>
            </w:pPr>
            <w:r w:rsidRPr="0001276C">
              <w:t xml:space="preserve"> </w:t>
            </w:r>
          </w:p>
        </w:tc>
        <w:tc>
          <w:tcPr>
            <w:tcW w:w="543" w:type="pct"/>
            <w:noWrap/>
            <w:hideMark/>
          </w:tcPr>
          <w:p w:rsidR="0001276C" w:rsidRPr="0001276C" w:rsidRDefault="0001276C" w:rsidP="0001276C">
            <w:pPr>
              <w:spacing w:before="0" w:after="0" w:line="240" w:lineRule="auto"/>
            </w:pPr>
            <w:r w:rsidRPr="0001276C">
              <w:t xml:space="preserve"> </w:t>
            </w:r>
          </w:p>
        </w:tc>
      </w:tr>
    </w:tbl>
    <w:p w:rsidR="006B5FAE" w:rsidRDefault="00C71FFC" w:rsidP="00EC2A61">
      <w:pPr>
        <w:spacing w:before="240"/>
      </w:pPr>
      <w:r w:rsidRPr="00935D8E">
        <w:t xml:space="preserve">The abbreviation </w:t>
      </w:r>
      <w:r w:rsidR="000B3AB7" w:rsidRPr="00935D8E">
        <w:t>DGWPZ, AGWPZ,</w:t>
      </w:r>
      <w:r w:rsidR="0018750E" w:rsidRPr="00935D8E">
        <w:t xml:space="preserve"> </w:t>
      </w:r>
      <w:r w:rsidR="00FD7B38" w:rsidRPr="00935D8E">
        <w:t>Y(LPS), HH</w:t>
      </w:r>
      <w:r w:rsidRPr="00935D8E">
        <w:t xml:space="preserve">SP, BH, DW, VH, H, M, L and VL represent </w:t>
      </w:r>
      <w:r w:rsidR="000B3AB7" w:rsidRPr="00935D8E">
        <w:t xml:space="preserve">Delineated groundwater potential zone, Actual groundwater potential zone, </w:t>
      </w:r>
      <w:r w:rsidR="00FD7B38" w:rsidRPr="00935D8E">
        <w:t xml:space="preserve">Yield </w:t>
      </w:r>
      <w:r w:rsidR="00B42B5E" w:rsidRPr="00935D8E">
        <w:t>liter</w:t>
      </w:r>
      <w:r w:rsidR="00FD7B38" w:rsidRPr="00935D8E">
        <w:t xml:space="preserve"> per second, Hydraulic head, </w:t>
      </w:r>
      <w:r w:rsidRPr="00935D8E">
        <w:t>spring, bore hole, dug well, very high, high, moderate, low and very low.</w:t>
      </w:r>
    </w:p>
    <w:p w:rsidR="005D4A34" w:rsidRPr="00C16659" w:rsidRDefault="005D4A34" w:rsidP="00EC2A61">
      <w:pPr>
        <w:rPr>
          <w:iCs/>
        </w:rPr>
      </w:pPr>
      <w:bookmarkStart w:id="265" w:name="_Toc65064352"/>
      <w:bookmarkStart w:id="266" w:name="_Toc68761658"/>
      <w:r w:rsidRPr="005D4A34">
        <w:rPr>
          <w:iCs/>
          <w:szCs w:val="18"/>
        </w:rPr>
        <w:t xml:space="preserve">Appendix </w:t>
      </w:r>
      <w:r w:rsidRPr="00C16659">
        <w:rPr>
          <w:iCs/>
        </w:rPr>
        <w:t xml:space="preserve">table </w:t>
      </w:r>
      <w:r w:rsidRPr="00C16659">
        <w:rPr>
          <w:iCs/>
        </w:rPr>
        <w:fldChar w:fldCharType="begin"/>
      </w:r>
      <w:r w:rsidRPr="00C16659">
        <w:rPr>
          <w:iCs/>
        </w:rPr>
        <w:instrText xml:space="preserve"> SEQ Appendix_table \* ARABIC </w:instrText>
      </w:r>
      <w:r w:rsidRPr="00C16659">
        <w:rPr>
          <w:iCs/>
        </w:rPr>
        <w:fldChar w:fldCharType="separate"/>
      </w:r>
      <w:r w:rsidR="00BD510E">
        <w:rPr>
          <w:iCs/>
          <w:noProof/>
        </w:rPr>
        <w:t>9</w:t>
      </w:r>
      <w:r w:rsidRPr="00C16659">
        <w:rPr>
          <w:iCs/>
        </w:rPr>
        <w:fldChar w:fldCharType="end"/>
      </w:r>
      <w:r w:rsidRPr="00C16659">
        <w:rPr>
          <w:iCs/>
        </w:rPr>
        <w:t>: AHP matrix, relative weight, and CR of rainfall thematic map</w:t>
      </w:r>
      <w:bookmarkEnd w:id="265"/>
      <w:bookmarkEnd w:id="266"/>
    </w:p>
    <w:tbl>
      <w:tblPr>
        <w:tblW w:w="5000" w:type="pct"/>
        <w:jc w:val="center"/>
        <w:tblBorders>
          <w:top w:val="single" w:sz="4" w:space="0" w:color="auto"/>
          <w:bottom w:val="single" w:sz="4" w:space="0" w:color="auto"/>
        </w:tblBorders>
        <w:tblLook w:val="04A0" w:firstRow="1" w:lastRow="0" w:firstColumn="1" w:lastColumn="0" w:noHBand="0" w:noVBand="1"/>
      </w:tblPr>
      <w:tblGrid>
        <w:gridCol w:w="2267"/>
        <w:gridCol w:w="1355"/>
        <w:gridCol w:w="731"/>
        <w:gridCol w:w="1193"/>
        <w:gridCol w:w="689"/>
        <w:gridCol w:w="1172"/>
        <w:gridCol w:w="799"/>
        <w:gridCol w:w="794"/>
      </w:tblGrid>
      <w:tr w:rsidR="005D4A34" w:rsidRPr="00C16659" w:rsidTr="002D14E5">
        <w:trPr>
          <w:trHeight w:val="172"/>
          <w:jc w:val="center"/>
        </w:trPr>
        <w:tc>
          <w:tcPr>
            <w:tcW w:w="1259" w:type="pct"/>
            <w:tcBorders>
              <w:top w:val="single" w:sz="4" w:space="0" w:color="auto"/>
              <w:bottom w:val="single" w:sz="4" w:space="0" w:color="auto"/>
            </w:tcBorders>
            <w:shd w:val="clear" w:color="auto" w:fill="auto"/>
            <w:noWrap/>
            <w:vAlign w:val="bottom"/>
            <w:hideMark/>
          </w:tcPr>
          <w:p w:rsidR="005D4A34" w:rsidRPr="00C16659" w:rsidRDefault="005D4A34" w:rsidP="00EC2A61">
            <w:pPr>
              <w:spacing w:before="0" w:after="0"/>
              <w:rPr>
                <w:rFonts w:eastAsia="Times New Roman"/>
              </w:rPr>
            </w:pPr>
            <w:r w:rsidRPr="00C16659">
              <w:rPr>
                <w:rFonts w:eastAsia="Times New Roman"/>
              </w:rPr>
              <w:t>Contribution</w:t>
            </w:r>
          </w:p>
        </w:tc>
        <w:tc>
          <w:tcPr>
            <w:tcW w:w="753" w:type="pct"/>
            <w:tcBorders>
              <w:top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center"/>
              <w:rPr>
                <w:rFonts w:eastAsia="Times New Roman"/>
              </w:rPr>
            </w:pPr>
            <w:r w:rsidRPr="00C16659">
              <w:rPr>
                <w:rFonts w:eastAsia="Times New Roman"/>
              </w:rPr>
              <w:t>Very high</w:t>
            </w:r>
          </w:p>
        </w:tc>
        <w:tc>
          <w:tcPr>
            <w:tcW w:w="406" w:type="pct"/>
            <w:tcBorders>
              <w:top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center"/>
              <w:rPr>
                <w:rFonts w:eastAsia="Times New Roman"/>
              </w:rPr>
            </w:pPr>
            <w:r w:rsidRPr="00C16659">
              <w:rPr>
                <w:rFonts w:eastAsia="Times New Roman"/>
              </w:rPr>
              <w:t>High</w:t>
            </w:r>
          </w:p>
        </w:tc>
        <w:tc>
          <w:tcPr>
            <w:tcW w:w="663" w:type="pct"/>
            <w:tcBorders>
              <w:top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center"/>
              <w:rPr>
                <w:rFonts w:eastAsia="Times New Roman"/>
              </w:rPr>
            </w:pPr>
            <w:r w:rsidRPr="00C16659">
              <w:rPr>
                <w:rFonts w:eastAsia="Times New Roman"/>
              </w:rPr>
              <w:t>Moderate</w:t>
            </w:r>
          </w:p>
        </w:tc>
        <w:tc>
          <w:tcPr>
            <w:tcW w:w="383" w:type="pct"/>
            <w:tcBorders>
              <w:top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center"/>
              <w:rPr>
                <w:rFonts w:eastAsia="Times New Roman"/>
              </w:rPr>
            </w:pPr>
            <w:r w:rsidRPr="00C16659">
              <w:rPr>
                <w:rFonts w:eastAsia="Times New Roman"/>
              </w:rPr>
              <w:t>Low</w:t>
            </w:r>
          </w:p>
        </w:tc>
        <w:tc>
          <w:tcPr>
            <w:tcW w:w="651" w:type="pct"/>
            <w:tcBorders>
              <w:top w:val="single" w:sz="4" w:space="0" w:color="auto"/>
              <w:bottom w:val="single" w:sz="4" w:space="0" w:color="auto"/>
              <w:right w:val="single" w:sz="4" w:space="0" w:color="auto"/>
            </w:tcBorders>
            <w:shd w:val="clear" w:color="auto" w:fill="auto"/>
            <w:noWrap/>
            <w:vAlign w:val="bottom"/>
            <w:hideMark/>
          </w:tcPr>
          <w:p w:rsidR="005D4A34" w:rsidRPr="00C16659" w:rsidRDefault="005D4A34" w:rsidP="00EC2A61">
            <w:pPr>
              <w:spacing w:before="0" w:after="0"/>
              <w:jc w:val="center"/>
              <w:rPr>
                <w:rFonts w:eastAsia="Times New Roman"/>
              </w:rPr>
            </w:pPr>
            <w:r w:rsidRPr="00C16659">
              <w:rPr>
                <w:rFonts w:eastAsia="Times New Roman"/>
              </w:rPr>
              <w:t>Very low</w:t>
            </w:r>
          </w:p>
        </w:tc>
        <w:tc>
          <w:tcPr>
            <w:tcW w:w="444" w:type="pct"/>
            <w:tcBorders>
              <w:top w:val="single" w:sz="4" w:space="0" w:color="auto"/>
              <w:left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center"/>
              <w:rPr>
                <w:rFonts w:eastAsia="Times New Roman"/>
              </w:rPr>
            </w:pPr>
            <w:r w:rsidRPr="00C16659">
              <w:rPr>
                <w:rFonts w:ascii="Symbol" w:eastAsia="Times New Roman" w:hAnsi="Symbol"/>
              </w:rPr>
              <w:t></w:t>
            </w:r>
            <w:r w:rsidRPr="00C16659">
              <w:rPr>
                <w:rFonts w:eastAsia="Times New Roman"/>
              </w:rPr>
              <w:t>max</w:t>
            </w:r>
          </w:p>
        </w:tc>
        <w:tc>
          <w:tcPr>
            <w:tcW w:w="441" w:type="pct"/>
            <w:tcBorders>
              <w:top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center"/>
              <w:rPr>
                <w:rFonts w:eastAsia="Times New Roman"/>
              </w:rPr>
            </w:pPr>
            <w:r w:rsidRPr="00C16659">
              <w:rPr>
                <w:rFonts w:eastAsia="Times New Roman"/>
              </w:rPr>
              <w:t>5.21</w:t>
            </w:r>
          </w:p>
        </w:tc>
      </w:tr>
      <w:tr w:rsidR="005D4A34" w:rsidRPr="00C16659" w:rsidTr="002D14E5">
        <w:trPr>
          <w:trHeight w:val="60"/>
          <w:jc w:val="center"/>
        </w:trPr>
        <w:tc>
          <w:tcPr>
            <w:tcW w:w="1259" w:type="pct"/>
            <w:tcBorders>
              <w:top w:val="single" w:sz="4" w:space="0" w:color="auto"/>
            </w:tcBorders>
            <w:shd w:val="clear" w:color="auto" w:fill="auto"/>
            <w:noWrap/>
            <w:vAlign w:val="bottom"/>
            <w:hideMark/>
          </w:tcPr>
          <w:p w:rsidR="005D4A34" w:rsidRPr="00C16659" w:rsidRDefault="005D4A34" w:rsidP="00EC2A61">
            <w:pPr>
              <w:spacing w:before="0" w:after="0"/>
              <w:rPr>
                <w:rFonts w:eastAsia="Times New Roman"/>
              </w:rPr>
            </w:pPr>
            <w:r w:rsidRPr="00C16659">
              <w:rPr>
                <w:rFonts w:eastAsia="Times New Roman"/>
              </w:rPr>
              <w:t>Very high</w:t>
            </w:r>
          </w:p>
        </w:tc>
        <w:tc>
          <w:tcPr>
            <w:tcW w:w="753" w:type="pct"/>
            <w:tcBorders>
              <w:top w:val="single" w:sz="4" w:space="0" w:color="auto"/>
            </w:tcBorders>
            <w:shd w:val="clear" w:color="000000" w:fill="00B0F0"/>
            <w:noWrap/>
            <w:vAlign w:val="bottom"/>
            <w:hideMark/>
          </w:tcPr>
          <w:p w:rsidR="005D4A34" w:rsidRPr="00C16659" w:rsidRDefault="005D4A34" w:rsidP="00EC2A61">
            <w:pPr>
              <w:spacing w:before="0" w:after="0"/>
              <w:jc w:val="center"/>
              <w:rPr>
                <w:rFonts w:eastAsia="Times New Roman"/>
              </w:rPr>
            </w:pPr>
            <w:r w:rsidRPr="00C16659">
              <w:rPr>
                <w:rFonts w:eastAsia="Times New Roman"/>
              </w:rPr>
              <w:t>1</w:t>
            </w:r>
          </w:p>
        </w:tc>
        <w:tc>
          <w:tcPr>
            <w:tcW w:w="406" w:type="pct"/>
            <w:tcBorders>
              <w:top w:val="single" w:sz="4" w:space="0" w:color="auto"/>
            </w:tcBorders>
            <w:shd w:val="clear" w:color="auto" w:fill="auto"/>
            <w:noWrap/>
            <w:vAlign w:val="bottom"/>
            <w:hideMark/>
          </w:tcPr>
          <w:p w:rsidR="005D4A34" w:rsidRPr="00C16659" w:rsidRDefault="005D4A34" w:rsidP="00EC2A61">
            <w:pPr>
              <w:spacing w:before="0" w:after="0"/>
              <w:jc w:val="center"/>
              <w:rPr>
                <w:rFonts w:eastAsia="Times New Roman"/>
              </w:rPr>
            </w:pPr>
            <w:r w:rsidRPr="00C16659">
              <w:rPr>
                <w:rFonts w:eastAsia="Times New Roman"/>
              </w:rPr>
              <w:t>3</w:t>
            </w:r>
          </w:p>
        </w:tc>
        <w:tc>
          <w:tcPr>
            <w:tcW w:w="663" w:type="pct"/>
            <w:tcBorders>
              <w:top w:val="single" w:sz="4" w:space="0" w:color="auto"/>
            </w:tcBorders>
            <w:shd w:val="clear" w:color="auto" w:fill="auto"/>
            <w:noWrap/>
            <w:vAlign w:val="bottom"/>
            <w:hideMark/>
          </w:tcPr>
          <w:p w:rsidR="005D4A34" w:rsidRPr="00C16659" w:rsidRDefault="005D4A34" w:rsidP="00EC2A61">
            <w:pPr>
              <w:spacing w:before="0" w:after="0"/>
              <w:jc w:val="center"/>
              <w:rPr>
                <w:rFonts w:eastAsia="Times New Roman"/>
              </w:rPr>
            </w:pPr>
            <w:r w:rsidRPr="00C16659">
              <w:rPr>
                <w:rFonts w:eastAsia="Times New Roman"/>
              </w:rPr>
              <w:t>4</w:t>
            </w:r>
          </w:p>
        </w:tc>
        <w:tc>
          <w:tcPr>
            <w:tcW w:w="383" w:type="pct"/>
            <w:tcBorders>
              <w:top w:val="single" w:sz="4" w:space="0" w:color="auto"/>
            </w:tcBorders>
            <w:shd w:val="clear" w:color="auto" w:fill="auto"/>
            <w:noWrap/>
            <w:vAlign w:val="bottom"/>
            <w:hideMark/>
          </w:tcPr>
          <w:p w:rsidR="005D4A34" w:rsidRPr="00C16659" w:rsidRDefault="005D4A34" w:rsidP="00EC2A61">
            <w:pPr>
              <w:spacing w:before="0" w:after="0"/>
              <w:jc w:val="center"/>
              <w:rPr>
                <w:rFonts w:eastAsia="Times New Roman"/>
              </w:rPr>
            </w:pPr>
            <w:r w:rsidRPr="00C16659">
              <w:rPr>
                <w:rFonts w:eastAsia="Times New Roman"/>
              </w:rPr>
              <w:t>5</w:t>
            </w:r>
          </w:p>
        </w:tc>
        <w:tc>
          <w:tcPr>
            <w:tcW w:w="651" w:type="pct"/>
            <w:tcBorders>
              <w:top w:val="single" w:sz="4" w:space="0" w:color="auto"/>
              <w:right w:val="single" w:sz="4" w:space="0" w:color="auto"/>
            </w:tcBorders>
            <w:shd w:val="clear" w:color="auto" w:fill="auto"/>
            <w:noWrap/>
            <w:vAlign w:val="bottom"/>
            <w:hideMark/>
          </w:tcPr>
          <w:p w:rsidR="005D4A34" w:rsidRPr="00C16659" w:rsidRDefault="005D4A34" w:rsidP="00EC2A61">
            <w:pPr>
              <w:spacing w:before="0" w:after="0"/>
              <w:jc w:val="center"/>
              <w:rPr>
                <w:rFonts w:eastAsia="Times New Roman"/>
              </w:rPr>
            </w:pPr>
            <w:r w:rsidRPr="00C16659">
              <w:rPr>
                <w:rFonts w:eastAsia="Times New Roman"/>
              </w:rPr>
              <w:t>7</w:t>
            </w:r>
          </w:p>
        </w:tc>
        <w:tc>
          <w:tcPr>
            <w:tcW w:w="444" w:type="pct"/>
            <w:tcBorders>
              <w:top w:val="single" w:sz="4" w:space="0" w:color="auto"/>
              <w:left w:val="single" w:sz="4" w:space="0" w:color="auto"/>
            </w:tcBorders>
            <w:shd w:val="clear" w:color="auto" w:fill="auto"/>
            <w:noWrap/>
            <w:vAlign w:val="bottom"/>
            <w:hideMark/>
          </w:tcPr>
          <w:p w:rsidR="005D4A34" w:rsidRPr="00C16659" w:rsidRDefault="005D4A34" w:rsidP="00EC2A61">
            <w:pPr>
              <w:spacing w:before="0" w:after="0"/>
              <w:jc w:val="center"/>
              <w:rPr>
                <w:rFonts w:eastAsia="Times New Roman"/>
              </w:rPr>
            </w:pPr>
          </w:p>
        </w:tc>
        <w:tc>
          <w:tcPr>
            <w:tcW w:w="441" w:type="pct"/>
            <w:tcBorders>
              <w:top w:val="single" w:sz="4" w:space="0" w:color="auto"/>
            </w:tcBorders>
            <w:shd w:val="clear" w:color="auto" w:fill="auto"/>
            <w:noWrap/>
            <w:vAlign w:val="bottom"/>
            <w:hideMark/>
          </w:tcPr>
          <w:p w:rsidR="005D4A34" w:rsidRPr="00C16659" w:rsidRDefault="005D4A34" w:rsidP="00EC2A61">
            <w:pPr>
              <w:spacing w:before="0" w:after="0"/>
              <w:jc w:val="center"/>
              <w:rPr>
                <w:rFonts w:eastAsia="Times New Roman"/>
              </w:rPr>
            </w:pPr>
          </w:p>
        </w:tc>
      </w:tr>
      <w:tr w:rsidR="005D4A34" w:rsidRPr="00C16659" w:rsidTr="002D14E5">
        <w:trPr>
          <w:trHeight w:val="281"/>
          <w:jc w:val="center"/>
        </w:trPr>
        <w:tc>
          <w:tcPr>
            <w:tcW w:w="1259" w:type="pct"/>
            <w:shd w:val="clear" w:color="auto" w:fill="auto"/>
            <w:noWrap/>
            <w:vAlign w:val="bottom"/>
            <w:hideMark/>
          </w:tcPr>
          <w:p w:rsidR="005D4A34" w:rsidRPr="00C16659" w:rsidRDefault="005D4A34" w:rsidP="00EC2A61">
            <w:pPr>
              <w:spacing w:before="0" w:after="0"/>
              <w:rPr>
                <w:rFonts w:eastAsia="Times New Roman"/>
              </w:rPr>
            </w:pPr>
            <w:r w:rsidRPr="00C16659">
              <w:rPr>
                <w:rFonts w:eastAsia="Times New Roman"/>
              </w:rPr>
              <w:t>High</w:t>
            </w:r>
          </w:p>
        </w:tc>
        <w:tc>
          <w:tcPr>
            <w:tcW w:w="753" w:type="pct"/>
            <w:shd w:val="clear" w:color="000000" w:fill="DDEBF7"/>
            <w:noWrap/>
            <w:vAlign w:val="bottom"/>
            <w:hideMark/>
          </w:tcPr>
          <w:p w:rsidR="005D4A34" w:rsidRPr="00C16659" w:rsidRDefault="005D4A34" w:rsidP="00EC2A61">
            <w:pPr>
              <w:spacing w:before="0" w:after="0"/>
              <w:jc w:val="center"/>
              <w:rPr>
                <w:rFonts w:eastAsia="Times New Roman"/>
              </w:rPr>
            </w:pPr>
            <w:r w:rsidRPr="00C16659">
              <w:rPr>
                <w:rFonts w:eastAsia="Times New Roman"/>
              </w:rPr>
              <w:t>1/3</w:t>
            </w:r>
          </w:p>
        </w:tc>
        <w:tc>
          <w:tcPr>
            <w:tcW w:w="406" w:type="pct"/>
            <w:shd w:val="clear" w:color="000000" w:fill="00B0F0"/>
            <w:noWrap/>
            <w:vAlign w:val="bottom"/>
            <w:hideMark/>
          </w:tcPr>
          <w:p w:rsidR="005D4A34" w:rsidRPr="00C16659" w:rsidRDefault="005D4A34" w:rsidP="00EC2A61">
            <w:pPr>
              <w:spacing w:before="0" w:after="0"/>
              <w:jc w:val="center"/>
              <w:rPr>
                <w:rFonts w:eastAsia="Times New Roman"/>
              </w:rPr>
            </w:pPr>
            <w:r w:rsidRPr="00C16659">
              <w:rPr>
                <w:rFonts w:eastAsia="Times New Roman"/>
              </w:rPr>
              <w:t>1</w:t>
            </w:r>
          </w:p>
        </w:tc>
        <w:tc>
          <w:tcPr>
            <w:tcW w:w="663" w:type="pct"/>
            <w:shd w:val="clear" w:color="auto" w:fill="auto"/>
            <w:noWrap/>
            <w:vAlign w:val="bottom"/>
            <w:hideMark/>
          </w:tcPr>
          <w:p w:rsidR="005D4A34" w:rsidRPr="00C16659" w:rsidRDefault="005D4A34" w:rsidP="00EC2A61">
            <w:pPr>
              <w:spacing w:before="0" w:after="0"/>
              <w:jc w:val="center"/>
              <w:rPr>
                <w:rFonts w:eastAsia="Times New Roman"/>
              </w:rPr>
            </w:pPr>
            <w:r w:rsidRPr="00C16659">
              <w:rPr>
                <w:rFonts w:eastAsia="Times New Roman"/>
              </w:rPr>
              <w:t>3</w:t>
            </w:r>
          </w:p>
        </w:tc>
        <w:tc>
          <w:tcPr>
            <w:tcW w:w="383" w:type="pct"/>
            <w:shd w:val="clear" w:color="auto" w:fill="auto"/>
            <w:noWrap/>
            <w:vAlign w:val="bottom"/>
            <w:hideMark/>
          </w:tcPr>
          <w:p w:rsidR="005D4A34" w:rsidRPr="00C16659" w:rsidRDefault="005D4A34" w:rsidP="00EC2A61">
            <w:pPr>
              <w:spacing w:before="0" w:after="0"/>
              <w:jc w:val="center"/>
              <w:rPr>
                <w:rFonts w:eastAsia="Times New Roman"/>
              </w:rPr>
            </w:pPr>
            <w:r w:rsidRPr="00C16659">
              <w:rPr>
                <w:rFonts w:eastAsia="Times New Roman"/>
              </w:rPr>
              <w:t>5</w:t>
            </w:r>
          </w:p>
        </w:tc>
        <w:tc>
          <w:tcPr>
            <w:tcW w:w="651" w:type="pct"/>
            <w:tcBorders>
              <w:right w:val="single" w:sz="4" w:space="0" w:color="auto"/>
            </w:tcBorders>
            <w:shd w:val="clear" w:color="auto" w:fill="auto"/>
            <w:noWrap/>
            <w:vAlign w:val="bottom"/>
            <w:hideMark/>
          </w:tcPr>
          <w:p w:rsidR="005D4A34" w:rsidRPr="00C16659" w:rsidRDefault="005D4A34" w:rsidP="00EC2A61">
            <w:pPr>
              <w:spacing w:before="0" w:after="0"/>
              <w:jc w:val="center"/>
              <w:rPr>
                <w:rFonts w:eastAsia="Times New Roman"/>
              </w:rPr>
            </w:pPr>
            <w:r w:rsidRPr="00C16659">
              <w:rPr>
                <w:rFonts w:eastAsia="Times New Roman"/>
              </w:rPr>
              <w:t>6</w:t>
            </w:r>
          </w:p>
        </w:tc>
        <w:tc>
          <w:tcPr>
            <w:tcW w:w="444" w:type="pct"/>
            <w:tcBorders>
              <w:left w:val="single" w:sz="4" w:space="0" w:color="auto"/>
            </w:tcBorders>
            <w:shd w:val="clear" w:color="auto" w:fill="auto"/>
            <w:noWrap/>
            <w:vAlign w:val="bottom"/>
            <w:hideMark/>
          </w:tcPr>
          <w:p w:rsidR="005D4A34" w:rsidRPr="00C16659" w:rsidRDefault="005D4A34" w:rsidP="00EC2A61">
            <w:pPr>
              <w:spacing w:before="0" w:after="0"/>
              <w:jc w:val="center"/>
              <w:rPr>
                <w:rFonts w:eastAsia="Times New Roman"/>
              </w:rPr>
            </w:pPr>
            <w:r w:rsidRPr="00C16659">
              <w:rPr>
                <w:rFonts w:eastAsia="Times New Roman"/>
              </w:rPr>
              <w:t>C.I</w:t>
            </w:r>
          </w:p>
        </w:tc>
        <w:tc>
          <w:tcPr>
            <w:tcW w:w="441" w:type="pct"/>
            <w:shd w:val="clear" w:color="auto" w:fill="auto"/>
            <w:noWrap/>
            <w:vAlign w:val="bottom"/>
            <w:hideMark/>
          </w:tcPr>
          <w:p w:rsidR="005D4A34" w:rsidRPr="00C16659" w:rsidRDefault="005D4A34" w:rsidP="00EC2A61">
            <w:pPr>
              <w:spacing w:before="0" w:after="0"/>
              <w:jc w:val="center"/>
              <w:rPr>
                <w:rFonts w:eastAsia="Times New Roman"/>
              </w:rPr>
            </w:pPr>
            <w:r w:rsidRPr="00C16659">
              <w:rPr>
                <w:rFonts w:eastAsia="Times New Roman"/>
              </w:rPr>
              <w:t>0.053</w:t>
            </w:r>
          </w:p>
        </w:tc>
      </w:tr>
      <w:tr w:rsidR="005D4A34" w:rsidRPr="00C16659" w:rsidTr="002D14E5">
        <w:trPr>
          <w:trHeight w:val="281"/>
          <w:jc w:val="center"/>
        </w:trPr>
        <w:tc>
          <w:tcPr>
            <w:tcW w:w="1259" w:type="pct"/>
            <w:shd w:val="clear" w:color="auto" w:fill="auto"/>
            <w:noWrap/>
            <w:vAlign w:val="bottom"/>
            <w:hideMark/>
          </w:tcPr>
          <w:p w:rsidR="005D4A34" w:rsidRPr="00C16659" w:rsidRDefault="005D4A34" w:rsidP="00EC2A61">
            <w:pPr>
              <w:spacing w:before="0" w:after="0"/>
              <w:rPr>
                <w:rFonts w:eastAsia="Times New Roman"/>
              </w:rPr>
            </w:pPr>
            <w:r w:rsidRPr="00C16659">
              <w:rPr>
                <w:rFonts w:eastAsia="Times New Roman"/>
              </w:rPr>
              <w:t>Moderate</w:t>
            </w:r>
          </w:p>
        </w:tc>
        <w:tc>
          <w:tcPr>
            <w:tcW w:w="753" w:type="pct"/>
            <w:shd w:val="clear" w:color="000000" w:fill="DDEBF7"/>
            <w:noWrap/>
            <w:vAlign w:val="bottom"/>
            <w:hideMark/>
          </w:tcPr>
          <w:p w:rsidR="005D4A34" w:rsidRPr="00C16659" w:rsidRDefault="005D4A34" w:rsidP="00EC2A61">
            <w:pPr>
              <w:spacing w:before="0" w:after="0"/>
              <w:jc w:val="center"/>
              <w:rPr>
                <w:rFonts w:eastAsia="Times New Roman"/>
              </w:rPr>
            </w:pPr>
            <w:r w:rsidRPr="00C16659">
              <w:rPr>
                <w:rFonts w:eastAsia="Times New Roman"/>
              </w:rPr>
              <w:t>1/4</w:t>
            </w:r>
          </w:p>
        </w:tc>
        <w:tc>
          <w:tcPr>
            <w:tcW w:w="406" w:type="pct"/>
            <w:shd w:val="clear" w:color="000000" w:fill="DDEBF7"/>
            <w:noWrap/>
            <w:vAlign w:val="bottom"/>
            <w:hideMark/>
          </w:tcPr>
          <w:p w:rsidR="005D4A34" w:rsidRPr="00C16659" w:rsidRDefault="005D4A34" w:rsidP="00EC2A61">
            <w:pPr>
              <w:spacing w:before="0" w:after="0"/>
              <w:jc w:val="center"/>
              <w:rPr>
                <w:rFonts w:eastAsia="Times New Roman"/>
              </w:rPr>
            </w:pPr>
            <w:r w:rsidRPr="00C16659">
              <w:rPr>
                <w:rFonts w:eastAsia="Times New Roman"/>
              </w:rPr>
              <w:t>1/3</w:t>
            </w:r>
          </w:p>
        </w:tc>
        <w:tc>
          <w:tcPr>
            <w:tcW w:w="663" w:type="pct"/>
            <w:shd w:val="clear" w:color="000000" w:fill="00B0F0"/>
            <w:noWrap/>
            <w:vAlign w:val="bottom"/>
            <w:hideMark/>
          </w:tcPr>
          <w:p w:rsidR="005D4A34" w:rsidRPr="00C16659" w:rsidRDefault="005D4A34" w:rsidP="00EC2A61">
            <w:pPr>
              <w:spacing w:before="0" w:after="0"/>
              <w:jc w:val="center"/>
              <w:rPr>
                <w:rFonts w:eastAsia="Times New Roman"/>
              </w:rPr>
            </w:pPr>
            <w:r w:rsidRPr="00C16659">
              <w:rPr>
                <w:rFonts w:eastAsia="Times New Roman"/>
              </w:rPr>
              <w:t>1</w:t>
            </w:r>
          </w:p>
        </w:tc>
        <w:tc>
          <w:tcPr>
            <w:tcW w:w="383" w:type="pct"/>
            <w:shd w:val="clear" w:color="auto" w:fill="auto"/>
            <w:noWrap/>
            <w:vAlign w:val="bottom"/>
            <w:hideMark/>
          </w:tcPr>
          <w:p w:rsidR="005D4A34" w:rsidRPr="00C16659" w:rsidRDefault="005D4A34" w:rsidP="00EC2A61">
            <w:pPr>
              <w:spacing w:before="0" w:after="0"/>
              <w:jc w:val="center"/>
              <w:rPr>
                <w:rFonts w:eastAsia="Times New Roman"/>
              </w:rPr>
            </w:pPr>
            <w:r w:rsidRPr="00C16659">
              <w:rPr>
                <w:rFonts w:eastAsia="Times New Roman"/>
              </w:rPr>
              <w:t>4</w:t>
            </w:r>
          </w:p>
        </w:tc>
        <w:tc>
          <w:tcPr>
            <w:tcW w:w="651" w:type="pct"/>
            <w:tcBorders>
              <w:right w:val="single" w:sz="4" w:space="0" w:color="auto"/>
            </w:tcBorders>
            <w:shd w:val="clear" w:color="auto" w:fill="auto"/>
            <w:noWrap/>
            <w:vAlign w:val="bottom"/>
            <w:hideMark/>
          </w:tcPr>
          <w:p w:rsidR="005D4A34" w:rsidRPr="00C16659" w:rsidRDefault="005D4A34" w:rsidP="00EC2A61">
            <w:pPr>
              <w:spacing w:before="0" w:after="0"/>
              <w:jc w:val="center"/>
              <w:rPr>
                <w:rFonts w:eastAsia="Times New Roman"/>
              </w:rPr>
            </w:pPr>
            <w:r w:rsidRPr="00C16659">
              <w:rPr>
                <w:rFonts w:eastAsia="Times New Roman"/>
              </w:rPr>
              <w:t>5</w:t>
            </w:r>
          </w:p>
        </w:tc>
        <w:tc>
          <w:tcPr>
            <w:tcW w:w="444" w:type="pct"/>
            <w:tcBorders>
              <w:left w:val="single" w:sz="4" w:space="0" w:color="auto"/>
            </w:tcBorders>
            <w:shd w:val="clear" w:color="auto" w:fill="auto"/>
            <w:noWrap/>
            <w:vAlign w:val="bottom"/>
            <w:hideMark/>
          </w:tcPr>
          <w:p w:rsidR="005D4A34" w:rsidRPr="00C16659" w:rsidRDefault="005D4A34" w:rsidP="00EC2A61">
            <w:pPr>
              <w:spacing w:before="0" w:after="0"/>
              <w:jc w:val="center"/>
              <w:rPr>
                <w:rFonts w:eastAsia="Times New Roman"/>
              </w:rPr>
            </w:pPr>
          </w:p>
        </w:tc>
        <w:tc>
          <w:tcPr>
            <w:tcW w:w="441" w:type="pct"/>
            <w:shd w:val="clear" w:color="auto" w:fill="auto"/>
            <w:noWrap/>
            <w:vAlign w:val="bottom"/>
            <w:hideMark/>
          </w:tcPr>
          <w:p w:rsidR="005D4A34" w:rsidRPr="00C16659" w:rsidRDefault="005D4A34" w:rsidP="00EC2A61">
            <w:pPr>
              <w:spacing w:before="0" w:after="0"/>
              <w:jc w:val="center"/>
              <w:rPr>
                <w:rFonts w:eastAsia="Times New Roman"/>
              </w:rPr>
            </w:pPr>
          </w:p>
        </w:tc>
      </w:tr>
      <w:tr w:rsidR="005D4A34" w:rsidRPr="00C16659" w:rsidTr="002D14E5">
        <w:trPr>
          <w:trHeight w:val="281"/>
          <w:jc w:val="center"/>
        </w:trPr>
        <w:tc>
          <w:tcPr>
            <w:tcW w:w="1259" w:type="pct"/>
            <w:shd w:val="clear" w:color="auto" w:fill="auto"/>
            <w:noWrap/>
            <w:vAlign w:val="bottom"/>
            <w:hideMark/>
          </w:tcPr>
          <w:p w:rsidR="005D4A34" w:rsidRPr="00C16659" w:rsidRDefault="005D4A34" w:rsidP="00EC2A61">
            <w:pPr>
              <w:spacing w:before="0" w:after="0"/>
              <w:rPr>
                <w:rFonts w:eastAsia="Times New Roman"/>
              </w:rPr>
            </w:pPr>
            <w:r w:rsidRPr="00C16659">
              <w:rPr>
                <w:rFonts w:eastAsia="Times New Roman"/>
              </w:rPr>
              <w:t>Low</w:t>
            </w:r>
          </w:p>
        </w:tc>
        <w:tc>
          <w:tcPr>
            <w:tcW w:w="753" w:type="pct"/>
            <w:shd w:val="clear" w:color="000000" w:fill="DDEBF7"/>
            <w:noWrap/>
            <w:vAlign w:val="bottom"/>
            <w:hideMark/>
          </w:tcPr>
          <w:p w:rsidR="005D4A34" w:rsidRPr="00C16659" w:rsidRDefault="005D4A34" w:rsidP="00EC2A61">
            <w:pPr>
              <w:spacing w:before="0" w:after="0"/>
              <w:jc w:val="center"/>
              <w:rPr>
                <w:rFonts w:eastAsia="Times New Roman"/>
              </w:rPr>
            </w:pPr>
            <w:r w:rsidRPr="00C16659">
              <w:rPr>
                <w:rFonts w:eastAsia="Times New Roman"/>
              </w:rPr>
              <w:t>1/7</w:t>
            </w:r>
          </w:p>
        </w:tc>
        <w:tc>
          <w:tcPr>
            <w:tcW w:w="406" w:type="pct"/>
            <w:shd w:val="clear" w:color="000000" w:fill="DDEBF7"/>
            <w:noWrap/>
            <w:vAlign w:val="bottom"/>
            <w:hideMark/>
          </w:tcPr>
          <w:p w:rsidR="005D4A34" w:rsidRPr="00C16659" w:rsidRDefault="005D4A34" w:rsidP="00EC2A61">
            <w:pPr>
              <w:spacing w:before="0" w:after="0"/>
              <w:jc w:val="center"/>
              <w:rPr>
                <w:rFonts w:eastAsia="Times New Roman"/>
              </w:rPr>
            </w:pPr>
            <w:r w:rsidRPr="00C16659">
              <w:rPr>
                <w:rFonts w:eastAsia="Times New Roman"/>
              </w:rPr>
              <w:t>1/5</w:t>
            </w:r>
          </w:p>
        </w:tc>
        <w:tc>
          <w:tcPr>
            <w:tcW w:w="663" w:type="pct"/>
            <w:shd w:val="clear" w:color="000000" w:fill="DDEBF7"/>
            <w:noWrap/>
            <w:vAlign w:val="bottom"/>
            <w:hideMark/>
          </w:tcPr>
          <w:p w:rsidR="005D4A34" w:rsidRPr="00C16659" w:rsidRDefault="005D4A34" w:rsidP="00EC2A61">
            <w:pPr>
              <w:spacing w:before="0" w:after="0"/>
              <w:jc w:val="center"/>
              <w:rPr>
                <w:rFonts w:eastAsia="Times New Roman"/>
              </w:rPr>
            </w:pPr>
            <w:r w:rsidRPr="00C16659">
              <w:rPr>
                <w:rFonts w:eastAsia="Times New Roman"/>
              </w:rPr>
              <w:t>1/4</w:t>
            </w:r>
          </w:p>
        </w:tc>
        <w:tc>
          <w:tcPr>
            <w:tcW w:w="383" w:type="pct"/>
            <w:shd w:val="clear" w:color="000000" w:fill="00B0F0"/>
            <w:noWrap/>
            <w:vAlign w:val="bottom"/>
            <w:hideMark/>
          </w:tcPr>
          <w:p w:rsidR="005D4A34" w:rsidRPr="00C16659" w:rsidRDefault="005D4A34" w:rsidP="00EC2A61">
            <w:pPr>
              <w:spacing w:before="0" w:after="0"/>
              <w:jc w:val="center"/>
              <w:rPr>
                <w:rFonts w:eastAsia="Times New Roman"/>
              </w:rPr>
            </w:pPr>
            <w:r w:rsidRPr="00C16659">
              <w:rPr>
                <w:rFonts w:eastAsia="Times New Roman"/>
              </w:rPr>
              <w:t>1</w:t>
            </w:r>
          </w:p>
        </w:tc>
        <w:tc>
          <w:tcPr>
            <w:tcW w:w="651" w:type="pct"/>
            <w:tcBorders>
              <w:right w:val="single" w:sz="4" w:space="0" w:color="auto"/>
            </w:tcBorders>
            <w:shd w:val="clear" w:color="auto" w:fill="auto"/>
            <w:noWrap/>
            <w:vAlign w:val="bottom"/>
            <w:hideMark/>
          </w:tcPr>
          <w:p w:rsidR="005D4A34" w:rsidRPr="00C16659" w:rsidRDefault="005D4A34" w:rsidP="00EC2A61">
            <w:pPr>
              <w:spacing w:before="0" w:after="0"/>
              <w:jc w:val="center"/>
              <w:rPr>
                <w:rFonts w:eastAsia="Times New Roman"/>
              </w:rPr>
            </w:pPr>
            <w:r w:rsidRPr="00C16659">
              <w:rPr>
                <w:rFonts w:eastAsia="Times New Roman"/>
              </w:rPr>
              <w:t>2</w:t>
            </w:r>
          </w:p>
        </w:tc>
        <w:tc>
          <w:tcPr>
            <w:tcW w:w="444" w:type="pct"/>
            <w:tcBorders>
              <w:left w:val="single" w:sz="4" w:space="0" w:color="auto"/>
            </w:tcBorders>
            <w:shd w:val="clear" w:color="auto" w:fill="auto"/>
            <w:noWrap/>
            <w:vAlign w:val="bottom"/>
            <w:hideMark/>
          </w:tcPr>
          <w:p w:rsidR="005D4A34" w:rsidRPr="00C16659" w:rsidRDefault="005D4A34" w:rsidP="00EC2A61">
            <w:pPr>
              <w:spacing w:before="0" w:after="0"/>
              <w:jc w:val="center"/>
              <w:rPr>
                <w:rFonts w:eastAsia="Times New Roman"/>
              </w:rPr>
            </w:pPr>
            <w:r w:rsidRPr="00C16659">
              <w:rPr>
                <w:rFonts w:eastAsia="Times New Roman"/>
              </w:rPr>
              <w:t>R. I</w:t>
            </w:r>
          </w:p>
        </w:tc>
        <w:tc>
          <w:tcPr>
            <w:tcW w:w="441" w:type="pct"/>
            <w:shd w:val="clear" w:color="auto" w:fill="auto"/>
            <w:noWrap/>
            <w:vAlign w:val="bottom"/>
            <w:hideMark/>
          </w:tcPr>
          <w:p w:rsidR="005D4A34" w:rsidRPr="00C16659" w:rsidRDefault="005D4A34" w:rsidP="00EC2A61">
            <w:pPr>
              <w:spacing w:before="0" w:after="0"/>
              <w:jc w:val="center"/>
              <w:rPr>
                <w:rFonts w:eastAsia="Times New Roman"/>
              </w:rPr>
            </w:pPr>
            <w:r w:rsidRPr="00C16659">
              <w:rPr>
                <w:rFonts w:eastAsia="Times New Roman"/>
              </w:rPr>
              <w:t>1.12</w:t>
            </w:r>
          </w:p>
        </w:tc>
      </w:tr>
      <w:tr w:rsidR="005D4A34" w:rsidRPr="00C16659" w:rsidTr="002D14E5">
        <w:trPr>
          <w:trHeight w:val="60"/>
          <w:jc w:val="center"/>
        </w:trPr>
        <w:tc>
          <w:tcPr>
            <w:tcW w:w="1259" w:type="pct"/>
            <w:tcBorders>
              <w:bottom w:val="single" w:sz="4" w:space="0" w:color="auto"/>
            </w:tcBorders>
            <w:shd w:val="clear" w:color="auto" w:fill="auto"/>
            <w:noWrap/>
            <w:vAlign w:val="bottom"/>
            <w:hideMark/>
          </w:tcPr>
          <w:p w:rsidR="005D4A34" w:rsidRPr="00C16659" w:rsidRDefault="005D4A34" w:rsidP="00EC2A61">
            <w:pPr>
              <w:spacing w:before="0" w:after="0"/>
              <w:rPr>
                <w:rFonts w:eastAsia="Times New Roman"/>
              </w:rPr>
            </w:pPr>
            <w:r w:rsidRPr="00C16659">
              <w:rPr>
                <w:rFonts w:eastAsia="Times New Roman"/>
              </w:rPr>
              <w:t>Very low</w:t>
            </w:r>
          </w:p>
        </w:tc>
        <w:tc>
          <w:tcPr>
            <w:tcW w:w="753" w:type="pct"/>
            <w:tcBorders>
              <w:bottom w:val="single" w:sz="4" w:space="0" w:color="auto"/>
            </w:tcBorders>
            <w:shd w:val="clear" w:color="000000" w:fill="DDEBF7"/>
            <w:noWrap/>
            <w:vAlign w:val="bottom"/>
            <w:hideMark/>
          </w:tcPr>
          <w:p w:rsidR="005D4A34" w:rsidRPr="00C16659" w:rsidRDefault="005D4A34" w:rsidP="00EC2A61">
            <w:pPr>
              <w:spacing w:before="0" w:after="0"/>
              <w:jc w:val="center"/>
              <w:rPr>
                <w:rFonts w:eastAsia="Times New Roman"/>
              </w:rPr>
            </w:pPr>
            <w:r w:rsidRPr="00C16659">
              <w:rPr>
                <w:rFonts w:eastAsia="Times New Roman"/>
              </w:rPr>
              <w:t>1/9</w:t>
            </w:r>
          </w:p>
        </w:tc>
        <w:tc>
          <w:tcPr>
            <w:tcW w:w="406" w:type="pct"/>
            <w:tcBorders>
              <w:bottom w:val="single" w:sz="4" w:space="0" w:color="auto"/>
            </w:tcBorders>
            <w:shd w:val="clear" w:color="000000" w:fill="DDEBF7"/>
            <w:noWrap/>
            <w:vAlign w:val="bottom"/>
            <w:hideMark/>
          </w:tcPr>
          <w:p w:rsidR="005D4A34" w:rsidRPr="00C16659" w:rsidRDefault="005D4A34" w:rsidP="00EC2A61">
            <w:pPr>
              <w:spacing w:before="0" w:after="0"/>
              <w:jc w:val="center"/>
              <w:rPr>
                <w:rFonts w:eastAsia="Times New Roman"/>
              </w:rPr>
            </w:pPr>
            <w:r w:rsidRPr="00C16659">
              <w:rPr>
                <w:rFonts w:eastAsia="Times New Roman"/>
              </w:rPr>
              <w:t>1/7</w:t>
            </w:r>
          </w:p>
        </w:tc>
        <w:tc>
          <w:tcPr>
            <w:tcW w:w="663" w:type="pct"/>
            <w:tcBorders>
              <w:bottom w:val="single" w:sz="4" w:space="0" w:color="auto"/>
            </w:tcBorders>
            <w:shd w:val="clear" w:color="000000" w:fill="DDEBF7"/>
            <w:noWrap/>
            <w:vAlign w:val="bottom"/>
            <w:hideMark/>
          </w:tcPr>
          <w:p w:rsidR="005D4A34" w:rsidRPr="00C16659" w:rsidRDefault="005D4A34" w:rsidP="00EC2A61">
            <w:pPr>
              <w:spacing w:before="0" w:after="0"/>
              <w:jc w:val="center"/>
              <w:rPr>
                <w:rFonts w:eastAsia="Times New Roman"/>
              </w:rPr>
            </w:pPr>
            <w:r w:rsidRPr="00C16659">
              <w:rPr>
                <w:rFonts w:eastAsia="Times New Roman"/>
              </w:rPr>
              <w:t>1/5</w:t>
            </w:r>
          </w:p>
        </w:tc>
        <w:tc>
          <w:tcPr>
            <w:tcW w:w="383" w:type="pct"/>
            <w:tcBorders>
              <w:bottom w:val="single" w:sz="4" w:space="0" w:color="auto"/>
            </w:tcBorders>
            <w:shd w:val="clear" w:color="000000" w:fill="DDEBF7"/>
            <w:noWrap/>
            <w:vAlign w:val="bottom"/>
            <w:hideMark/>
          </w:tcPr>
          <w:p w:rsidR="005D4A34" w:rsidRPr="00C16659" w:rsidRDefault="005D4A34" w:rsidP="00EC2A61">
            <w:pPr>
              <w:spacing w:before="0" w:after="0"/>
              <w:jc w:val="center"/>
              <w:rPr>
                <w:rFonts w:eastAsia="Times New Roman"/>
              </w:rPr>
            </w:pPr>
            <w:r w:rsidRPr="00C16659">
              <w:rPr>
                <w:rFonts w:eastAsia="Times New Roman"/>
              </w:rPr>
              <w:t>1/2</w:t>
            </w:r>
          </w:p>
        </w:tc>
        <w:tc>
          <w:tcPr>
            <w:tcW w:w="651" w:type="pct"/>
            <w:tcBorders>
              <w:bottom w:val="single" w:sz="4" w:space="0" w:color="auto"/>
              <w:right w:val="single" w:sz="4" w:space="0" w:color="auto"/>
            </w:tcBorders>
            <w:shd w:val="clear" w:color="000000" w:fill="00B0F0"/>
            <w:noWrap/>
            <w:vAlign w:val="bottom"/>
            <w:hideMark/>
          </w:tcPr>
          <w:p w:rsidR="005D4A34" w:rsidRPr="00C16659" w:rsidRDefault="005D4A34" w:rsidP="00EC2A61">
            <w:pPr>
              <w:spacing w:before="0" w:after="0"/>
              <w:jc w:val="center"/>
              <w:rPr>
                <w:rFonts w:eastAsia="Times New Roman"/>
              </w:rPr>
            </w:pPr>
            <w:r w:rsidRPr="00C16659">
              <w:rPr>
                <w:rFonts w:eastAsia="Times New Roman"/>
              </w:rPr>
              <w:t>1</w:t>
            </w:r>
          </w:p>
        </w:tc>
        <w:tc>
          <w:tcPr>
            <w:tcW w:w="444" w:type="pct"/>
            <w:tcBorders>
              <w:left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center"/>
              <w:rPr>
                <w:rFonts w:eastAsia="Times New Roman"/>
              </w:rPr>
            </w:pPr>
          </w:p>
        </w:tc>
        <w:tc>
          <w:tcPr>
            <w:tcW w:w="441" w:type="pct"/>
            <w:tcBorders>
              <w:bottom w:val="single" w:sz="4" w:space="0" w:color="auto"/>
            </w:tcBorders>
            <w:shd w:val="clear" w:color="auto" w:fill="auto"/>
            <w:noWrap/>
            <w:vAlign w:val="bottom"/>
            <w:hideMark/>
          </w:tcPr>
          <w:p w:rsidR="005D4A34" w:rsidRPr="00C16659" w:rsidRDefault="005D4A34" w:rsidP="00EC2A61">
            <w:pPr>
              <w:spacing w:before="0" w:after="0"/>
              <w:jc w:val="center"/>
              <w:rPr>
                <w:rFonts w:eastAsia="Times New Roman"/>
              </w:rPr>
            </w:pPr>
          </w:p>
        </w:tc>
      </w:tr>
      <w:tr w:rsidR="005D4A34" w:rsidRPr="00C16659" w:rsidTr="002D14E5">
        <w:trPr>
          <w:trHeight w:val="60"/>
          <w:jc w:val="center"/>
        </w:trPr>
        <w:tc>
          <w:tcPr>
            <w:tcW w:w="1259" w:type="pct"/>
            <w:tcBorders>
              <w:top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center"/>
              <w:rPr>
                <w:rFonts w:eastAsia="Times New Roman"/>
              </w:rPr>
            </w:pPr>
            <w:r w:rsidRPr="00C16659">
              <w:rPr>
                <w:rFonts w:eastAsia="Times New Roman"/>
              </w:rPr>
              <w:t>Relative weight (%)</w:t>
            </w:r>
          </w:p>
        </w:tc>
        <w:tc>
          <w:tcPr>
            <w:tcW w:w="753" w:type="pct"/>
            <w:tcBorders>
              <w:top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center"/>
              <w:rPr>
                <w:rFonts w:eastAsia="Times New Roman"/>
              </w:rPr>
            </w:pPr>
            <w:r w:rsidRPr="00C16659">
              <w:rPr>
                <w:rFonts w:eastAsia="Times New Roman"/>
              </w:rPr>
              <w:t>49</w:t>
            </w:r>
          </w:p>
        </w:tc>
        <w:tc>
          <w:tcPr>
            <w:tcW w:w="406" w:type="pct"/>
            <w:tcBorders>
              <w:top w:val="single" w:sz="4" w:space="0" w:color="auto"/>
              <w:bottom w:val="single" w:sz="4" w:space="0" w:color="auto"/>
            </w:tcBorders>
            <w:shd w:val="clear" w:color="auto" w:fill="auto"/>
            <w:noWrap/>
            <w:vAlign w:val="bottom"/>
            <w:hideMark/>
          </w:tcPr>
          <w:p w:rsidR="005D4A34" w:rsidRPr="00C16659" w:rsidRDefault="005D4A34" w:rsidP="00EC2A61">
            <w:pPr>
              <w:spacing w:before="0" w:after="0"/>
              <w:rPr>
                <w:rFonts w:eastAsia="Times New Roman"/>
              </w:rPr>
            </w:pPr>
            <w:r w:rsidRPr="00C16659">
              <w:rPr>
                <w:rFonts w:eastAsia="Times New Roman"/>
              </w:rPr>
              <w:t>26</w:t>
            </w:r>
          </w:p>
        </w:tc>
        <w:tc>
          <w:tcPr>
            <w:tcW w:w="663" w:type="pct"/>
            <w:tcBorders>
              <w:top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center"/>
              <w:rPr>
                <w:rFonts w:eastAsia="Times New Roman"/>
              </w:rPr>
            </w:pPr>
            <w:r w:rsidRPr="00C16659">
              <w:rPr>
                <w:rFonts w:eastAsia="Times New Roman"/>
              </w:rPr>
              <w:t>15</w:t>
            </w:r>
          </w:p>
        </w:tc>
        <w:tc>
          <w:tcPr>
            <w:tcW w:w="383" w:type="pct"/>
            <w:tcBorders>
              <w:top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center"/>
              <w:rPr>
                <w:rFonts w:eastAsia="Times New Roman"/>
              </w:rPr>
            </w:pPr>
            <w:r w:rsidRPr="00C16659">
              <w:rPr>
                <w:rFonts w:eastAsia="Times New Roman"/>
              </w:rPr>
              <w:t>6</w:t>
            </w:r>
          </w:p>
        </w:tc>
        <w:tc>
          <w:tcPr>
            <w:tcW w:w="651" w:type="pct"/>
            <w:tcBorders>
              <w:top w:val="single" w:sz="4" w:space="0" w:color="auto"/>
              <w:bottom w:val="single" w:sz="4" w:space="0" w:color="auto"/>
              <w:right w:val="single" w:sz="4" w:space="0" w:color="auto"/>
            </w:tcBorders>
            <w:shd w:val="clear" w:color="auto" w:fill="auto"/>
            <w:noWrap/>
            <w:vAlign w:val="bottom"/>
            <w:hideMark/>
          </w:tcPr>
          <w:p w:rsidR="005D4A34" w:rsidRPr="00C16659" w:rsidRDefault="005D4A34" w:rsidP="00EC2A61">
            <w:pPr>
              <w:spacing w:before="0" w:after="0"/>
              <w:jc w:val="center"/>
              <w:rPr>
                <w:rFonts w:eastAsia="Times New Roman"/>
              </w:rPr>
            </w:pPr>
            <w:r w:rsidRPr="00C16659">
              <w:rPr>
                <w:rFonts w:eastAsia="Times New Roman"/>
              </w:rPr>
              <w:t>4</w:t>
            </w:r>
          </w:p>
        </w:tc>
        <w:tc>
          <w:tcPr>
            <w:tcW w:w="444" w:type="pct"/>
            <w:tcBorders>
              <w:top w:val="single" w:sz="4" w:space="0" w:color="auto"/>
              <w:left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center"/>
              <w:rPr>
                <w:rFonts w:eastAsia="Times New Roman"/>
              </w:rPr>
            </w:pPr>
            <w:r w:rsidRPr="00C16659">
              <w:rPr>
                <w:rFonts w:eastAsia="Times New Roman"/>
              </w:rPr>
              <w:t>CR</w:t>
            </w:r>
          </w:p>
        </w:tc>
        <w:tc>
          <w:tcPr>
            <w:tcW w:w="441" w:type="pct"/>
            <w:tcBorders>
              <w:top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center"/>
              <w:rPr>
                <w:rFonts w:eastAsia="Times New Roman"/>
              </w:rPr>
            </w:pPr>
            <w:r w:rsidRPr="00C16659">
              <w:rPr>
                <w:rFonts w:eastAsia="Times New Roman"/>
              </w:rPr>
              <w:t>0.04</w:t>
            </w:r>
          </w:p>
        </w:tc>
      </w:tr>
    </w:tbl>
    <w:p w:rsidR="005D4A34" w:rsidRPr="00C16659" w:rsidRDefault="005D4A34" w:rsidP="00EC2A61">
      <w:pPr>
        <w:rPr>
          <w:iCs/>
        </w:rPr>
      </w:pPr>
      <w:bookmarkStart w:id="267" w:name="_Toc65064353"/>
      <w:bookmarkStart w:id="268" w:name="_Toc68761659"/>
      <w:r w:rsidRPr="00C16659">
        <w:rPr>
          <w:iCs/>
        </w:rPr>
        <w:t xml:space="preserve">Appendix table </w:t>
      </w:r>
      <w:r w:rsidRPr="00C16659">
        <w:rPr>
          <w:iCs/>
        </w:rPr>
        <w:fldChar w:fldCharType="begin"/>
      </w:r>
      <w:r w:rsidRPr="00C16659">
        <w:rPr>
          <w:iCs/>
        </w:rPr>
        <w:instrText xml:space="preserve"> SEQ Appendix_table \* ARABIC </w:instrText>
      </w:r>
      <w:r w:rsidRPr="00C16659">
        <w:rPr>
          <w:iCs/>
        </w:rPr>
        <w:fldChar w:fldCharType="separate"/>
      </w:r>
      <w:r w:rsidR="00BD510E">
        <w:rPr>
          <w:iCs/>
          <w:noProof/>
        </w:rPr>
        <w:t>10</w:t>
      </w:r>
      <w:r w:rsidRPr="00C16659">
        <w:rPr>
          <w:iCs/>
        </w:rPr>
        <w:fldChar w:fldCharType="end"/>
      </w:r>
      <w:r w:rsidRPr="00C16659">
        <w:rPr>
          <w:iCs/>
        </w:rPr>
        <w:t>: AHP matrix, relative weight, and CR of LULC thematic map</w:t>
      </w:r>
      <w:bookmarkEnd w:id="267"/>
      <w:bookmarkEnd w:id="268"/>
    </w:p>
    <w:tbl>
      <w:tblPr>
        <w:tblW w:w="5000" w:type="pct"/>
        <w:jc w:val="center"/>
        <w:tblBorders>
          <w:top w:val="single" w:sz="4" w:space="0" w:color="auto"/>
          <w:bottom w:val="single" w:sz="4" w:space="0" w:color="auto"/>
        </w:tblBorders>
        <w:tblLook w:val="04A0" w:firstRow="1" w:lastRow="0" w:firstColumn="1" w:lastColumn="0" w:noHBand="0" w:noVBand="1"/>
      </w:tblPr>
      <w:tblGrid>
        <w:gridCol w:w="2202"/>
        <w:gridCol w:w="703"/>
        <w:gridCol w:w="1033"/>
        <w:gridCol w:w="1082"/>
        <w:gridCol w:w="1161"/>
        <w:gridCol w:w="1388"/>
        <w:gridCol w:w="779"/>
        <w:gridCol w:w="652"/>
      </w:tblGrid>
      <w:tr w:rsidR="005D4A34" w:rsidRPr="00C16659" w:rsidTr="002D14E5">
        <w:trPr>
          <w:trHeight w:val="62"/>
          <w:jc w:val="center"/>
        </w:trPr>
        <w:tc>
          <w:tcPr>
            <w:tcW w:w="1223" w:type="pct"/>
            <w:tcBorders>
              <w:top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center"/>
              <w:rPr>
                <w:rFonts w:eastAsia="Times New Roman"/>
              </w:rPr>
            </w:pPr>
            <w:r w:rsidRPr="00C16659">
              <w:rPr>
                <w:rFonts w:eastAsia="Times New Roman"/>
              </w:rPr>
              <w:t>LULC</w:t>
            </w:r>
          </w:p>
        </w:tc>
        <w:tc>
          <w:tcPr>
            <w:tcW w:w="390" w:type="pct"/>
            <w:tcBorders>
              <w:top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F</w:t>
            </w:r>
          </w:p>
        </w:tc>
        <w:tc>
          <w:tcPr>
            <w:tcW w:w="574" w:type="pct"/>
            <w:tcBorders>
              <w:top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BL</w:t>
            </w:r>
          </w:p>
        </w:tc>
        <w:tc>
          <w:tcPr>
            <w:tcW w:w="601" w:type="pct"/>
            <w:tcBorders>
              <w:top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GL</w:t>
            </w:r>
          </w:p>
        </w:tc>
        <w:tc>
          <w:tcPr>
            <w:tcW w:w="645" w:type="pct"/>
            <w:tcBorders>
              <w:top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A</w:t>
            </w:r>
          </w:p>
        </w:tc>
        <w:tc>
          <w:tcPr>
            <w:tcW w:w="771" w:type="pct"/>
            <w:tcBorders>
              <w:top w:val="single" w:sz="4" w:space="0" w:color="auto"/>
              <w:bottom w:val="single" w:sz="4" w:space="0" w:color="auto"/>
              <w:right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SB</w:t>
            </w:r>
          </w:p>
        </w:tc>
        <w:tc>
          <w:tcPr>
            <w:tcW w:w="433" w:type="pct"/>
            <w:tcBorders>
              <w:top w:val="single" w:sz="4" w:space="0" w:color="auto"/>
              <w:left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center"/>
              <w:rPr>
                <w:rFonts w:eastAsia="Times New Roman"/>
              </w:rPr>
            </w:pPr>
            <w:r w:rsidRPr="00C16659">
              <w:rPr>
                <w:rFonts w:ascii="Symbol" w:eastAsia="Times New Roman" w:hAnsi="Symbol"/>
              </w:rPr>
              <w:t></w:t>
            </w:r>
            <w:r w:rsidRPr="00C16659">
              <w:rPr>
                <w:rFonts w:eastAsia="Times New Roman"/>
              </w:rPr>
              <w:t>max</w:t>
            </w:r>
          </w:p>
        </w:tc>
        <w:tc>
          <w:tcPr>
            <w:tcW w:w="362" w:type="pct"/>
            <w:tcBorders>
              <w:top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5.27</w:t>
            </w:r>
          </w:p>
        </w:tc>
      </w:tr>
      <w:tr w:rsidR="005D4A34" w:rsidRPr="00C16659" w:rsidTr="002D14E5">
        <w:trPr>
          <w:trHeight w:val="60"/>
          <w:jc w:val="center"/>
        </w:trPr>
        <w:tc>
          <w:tcPr>
            <w:tcW w:w="1223" w:type="pct"/>
            <w:tcBorders>
              <w:top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F</w:t>
            </w:r>
          </w:p>
        </w:tc>
        <w:tc>
          <w:tcPr>
            <w:tcW w:w="390" w:type="pct"/>
            <w:tcBorders>
              <w:top w:val="single" w:sz="4" w:space="0" w:color="auto"/>
            </w:tcBorders>
            <w:shd w:val="clear" w:color="000000" w:fill="00B0F0"/>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1    </w:t>
            </w:r>
          </w:p>
        </w:tc>
        <w:tc>
          <w:tcPr>
            <w:tcW w:w="574" w:type="pct"/>
            <w:tcBorders>
              <w:top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3    </w:t>
            </w:r>
          </w:p>
        </w:tc>
        <w:tc>
          <w:tcPr>
            <w:tcW w:w="601" w:type="pct"/>
            <w:tcBorders>
              <w:top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4    </w:t>
            </w:r>
          </w:p>
        </w:tc>
        <w:tc>
          <w:tcPr>
            <w:tcW w:w="645" w:type="pct"/>
            <w:tcBorders>
              <w:top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7    </w:t>
            </w:r>
          </w:p>
        </w:tc>
        <w:tc>
          <w:tcPr>
            <w:tcW w:w="771" w:type="pct"/>
            <w:tcBorders>
              <w:top w:val="single" w:sz="4" w:space="0" w:color="auto"/>
              <w:right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9    </w:t>
            </w:r>
          </w:p>
        </w:tc>
        <w:tc>
          <w:tcPr>
            <w:tcW w:w="433" w:type="pct"/>
            <w:tcBorders>
              <w:top w:val="single" w:sz="4" w:space="0" w:color="auto"/>
              <w:left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p>
        </w:tc>
        <w:tc>
          <w:tcPr>
            <w:tcW w:w="362" w:type="pct"/>
            <w:tcBorders>
              <w:top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p>
        </w:tc>
      </w:tr>
      <w:tr w:rsidR="005D4A34" w:rsidRPr="00C16659" w:rsidTr="002D14E5">
        <w:trPr>
          <w:trHeight w:val="70"/>
          <w:jc w:val="center"/>
        </w:trPr>
        <w:tc>
          <w:tcPr>
            <w:tcW w:w="1223" w:type="pct"/>
            <w:shd w:val="clear" w:color="auto" w:fill="auto"/>
            <w:noWrap/>
            <w:vAlign w:val="bottom"/>
            <w:hideMark/>
          </w:tcPr>
          <w:p w:rsidR="005D4A34" w:rsidRPr="00C16659" w:rsidRDefault="005D4A34" w:rsidP="00EC2A61">
            <w:pPr>
              <w:spacing w:before="0" w:after="0"/>
              <w:rPr>
                <w:rFonts w:eastAsia="Times New Roman"/>
              </w:rPr>
            </w:pPr>
            <w:r w:rsidRPr="00C16659">
              <w:rPr>
                <w:rFonts w:eastAsia="Times New Roman"/>
              </w:rPr>
              <w:t>BL</w:t>
            </w:r>
          </w:p>
        </w:tc>
        <w:tc>
          <w:tcPr>
            <w:tcW w:w="390" w:type="pct"/>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1/3</w:t>
            </w:r>
          </w:p>
        </w:tc>
        <w:tc>
          <w:tcPr>
            <w:tcW w:w="574" w:type="pct"/>
            <w:shd w:val="clear" w:color="000000" w:fill="00B0F0"/>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1    </w:t>
            </w:r>
          </w:p>
        </w:tc>
        <w:tc>
          <w:tcPr>
            <w:tcW w:w="601" w:type="pct"/>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3    </w:t>
            </w:r>
          </w:p>
        </w:tc>
        <w:tc>
          <w:tcPr>
            <w:tcW w:w="645" w:type="pct"/>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5    </w:t>
            </w:r>
          </w:p>
        </w:tc>
        <w:tc>
          <w:tcPr>
            <w:tcW w:w="771" w:type="pct"/>
            <w:tcBorders>
              <w:right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7    </w:t>
            </w:r>
          </w:p>
        </w:tc>
        <w:tc>
          <w:tcPr>
            <w:tcW w:w="433" w:type="pct"/>
            <w:tcBorders>
              <w:left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C.I</w:t>
            </w:r>
          </w:p>
        </w:tc>
        <w:tc>
          <w:tcPr>
            <w:tcW w:w="362" w:type="pct"/>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0.06</w:t>
            </w:r>
          </w:p>
        </w:tc>
      </w:tr>
      <w:tr w:rsidR="005D4A34" w:rsidRPr="00C16659" w:rsidTr="002D14E5">
        <w:trPr>
          <w:trHeight w:val="70"/>
          <w:jc w:val="center"/>
        </w:trPr>
        <w:tc>
          <w:tcPr>
            <w:tcW w:w="1223" w:type="pct"/>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GL</w:t>
            </w:r>
          </w:p>
        </w:tc>
        <w:tc>
          <w:tcPr>
            <w:tcW w:w="390" w:type="pct"/>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1/4</w:t>
            </w:r>
          </w:p>
        </w:tc>
        <w:tc>
          <w:tcPr>
            <w:tcW w:w="574" w:type="pct"/>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1/3</w:t>
            </w:r>
          </w:p>
        </w:tc>
        <w:tc>
          <w:tcPr>
            <w:tcW w:w="601" w:type="pct"/>
            <w:shd w:val="clear" w:color="000000" w:fill="00B0F0"/>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1    </w:t>
            </w:r>
          </w:p>
        </w:tc>
        <w:tc>
          <w:tcPr>
            <w:tcW w:w="645" w:type="pct"/>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4    </w:t>
            </w:r>
          </w:p>
        </w:tc>
        <w:tc>
          <w:tcPr>
            <w:tcW w:w="771" w:type="pct"/>
            <w:tcBorders>
              <w:right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5    </w:t>
            </w:r>
          </w:p>
        </w:tc>
        <w:tc>
          <w:tcPr>
            <w:tcW w:w="433" w:type="pct"/>
            <w:tcBorders>
              <w:left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p>
        </w:tc>
        <w:tc>
          <w:tcPr>
            <w:tcW w:w="362" w:type="pct"/>
            <w:shd w:val="clear" w:color="auto" w:fill="auto"/>
            <w:noWrap/>
            <w:vAlign w:val="bottom"/>
            <w:hideMark/>
          </w:tcPr>
          <w:p w:rsidR="005D4A34" w:rsidRPr="00C16659" w:rsidRDefault="005D4A34" w:rsidP="00EC2A61">
            <w:pPr>
              <w:spacing w:before="0" w:after="0"/>
              <w:jc w:val="left"/>
              <w:rPr>
                <w:rFonts w:eastAsia="Times New Roman"/>
              </w:rPr>
            </w:pPr>
          </w:p>
        </w:tc>
      </w:tr>
      <w:tr w:rsidR="005D4A34" w:rsidRPr="00C16659" w:rsidTr="002D14E5">
        <w:trPr>
          <w:trHeight w:val="70"/>
          <w:jc w:val="center"/>
        </w:trPr>
        <w:tc>
          <w:tcPr>
            <w:tcW w:w="1223" w:type="pct"/>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A</w:t>
            </w:r>
          </w:p>
        </w:tc>
        <w:tc>
          <w:tcPr>
            <w:tcW w:w="390" w:type="pct"/>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1/7</w:t>
            </w:r>
          </w:p>
        </w:tc>
        <w:tc>
          <w:tcPr>
            <w:tcW w:w="574" w:type="pct"/>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1/5</w:t>
            </w:r>
          </w:p>
        </w:tc>
        <w:tc>
          <w:tcPr>
            <w:tcW w:w="601" w:type="pct"/>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1/4</w:t>
            </w:r>
          </w:p>
        </w:tc>
        <w:tc>
          <w:tcPr>
            <w:tcW w:w="645" w:type="pct"/>
            <w:shd w:val="clear" w:color="000000" w:fill="00B0F0"/>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1    </w:t>
            </w:r>
          </w:p>
        </w:tc>
        <w:tc>
          <w:tcPr>
            <w:tcW w:w="771" w:type="pct"/>
            <w:tcBorders>
              <w:right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3    </w:t>
            </w:r>
          </w:p>
        </w:tc>
        <w:tc>
          <w:tcPr>
            <w:tcW w:w="433" w:type="pct"/>
            <w:tcBorders>
              <w:left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R. I</w:t>
            </w:r>
          </w:p>
        </w:tc>
        <w:tc>
          <w:tcPr>
            <w:tcW w:w="362" w:type="pct"/>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1.12</w:t>
            </w:r>
          </w:p>
        </w:tc>
      </w:tr>
      <w:tr w:rsidR="005D4A34" w:rsidRPr="00C16659" w:rsidTr="002D14E5">
        <w:trPr>
          <w:trHeight w:val="70"/>
          <w:jc w:val="center"/>
        </w:trPr>
        <w:tc>
          <w:tcPr>
            <w:tcW w:w="1223" w:type="pct"/>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SB</w:t>
            </w:r>
          </w:p>
        </w:tc>
        <w:tc>
          <w:tcPr>
            <w:tcW w:w="390" w:type="pct"/>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1/9</w:t>
            </w:r>
          </w:p>
        </w:tc>
        <w:tc>
          <w:tcPr>
            <w:tcW w:w="574" w:type="pct"/>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1/7</w:t>
            </w:r>
          </w:p>
        </w:tc>
        <w:tc>
          <w:tcPr>
            <w:tcW w:w="601" w:type="pct"/>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1/5</w:t>
            </w:r>
          </w:p>
        </w:tc>
        <w:tc>
          <w:tcPr>
            <w:tcW w:w="645" w:type="pct"/>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1/3</w:t>
            </w:r>
          </w:p>
        </w:tc>
        <w:tc>
          <w:tcPr>
            <w:tcW w:w="771" w:type="pct"/>
            <w:tcBorders>
              <w:right w:val="single" w:sz="4" w:space="0" w:color="auto"/>
            </w:tcBorders>
            <w:shd w:val="clear" w:color="000000" w:fill="00B0F0"/>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1    </w:t>
            </w:r>
          </w:p>
        </w:tc>
        <w:tc>
          <w:tcPr>
            <w:tcW w:w="433" w:type="pct"/>
            <w:tcBorders>
              <w:left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p>
        </w:tc>
        <w:tc>
          <w:tcPr>
            <w:tcW w:w="362" w:type="pct"/>
            <w:shd w:val="clear" w:color="auto" w:fill="auto"/>
            <w:noWrap/>
            <w:vAlign w:val="bottom"/>
            <w:hideMark/>
          </w:tcPr>
          <w:p w:rsidR="005D4A34" w:rsidRPr="00C16659" w:rsidRDefault="005D4A34" w:rsidP="00EC2A61">
            <w:pPr>
              <w:spacing w:before="0" w:after="0"/>
              <w:jc w:val="left"/>
              <w:rPr>
                <w:rFonts w:eastAsia="Times New Roman"/>
              </w:rPr>
            </w:pPr>
          </w:p>
        </w:tc>
      </w:tr>
      <w:tr w:rsidR="005D4A34" w:rsidRPr="00C16659" w:rsidTr="002D14E5">
        <w:trPr>
          <w:trHeight w:val="70"/>
          <w:jc w:val="center"/>
        </w:trPr>
        <w:tc>
          <w:tcPr>
            <w:tcW w:w="1223" w:type="pct"/>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Relative weight (%)</w:t>
            </w:r>
          </w:p>
        </w:tc>
        <w:tc>
          <w:tcPr>
            <w:tcW w:w="390" w:type="pct"/>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49</w:t>
            </w:r>
          </w:p>
        </w:tc>
        <w:tc>
          <w:tcPr>
            <w:tcW w:w="574" w:type="pct"/>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26</w:t>
            </w:r>
          </w:p>
        </w:tc>
        <w:tc>
          <w:tcPr>
            <w:tcW w:w="601" w:type="pct"/>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15</w:t>
            </w:r>
          </w:p>
        </w:tc>
        <w:tc>
          <w:tcPr>
            <w:tcW w:w="645" w:type="pct"/>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7</w:t>
            </w:r>
          </w:p>
        </w:tc>
        <w:tc>
          <w:tcPr>
            <w:tcW w:w="771" w:type="pct"/>
            <w:tcBorders>
              <w:right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3</w:t>
            </w:r>
          </w:p>
        </w:tc>
        <w:tc>
          <w:tcPr>
            <w:tcW w:w="433" w:type="pct"/>
            <w:tcBorders>
              <w:left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C.R</w:t>
            </w:r>
          </w:p>
        </w:tc>
        <w:tc>
          <w:tcPr>
            <w:tcW w:w="362" w:type="pct"/>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0.06</w:t>
            </w:r>
          </w:p>
        </w:tc>
      </w:tr>
    </w:tbl>
    <w:p w:rsidR="005D4A34" w:rsidRPr="00C16659" w:rsidRDefault="005D4A34" w:rsidP="00EC2A61">
      <w:pPr>
        <w:rPr>
          <w:iCs/>
        </w:rPr>
      </w:pPr>
      <w:r w:rsidRPr="00C16659">
        <w:rPr>
          <w:iCs/>
        </w:rPr>
        <w:t>The acronyms F, BL, GL, A, and SB represent Forest, Bush land, Grass land, Agriculture, and Settlement/Bare lands.</w:t>
      </w:r>
    </w:p>
    <w:p w:rsidR="005D4A34" w:rsidRPr="00C16659" w:rsidRDefault="005D4A34" w:rsidP="00EC2A61">
      <w:pPr>
        <w:rPr>
          <w:iCs/>
        </w:rPr>
      </w:pPr>
      <w:bookmarkStart w:id="269" w:name="_Toc65064354"/>
      <w:bookmarkStart w:id="270" w:name="_Toc68761660"/>
      <w:r w:rsidRPr="00C16659">
        <w:rPr>
          <w:iCs/>
        </w:rPr>
        <w:t xml:space="preserve">Appendix table </w:t>
      </w:r>
      <w:r w:rsidRPr="00C16659">
        <w:rPr>
          <w:iCs/>
        </w:rPr>
        <w:fldChar w:fldCharType="begin"/>
      </w:r>
      <w:r w:rsidRPr="00C16659">
        <w:rPr>
          <w:iCs/>
        </w:rPr>
        <w:instrText xml:space="preserve"> SEQ Appendix_table \* ARABIC </w:instrText>
      </w:r>
      <w:r w:rsidRPr="00C16659">
        <w:rPr>
          <w:iCs/>
        </w:rPr>
        <w:fldChar w:fldCharType="separate"/>
      </w:r>
      <w:r w:rsidR="00BD510E">
        <w:rPr>
          <w:iCs/>
          <w:noProof/>
        </w:rPr>
        <w:t>11</w:t>
      </w:r>
      <w:r w:rsidRPr="00C16659">
        <w:rPr>
          <w:iCs/>
        </w:rPr>
        <w:fldChar w:fldCharType="end"/>
      </w:r>
      <w:r w:rsidRPr="00C16659">
        <w:rPr>
          <w:iCs/>
        </w:rPr>
        <w:t>: AHP matrix, relative weight, and CR of landforms thematic map</w:t>
      </w:r>
      <w:bookmarkEnd w:id="269"/>
      <w:bookmarkEnd w:id="270"/>
    </w:p>
    <w:tbl>
      <w:tblPr>
        <w:tblW w:w="5000" w:type="pct"/>
        <w:jc w:val="center"/>
        <w:tblBorders>
          <w:top w:val="single" w:sz="4" w:space="0" w:color="auto"/>
          <w:bottom w:val="single" w:sz="4" w:space="0" w:color="auto"/>
        </w:tblBorders>
        <w:tblLook w:val="04A0" w:firstRow="1" w:lastRow="0" w:firstColumn="1" w:lastColumn="0" w:noHBand="0" w:noVBand="1"/>
      </w:tblPr>
      <w:tblGrid>
        <w:gridCol w:w="2226"/>
        <w:gridCol w:w="697"/>
        <w:gridCol w:w="999"/>
        <w:gridCol w:w="999"/>
        <w:gridCol w:w="1037"/>
        <w:gridCol w:w="1181"/>
        <w:gridCol w:w="864"/>
        <w:gridCol w:w="997"/>
      </w:tblGrid>
      <w:tr w:rsidR="005D4A34" w:rsidRPr="00C16659" w:rsidTr="002D14E5">
        <w:trPr>
          <w:trHeight w:val="548"/>
          <w:jc w:val="center"/>
        </w:trPr>
        <w:tc>
          <w:tcPr>
            <w:tcW w:w="1237" w:type="pct"/>
            <w:tcBorders>
              <w:top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center"/>
              <w:rPr>
                <w:rFonts w:eastAsia="Times New Roman"/>
              </w:rPr>
            </w:pPr>
            <w:r w:rsidRPr="00C16659">
              <w:rPr>
                <w:rFonts w:eastAsia="Times New Roman"/>
              </w:rPr>
              <w:t>Landforms</w:t>
            </w:r>
          </w:p>
        </w:tc>
        <w:tc>
          <w:tcPr>
            <w:tcW w:w="387" w:type="pct"/>
            <w:tcBorders>
              <w:top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P/V</w:t>
            </w:r>
          </w:p>
        </w:tc>
        <w:tc>
          <w:tcPr>
            <w:tcW w:w="555" w:type="pct"/>
            <w:tcBorders>
              <w:top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OS/US</w:t>
            </w:r>
          </w:p>
        </w:tc>
        <w:tc>
          <w:tcPr>
            <w:tcW w:w="555" w:type="pct"/>
            <w:tcBorders>
              <w:top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MsD/S</w:t>
            </w:r>
          </w:p>
        </w:tc>
        <w:tc>
          <w:tcPr>
            <w:tcW w:w="576" w:type="pct"/>
            <w:tcBorders>
              <w:top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UD/LR</w:t>
            </w:r>
          </w:p>
        </w:tc>
        <w:tc>
          <w:tcPr>
            <w:tcW w:w="656" w:type="pct"/>
            <w:tcBorders>
              <w:top w:val="single" w:sz="4" w:space="0" w:color="auto"/>
              <w:bottom w:val="single" w:sz="4" w:space="0" w:color="auto"/>
              <w:right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MsR/HR</w:t>
            </w:r>
          </w:p>
        </w:tc>
        <w:tc>
          <w:tcPr>
            <w:tcW w:w="480" w:type="pct"/>
            <w:tcBorders>
              <w:top w:val="single" w:sz="4" w:space="0" w:color="auto"/>
              <w:left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ascii="Symbol" w:eastAsia="Times New Roman" w:hAnsi="Symbol"/>
              </w:rPr>
              <w:t></w:t>
            </w:r>
            <w:r w:rsidRPr="00C16659">
              <w:rPr>
                <w:rFonts w:eastAsia="Times New Roman"/>
              </w:rPr>
              <w:t>max</w:t>
            </w:r>
          </w:p>
        </w:tc>
        <w:tc>
          <w:tcPr>
            <w:tcW w:w="555" w:type="pct"/>
            <w:tcBorders>
              <w:top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5.170</w:t>
            </w:r>
          </w:p>
        </w:tc>
      </w:tr>
      <w:tr w:rsidR="005D4A34" w:rsidRPr="00C16659" w:rsidTr="002D14E5">
        <w:trPr>
          <w:trHeight w:val="60"/>
          <w:jc w:val="center"/>
        </w:trPr>
        <w:tc>
          <w:tcPr>
            <w:tcW w:w="1237" w:type="pct"/>
            <w:tcBorders>
              <w:top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P/V</w:t>
            </w:r>
          </w:p>
        </w:tc>
        <w:tc>
          <w:tcPr>
            <w:tcW w:w="387" w:type="pct"/>
            <w:tcBorders>
              <w:top w:val="single" w:sz="4" w:space="0" w:color="auto"/>
            </w:tcBorders>
            <w:shd w:val="clear" w:color="000000" w:fill="00B0F0"/>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1    </w:t>
            </w:r>
          </w:p>
        </w:tc>
        <w:tc>
          <w:tcPr>
            <w:tcW w:w="555" w:type="pct"/>
            <w:tcBorders>
              <w:top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2    </w:t>
            </w:r>
          </w:p>
        </w:tc>
        <w:tc>
          <w:tcPr>
            <w:tcW w:w="555" w:type="pct"/>
            <w:tcBorders>
              <w:top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3    </w:t>
            </w:r>
          </w:p>
        </w:tc>
        <w:tc>
          <w:tcPr>
            <w:tcW w:w="576" w:type="pct"/>
            <w:tcBorders>
              <w:top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7    </w:t>
            </w:r>
          </w:p>
        </w:tc>
        <w:tc>
          <w:tcPr>
            <w:tcW w:w="656" w:type="pct"/>
            <w:tcBorders>
              <w:top w:val="single" w:sz="4" w:space="0" w:color="auto"/>
              <w:right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9    </w:t>
            </w:r>
          </w:p>
        </w:tc>
        <w:tc>
          <w:tcPr>
            <w:tcW w:w="480" w:type="pct"/>
            <w:tcBorders>
              <w:top w:val="single" w:sz="4" w:space="0" w:color="auto"/>
              <w:left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p>
        </w:tc>
        <w:tc>
          <w:tcPr>
            <w:tcW w:w="555" w:type="pct"/>
            <w:tcBorders>
              <w:top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p>
        </w:tc>
      </w:tr>
      <w:tr w:rsidR="005D4A34" w:rsidRPr="00C16659" w:rsidTr="002D14E5">
        <w:trPr>
          <w:trHeight w:val="70"/>
          <w:jc w:val="center"/>
        </w:trPr>
        <w:tc>
          <w:tcPr>
            <w:tcW w:w="1237" w:type="pct"/>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OS/US</w:t>
            </w:r>
          </w:p>
        </w:tc>
        <w:tc>
          <w:tcPr>
            <w:tcW w:w="387" w:type="pct"/>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1/2</w:t>
            </w:r>
          </w:p>
        </w:tc>
        <w:tc>
          <w:tcPr>
            <w:tcW w:w="555" w:type="pct"/>
            <w:shd w:val="clear" w:color="000000" w:fill="00B0F0"/>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1    </w:t>
            </w:r>
          </w:p>
        </w:tc>
        <w:tc>
          <w:tcPr>
            <w:tcW w:w="555" w:type="pct"/>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2    </w:t>
            </w:r>
          </w:p>
        </w:tc>
        <w:tc>
          <w:tcPr>
            <w:tcW w:w="576" w:type="pct"/>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6    </w:t>
            </w:r>
          </w:p>
        </w:tc>
        <w:tc>
          <w:tcPr>
            <w:tcW w:w="656" w:type="pct"/>
            <w:tcBorders>
              <w:right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8    </w:t>
            </w:r>
          </w:p>
        </w:tc>
        <w:tc>
          <w:tcPr>
            <w:tcW w:w="480" w:type="pct"/>
            <w:tcBorders>
              <w:left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C.I</w:t>
            </w:r>
          </w:p>
        </w:tc>
        <w:tc>
          <w:tcPr>
            <w:tcW w:w="555" w:type="pct"/>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0.043</w:t>
            </w:r>
          </w:p>
        </w:tc>
      </w:tr>
      <w:tr w:rsidR="005D4A34" w:rsidRPr="00C16659" w:rsidTr="002D14E5">
        <w:trPr>
          <w:trHeight w:val="70"/>
          <w:jc w:val="center"/>
        </w:trPr>
        <w:tc>
          <w:tcPr>
            <w:tcW w:w="1237" w:type="pct"/>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MsD/S</w:t>
            </w:r>
          </w:p>
        </w:tc>
        <w:tc>
          <w:tcPr>
            <w:tcW w:w="387" w:type="pct"/>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1/3</w:t>
            </w:r>
          </w:p>
        </w:tc>
        <w:tc>
          <w:tcPr>
            <w:tcW w:w="555" w:type="pct"/>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1/2</w:t>
            </w:r>
          </w:p>
        </w:tc>
        <w:tc>
          <w:tcPr>
            <w:tcW w:w="555" w:type="pct"/>
            <w:shd w:val="clear" w:color="000000" w:fill="00B0F0"/>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1    </w:t>
            </w:r>
          </w:p>
        </w:tc>
        <w:tc>
          <w:tcPr>
            <w:tcW w:w="576" w:type="pct"/>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2    </w:t>
            </w:r>
          </w:p>
        </w:tc>
        <w:tc>
          <w:tcPr>
            <w:tcW w:w="656" w:type="pct"/>
            <w:tcBorders>
              <w:right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6    </w:t>
            </w:r>
          </w:p>
        </w:tc>
        <w:tc>
          <w:tcPr>
            <w:tcW w:w="480" w:type="pct"/>
            <w:tcBorders>
              <w:left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p>
        </w:tc>
        <w:tc>
          <w:tcPr>
            <w:tcW w:w="555" w:type="pct"/>
            <w:shd w:val="clear" w:color="auto" w:fill="auto"/>
            <w:noWrap/>
            <w:vAlign w:val="bottom"/>
            <w:hideMark/>
          </w:tcPr>
          <w:p w:rsidR="005D4A34" w:rsidRPr="00C16659" w:rsidRDefault="005D4A34" w:rsidP="00EC2A61">
            <w:pPr>
              <w:spacing w:before="0" w:after="0"/>
              <w:jc w:val="left"/>
              <w:rPr>
                <w:rFonts w:eastAsia="Times New Roman"/>
              </w:rPr>
            </w:pPr>
          </w:p>
        </w:tc>
      </w:tr>
      <w:tr w:rsidR="005D4A34" w:rsidRPr="00C16659" w:rsidTr="002D14E5">
        <w:trPr>
          <w:trHeight w:val="70"/>
          <w:jc w:val="center"/>
        </w:trPr>
        <w:tc>
          <w:tcPr>
            <w:tcW w:w="1237" w:type="pct"/>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lastRenderedPageBreak/>
              <w:t>UD/LR</w:t>
            </w:r>
          </w:p>
        </w:tc>
        <w:tc>
          <w:tcPr>
            <w:tcW w:w="387" w:type="pct"/>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1/7</w:t>
            </w:r>
          </w:p>
        </w:tc>
        <w:tc>
          <w:tcPr>
            <w:tcW w:w="555" w:type="pct"/>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1/6</w:t>
            </w:r>
          </w:p>
        </w:tc>
        <w:tc>
          <w:tcPr>
            <w:tcW w:w="555" w:type="pct"/>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1/2</w:t>
            </w:r>
          </w:p>
        </w:tc>
        <w:tc>
          <w:tcPr>
            <w:tcW w:w="576" w:type="pct"/>
            <w:shd w:val="clear" w:color="000000" w:fill="00B0F0"/>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1    </w:t>
            </w:r>
          </w:p>
        </w:tc>
        <w:tc>
          <w:tcPr>
            <w:tcW w:w="656" w:type="pct"/>
            <w:tcBorders>
              <w:right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2    </w:t>
            </w:r>
          </w:p>
        </w:tc>
        <w:tc>
          <w:tcPr>
            <w:tcW w:w="480" w:type="pct"/>
            <w:tcBorders>
              <w:left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R. I</w:t>
            </w:r>
          </w:p>
        </w:tc>
        <w:tc>
          <w:tcPr>
            <w:tcW w:w="555" w:type="pct"/>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1.12</w:t>
            </w:r>
          </w:p>
        </w:tc>
      </w:tr>
      <w:tr w:rsidR="005D4A34" w:rsidRPr="00C16659" w:rsidTr="002D14E5">
        <w:trPr>
          <w:trHeight w:val="70"/>
          <w:jc w:val="center"/>
        </w:trPr>
        <w:tc>
          <w:tcPr>
            <w:tcW w:w="1237" w:type="pct"/>
            <w:tcBorders>
              <w:bottom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MsR/HR</w:t>
            </w:r>
          </w:p>
        </w:tc>
        <w:tc>
          <w:tcPr>
            <w:tcW w:w="387" w:type="pct"/>
            <w:tcBorders>
              <w:bottom w:val="single" w:sz="4" w:space="0" w:color="auto"/>
            </w:tcBorders>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1/9</w:t>
            </w:r>
          </w:p>
        </w:tc>
        <w:tc>
          <w:tcPr>
            <w:tcW w:w="555" w:type="pct"/>
            <w:tcBorders>
              <w:bottom w:val="single" w:sz="4" w:space="0" w:color="auto"/>
            </w:tcBorders>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1/8</w:t>
            </w:r>
          </w:p>
        </w:tc>
        <w:tc>
          <w:tcPr>
            <w:tcW w:w="555" w:type="pct"/>
            <w:tcBorders>
              <w:bottom w:val="single" w:sz="4" w:space="0" w:color="auto"/>
            </w:tcBorders>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1/6</w:t>
            </w:r>
          </w:p>
        </w:tc>
        <w:tc>
          <w:tcPr>
            <w:tcW w:w="576" w:type="pct"/>
            <w:tcBorders>
              <w:bottom w:val="single" w:sz="4" w:space="0" w:color="auto"/>
            </w:tcBorders>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1/2</w:t>
            </w:r>
          </w:p>
        </w:tc>
        <w:tc>
          <w:tcPr>
            <w:tcW w:w="656" w:type="pct"/>
            <w:tcBorders>
              <w:bottom w:val="single" w:sz="4" w:space="0" w:color="auto"/>
              <w:right w:val="single" w:sz="4" w:space="0" w:color="auto"/>
            </w:tcBorders>
            <w:shd w:val="clear" w:color="000000" w:fill="00B0F0"/>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1    </w:t>
            </w:r>
          </w:p>
        </w:tc>
        <w:tc>
          <w:tcPr>
            <w:tcW w:w="480" w:type="pct"/>
            <w:tcBorders>
              <w:left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p>
        </w:tc>
        <w:tc>
          <w:tcPr>
            <w:tcW w:w="555" w:type="pct"/>
            <w:tcBorders>
              <w:bottom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p>
        </w:tc>
      </w:tr>
      <w:tr w:rsidR="005D4A34" w:rsidRPr="00C16659" w:rsidTr="002D14E5">
        <w:trPr>
          <w:trHeight w:val="60"/>
          <w:jc w:val="center"/>
        </w:trPr>
        <w:tc>
          <w:tcPr>
            <w:tcW w:w="1237" w:type="pct"/>
            <w:tcBorders>
              <w:top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Relative weight (%)</w:t>
            </w:r>
          </w:p>
        </w:tc>
        <w:tc>
          <w:tcPr>
            <w:tcW w:w="387" w:type="pct"/>
            <w:tcBorders>
              <w:top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45</w:t>
            </w:r>
          </w:p>
        </w:tc>
        <w:tc>
          <w:tcPr>
            <w:tcW w:w="555" w:type="pct"/>
            <w:tcBorders>
              <w:top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29</w:t>
            </w:r>
          </w:p>
        </w:tc>
        <w:tc>
          <w:tcPr>
            <w:tcW w:w="555" w:type="pct"/>
            <w:tcBorders>
              <w:top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16</w:t>
            </w:r>
          </w:p>
        </w:tc>
        <w:tc>
          <w:tcPr>
            <w:tcW w:w="576" w:type="pct"/>
            <w:tcBorders>
              <w:top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6</w:t>
            </w:r>
          </w:p>
        </w:tc>
        <w:tc>
          <w:tcPr>
            <w:tcW w:w="656" w:type="pct"/>
            <w:tcBorders>
              <w:top w:val="single" w:sz="4" w:space="0" w:color="auto"/>
              <w:bottom w:val="single" w:sz="4" w:space="0" w:color="auto"/>
              <w:right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4</w:t>
            </w:r>
          </w:p>
        </w:tc>
        <w:tc>
          <w:tcPr>
            <w:tcW w:w="480" w:type="pct"/>
            <w:tcBorders>
              <w:top w:val="single" w:sz="4" w:space="0" w:color="auto"/>
              <w:left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CR</w:t>
            </w:r>
          </w:p>
        </w:tc>
        <w:tc>
          <w:tcPr>
            <w:tcW w:w="555" w:type="pct"/>
            <w:tcBorders>
              <w:top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0.04</w:t>
            </w:r>
          </w:p>
        </w:tc>
      </w:tr>
    </w:tbl>
    <w:p w:rsidR="005D4A34" w:rsidRPr="00C16659" w:rsidRDefault="005D4A34" w:rsidP="00EC2A61">
      <w:r w:rsidRPr="00C16659">
        <w:rPr>
          <w:b/>
          <w:bCs/>
        </w:rPr>
        <w:t>Note</w:t>
      </w:r>
      <w:r w:rsidRPr="00C16659">
        <w:t>: P-Plain, V-Valley OS-Open slope, US-Upper slope, MsD-Mid-slope drainage, S-Stream, UD-Upper Drainage, LR-Local Ridge, MsR-Mid-slope ridge, HR-High Ridge</w:t>
      </w:r>
    </w:p>
    <w:p w:rsidR="005D4A34" w:rsidRPr="00C16659" w:rsidRDefault="005D4A34" w:rsidP="00EC2A61">
      <w:pPr>
        <w:rPr>
          <w:iCs/>
        </w:rPr>
      </w:pPr>
      <w:bookmarkStart w:id="271" w:name="_Toc65064355"/>
      <w:bookmarkStart w:id="272" w:name="_Toc68761661"/>
      <w:r w:rsidRPr="00C16659">
        <w:rPr>
          <w:iCs/>
        </w:rPr>
        <w:t xml:space="preserve">Appendix table </w:t>
      </w:r>
      <w:r w:rsidRPr="00C16659">
        <w:rPr>
          <w:iCs/>
        </w:rPr>
        <w:fldChar w:fldCharType="begin"/>
      </w:r>
      <w:r w:rsidRPr="00C16659">
        <w:rPr>
          <w:iCs/>
        </w:rPr>
        <w:instrText xml:space="preserve"> SEQ Appendix_table \* ARABIC </w:instrText>
      </w:r>
      <w:r w:rsidRPr="00C16659">
        <w:rPr>
          <w:iCs/>
        </w:rPr>
        <w:fldChar w:fldCharType="separate"/>
      </w:r>
      <w:r w:rsidR="00BD510E">
        <w:rPr>
          <w:iCs/>
          <w:noProof/>
        </w:rPr>
        <w:t>12</w:t>
      </w:r>
      <w:r w:rsidRPr="00C16659">
        <w:rPr>
          <w:iCs/>
        </w:rPr>
        <w:fldChar w:fldCharType="end"/>
      </w:r>
      <w:r w:rsidRPr="00C16659">
        <w:rPr>
          <w:iCs/>
        </w:rPr>
        <w:t>: AHP matrix, relative weight, and CR of slope thematic map</w:t>
      </w:r>
      <w:bookmarkEnd w:id="271"/>
      <w:bookmarkEnd w:id="272"/>
    </w:p>
    <w:tbl>
      <w:tblPr>
        <w:tblW w:w="5000" w:type="pct"/>
        <w:jc w:val="center"/>
        <w:tblBorders>
          <w:top w:val="single" w:sz="8" w:space="0" w:color="auto"/>
          <w:bottom w:val="single" w:sz="8" w:space="0" w:color="auto"/>
        </w:tblBorders>
        <w:tblLook w:val="04A0" w:firstRow="1" w:lastRow="0" w:firstColumn="1" w:lastColumn="0" w:noHBand="0" w:noVBand="1"/>
      </w:tblPr>
      <w:tblGrid>
        <w:gridCol w:w="2149"/>
        <w:gridCol w:w="819"/>
        <w:gridCol w:w="856"/>
        <w:gridCol w:w="1154"/>
        <w:gridCol w:w="790"/>
        <w:gridCol w:w="1298"/>
        <w:gridCol w:w="905"/>
        <w:gridCol w:w="1029"/>
      </w:tblGrid>
      <w:tr w:rsidR="005D4A34" w:rsidRPr="00C16659" w:rsidTr="002D14E5">
        <w:trPr>
          <w:trHeight w:val="50"/>
          <w:jc w:val="center"/>
        </w:trPr>
        <w:tc>
          <w:tcPr>
            <w:tcW w:w="1125" w:type="pct"/>
            <w:tcBorders>
              <w:top w:val="single" w:sz="8" w:space="0" w:color="auto"/>
              <w:bottom w:val="single" w:sz="8" w:space="0" w:color="auto"/>
            </w:tcBorders>
            <w:shd w:val="clear" w:color="auto" w:fill="auto"/>
            <w:noWrap/>
            <w:vAlign w:val="bottom"/>
            <w:hideMark/>
          </w:tcPr>
          <w:p w:rsidR="005D4A34" w:rsidRPr="00C16659" w:rsidRDefault="005D4A34" w:rsidP="00EC2A61">
            <w:pPr>
              <w:spacing w:before="0" w:after="0"/>
              <w:jc w:val="center"/>
              <w:rPr>
                <w:rFonts w:eastAsia="Times New Roman"/>
              </w:rPr>
            </w:pPr>
            <w:r w:rsidRPr="00C16659">
              <w:rPr>
                <w:rFonts w:eastAsia="Times New Roman"/>
              </w:rPr>
              <w:t>Slope</w:t>
            </w:r>
          </w:p>
        </w:tc>
        <w:tc>
          <w:tcPr>
            <w:tcW w:w="471" w:type="pct"/>
            <w:tcBorders>
              <w:top w:val="single" w:sz="8" w:space="0" w:color="auto"/>
              <w:bottom w:val="single" w:sz="8"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 xml:space="preserve">Flat </w:t>
            </w:r>
          </w:p>
        </w:tc>
        <w:tc>
          <w:tcPr>
            <w:tcW w:w="448" w:type="pct"/>
            <w:tcBorders>
              <w:top w:val="single" w:sz="8" w:space="0" w:color="auto"/>
              <w:bottom w:val="single" w:sz="8"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 xml:space="preserve">Gentle </w:t>
            </w:r>
          </w:p>
        </w:tc>
        <w:tc>
          <w:tcPr>
            <w:tcW w:w="657" w:type="pct"/>
            <w:tcBorders>
              <w:top w:val="single" w:sz="8" w:space="0" w:color="auto"/>
              <w:bottom w:val="single" w:sz="8"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Moderate</w:t>
            </w:r>
          </w:p>
        </w:tc>
        <w:tc>
          <w:tcPr>
            <w:tcW w:w="455" w:type="pct"/>
            <w:tcBorders>
              <w:top w:val="single" w:sz="8" w:space="0" w:color="auto"/>
              <w:bottom w:val="single" w:sz="8"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Steep</w:t>
            </w:r>
          </w:p>
        </w:tc>
        <w:tc>
          <w:tcPr>
            <w:tcW w:w="737" w:type="pct"/>
            <w:tcBorders>
              <w:top w:val="single" w:sz="8" w:space="0" w:color="auto"/>
              <w:bottom w:val="single" w:sz="8"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Very Steep</w:t>
            </w:r>
          </w:p>
        </w:tc>
        <w:tc>
          <w:tcPr>
            <w:tcW w:w="519" w:type="pct"/>
            <w:tcBorders>
              <w:top w:val="single" w:sz="8" w:space="0" w:color="auto"/>
              <w:bottom w:val="single" w:sz="8"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ascii="Symbol" w:eastAsia="Times New Roman" w:hAnsi="Symbol"/>
              </w:rPr>
              <w:t></w:t>
            </w:r>
            <w:r w:rsidRPr="00C16659">
              <w:rPr>
                <w:rFonts w:eastAsia="Times New Roman"/>
              </w:rPr>
              <w:t>max</w:t>
            </w:r>
          </w:p>
        </w:tc>
        <w:tc>
          <w:tcPr>
            <w:tcW w:w="589" w:type="pct"/>
            <w:tcBorders>
              <w:top w:val="single" w:sz="8" w:space="0" w:color="auto"/>
              <w:bottom w:val="single" w:sz="8"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5.196</w:t>
            </w:r>
          </w:p>
        </w:tc>
      </w:tr>
      <w:tr w:rsidR="005D4A34" w:rsidRPr="00C16659" w:rsidTr="002D14E5">
        <w:trPr>
          <w:trHeight w:val="50"/>
          <w:jc w:val="center"/>
        </w:trPr>
        <w:tc>
          <w:tcPr>
            <w:tcW w:w="1125" w:type="pct"/>
            <w:tcBorders>
              <w:top w:val="single" w:sz="8"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 xml:space="preserve">Flat </w:t>
            </w:r>
          </w:p>
        </w:tc>
        <w:tc>
          <w:tcPr>
            <w:tcW w:w="471" w:type="pct"/>
            <w:tcBorders>
              <w:top w:val="single" w:sz="8" w:space="0" w:color="auto"/>
            </w:tcBorders>
            <w:shd w:val="clear" w:color="000000" w:fill="00B0F0"/>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1    </w:t>
            </w:r>
          </w:p>
        </w:tc>
        <w:tc>
          <w:tcPr>
            <w:tcW w:w="448" w:type="pct"/>
            <w:tcBorders>
              <w:top w:val="single" w:sz="8"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2    </w:t>
            </w:r>
          </w:p>
        </w:tc>
        <w:tc>
          <w:tcPr>
            <w:tcW w:w="657" w:type="pct"/>
            <w:tcBorders>
              <w:top w:val="single" w:sz="8"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5    </w:t>
            </w:r>
          </w:p>
        </w:tc>
        <w:tc>
          <w:tcPr>
            <w:tcW w:w="455" w:type="pct"/>
            <w:tcBorders>
              <w:top w:val="single" w:sz="8"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8    </w:t>
            </w:r>
          </w:p>
        </w:tc>
        <w:tc>
          <w:tcPr>
            <w:tcW w:w="737" w:type="pct"/>
            <w:tcBorders>
              <w:top w:val="single" w:sz="8"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9    </w:t>
            </w:r>
          </w:p>
        </w:tc>
        <w:tc>
          <w:tcPr>
            <w:tcW w:w="519" w:type="pct"/>
            <w:tcBorders>
              <w:top w:val="single" w:sz="8" w:space="0" w:color="auto"/>
            </w:tcBorders>
            <w:shd w:val="clear" w:color="auto" w:fill="auto"/>
            <w:noWrap/>
            <w:vAlign w:val="bottom"/>
            <w:hideMark/>
          </w:tcPr>
          <w:p w:rsidR="005D4A34" w:rsidRPr="00C16659" w:rsidRDefault="005D4A34" w:rsidP="00EC2A61">
            <w:pPr>
              <w:spacing w:before="0" w:after="0"/>
              <w:jc w:val="right"/>
              <w:rPr>
                <w:rFonts w:eastAsia="Times New Roman"/>
              </w:rPr>
            </w:pPr>
          </w:p>
        </w:tc>
        <w:tc>
          <w:tcPr>
            <w:tcW w:w="589" w:type="pct"/>
            <w:tcBorders>
              <w:top w:val="single" w:sz="8" w:space="0" w:color="auto"/>
            </w:tcBorders>
            <w:shd w:val="clear" w:color="auto" w:fill="auto"/>
            <w:noWrap/>
            <w:vAlign w:val="bottom"/>
            <w:hideMark/>
          </w:tcPr>
          <w:p w:rsidR="005D4A34" w:rsidRPr="00C16659" w:rsidRDefault="005D4A34" w:rsidP="00EC2A61">
            <w:pPr>
              <w:spacing w:before="0" w:after="0"/>
              <w:jc w:val="left"/>
              <w:rPr>
                <w:rFonts w:eastAsia="Times New Roman"/>
              </w:rPr>
            </w:pPr>
          </w:p>
        </w:tc>
      </w:tr>
      <w:tr w:rsidR="005D4A34" w:rsidRPr="00C16659" w:rsidTr="002D14E5">
        <w:trPr>
          <w:trHeight w:val="70"/>
          <w:jc w:val="center"/>
        </w:trPr>
        <w:tc>
          <w:tcPr>
            <w:tcW w:w="1125" w:type="pct"/>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 xml:space="preserve">Gentle </w:t>
            </w:r>
          </w:p>
        </w:tc>
        <w:tc>
          <w:tcPr>
            <w:tcW w:w="471" w:type="pct"/>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1/2</w:t>
            </w:r>
          </w:p>
        </w:tc>
        <w:tc>
          <w:tcPr>
            <w:tcW w:w="448" w:type="pct"/>
            <w:shd w:val="clear" w:color="000000" w:fill="00B0F0"/>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1    </w:t>
            </w:r>
          </w:p>
        </w:tc>
        <w:tc>
          <w:tcPr>
            <w:tcW w:w="657" w:type="pct"/>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3    </w:t>
            </w:r>
          </w:p>
        </w:tc>
        <w:tc>
          <w:tcPr>
            <w:tcW w:w="455" w:type="pct"/>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7    </w:t>
            </w:r>
          </w:p>
        </w:tc>
        <w:tc>
          <w:tcPr>
            <w:tcW w:w="737" w:type="pct"/>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9    </w:t>
            </w:r>
          </w:p>
        </w:tc>
        <w:tc>
          <w:tcPr>
            <w:tcW w:w="519" w:type="pct"/>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C.I</w:t>
            </w:r>
          </w:p>
        </w:tc>
        <w:tc>
          <w:tcPr>
            <w:tcW w:w="589" w:type="pct"/>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0.0489</w:t>
            </w:r>
          </w:p>
        </w:tc>
      </w:tr>
      <w:tr w:rsidR="005D4A34" w:rsidRPr="00C16659" w:rsidTr="002D14E5">
        <w:trPr>
          <w:trHeight w:val="70"/>
          <w:jc w:val="center"/>
        </w:trPr>
        <w:tc>
          <w:tcPr>
            <w:tcW w:w="1125" w:type="pct"/>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Moderate</w:t>
            </w:r>
          </w:p>
        </w:tc>
        <w:tc>
          <w:tcPr>
            <w:tcW w:w="471" w:type="pct"/>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1/5</w:t>
            </w:r>
          </w:p>
        </w:tc>
        <w:tc>
          <w:tcPr>
            <w:tcW w:w="448" w:type="pct"/>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1/3</w:t>
            </w:r>
          </w:p>
        </w:tc>
        <w:tc>
          <w:tcPr>
            <w:tcW w:w="657" w:type="pct"/>
            <w:shd w:val="clear" w:color="000000" w:fill="00B0F0"/>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1    </w:t>
            </w:r>
          </w:p>
        </w:tc>
        <w:tc>
          <w:tcPr>
            <w:tcW w:w="455" w:type="pct"/>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2    </w:t>
            </w:r>
          </w:p>
        </w:tc>
        <w:tc>
          <w:tcPr>
            <w:tcW w:w="737" w:type="pct"/>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4    </w:t>
            </w:r>
          </w:p>
        </w:tc>
        <w:tc>
          <w:tcPr>
            <w:tcW w:w="519" w:type="pct"/>
            <w:shd w:val="clear" w:color="auto" w:fill="auto"/>
            <w:noWrap/>
            <w:vAlign w:val="bottom"/>
            <w:hideMark/>
          </w:tcPr>
          <w:p w:rsidR="005D4A34" w:rsidRPr="00C16659" w:rsidRDefault="005D4A34" w:rsidP="00EC2A61">
            <w:pPr>
              <w:spacing w:before="0" w:after="0"/>
              <w:jc w:val="right"/>
              <w:rPr>
                <w:rFonts w:eastAsia="Times New Roman"/>
              </w:rPr>
            </w:pPr>
          </w:p>
        </w:tc>
        <w:tc>
          <w:tcPr>
            <w:tcW w:w="589" w:type="pct"/>
            <w:shd w:val="clear" w:color="auto" w:fill="auto"/>
            <w:noWrap/>
            <w:vAlign w:val="bottom"/>
            <w:hideMark/>
          </w:tcPr>
          <w:p w:rsidR="005D4A34" w:rsidRPr="00C16659" w:rsidRDefault="005D4A34" w:rsidP="00EC2A61">
            <w:pPr>
              <w:spacing w:before="0" w:after="0"/>
              <w:jc w:val="left"/>
              <w:rPr>
                <w:rFonts w:eastAsia="Times New Roman"/>
              </w:rPr>
            </w:pPr>
          </w:p>
        </w:tc>
      </w:tr>
      <w:tr w:rsidR="005D4A34" w:rsidRPr="00C16659" w:rsidTr="002D14E5">
        <w:trPr>
          <w:trHeight w:val="70"/>
          <w:jc w:val="center"/>
        </w:trPr>
        <w:tc>
          <w:tcPr>
            <w:tcW w:w="1125" w:type="pct"/>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Steep</w:t>
            </w:r>
          </w:p>
        </w:tc>
        <w:tc>
          <w:tcPr>
            <w:tcW w:w="471" w:type="pct"/>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1/8</w:t>
            </w:r>
          </w:p>
        </w:tc>
        <w:tc>
          <w:tcPr>
            <w:tcW w:w="448" w:type="pct"/>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1/7</w:t>
            </w:r>
          </w:p>
        </w:tc>
        <w:tc>
          <w:tcPr>
            <w:tcW w:w="657" w:type="pct"/>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1/2</w:t>
            </w:r>
          </w:p>
        </w:tc>
        <w:tc>
          <w:tcPr>
            <w:tcW w:w="455" w:type="pct"/>
            <w:shd w:val="clear" w:color="000000" w:fill="00B0F0"/>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1    </w:t>
            </w:r>
          </w:p>
        </w:tc>
        <w:tc>
          <w:tcPr>
            <w:tcW w:w="737" w:type="pct"/>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2    </w:t>
            </w:r>
          </w:p>
        </w:tc>
        <w:tc>
          <w:tcPr>
            <w:tcW w:w="519" w:type="pct"/>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R. I</w:t>
            </w:r>
          </w:p>
        </w:tc>
        <w:tc>
          <w:tcPr>
            <w:tcW w:w="589" w:type="pct"/>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1.12</w:t>
            </w:r>
          </w:p>
        </w:tc>
      </w:tr>
      <w:tr w:rsidR="005D4A34" w:rsidRPr="00C16659" w:rsidTr="002D14E5">
        <w:trPr>
          <w:trHeight w:val="70"/>
          <w:jc w:val="center"/>
        </w:trPr>
        <w:tc>
          <w:tcPr>
            <w:tcW w:w="1125" w:type="pct"/>
            <w:tcBorders>
              <w:bottom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Very Steep</w:t>
            </w:r>
          </w:p>
        </w:tc>
        <w:tc>
          <w:tcPr>
            <w:tcW w:w="471" w:type="pct"/>
            <w:tcBorders>
              <w:bottom w:val="single" w:sz="4" w:space="0" w:color="auto"/>
            </w:tcBorders>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1/9</w:t>
            </w:r>
          </w:p>
        </w:tc>
        <w:tc>
          <w:tcPr>
            <w:tcW w:w="448" w:type="pct"/>
            <w:tcBorders>
              <w:bottom w:val="single" w:sz="4" w:space="0" w:color="auto"/>
            </w:tcBorders>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1/9</w:t>
            </w:r>
          </w:p>
        </w:tc>
        <w:tc>
          <w:tcPr>
            <w:tcW w:w="657" w:type="pct"/>
            <w:tcBorders>
              <w:bottom w:val="single" w:sz="4" w:space="0" w:color="auto"/>
            </w:tcBorders>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1/4</w:t>
            </w:r>
          </w:p>
        </w:tc>
        <w:tc>
          <w:tcPr>
            <w:tcW w:w="455" w:type="pct"/>
            <w:tcBorders>
              <w:bottom w:val="single" w:sz="4" w:space="0" w:color="auto"/>
            </w:tcBorders>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1/2</w:t>
            </w:r>
          </w:p>
        </w:tc>
        <w:tc>
          <w:tcPr>
            <w:tcW w:w="737" w:type="pct"/>
            <w:tcBorders>
              <w:bottom w:val="single" w:sz="4" w:space="0" w:color="auto"/>
            </w:tcBorders>
            <w:shd w:val="clear" w:color="000000" w:fill="00B0F0"/>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1    </w:t>
            </w:r>
          </w:p>
        </w:tc>
        <w:tc>
          <w:tcPr>
            <w:tcW w:w="519" w:type="pct"/>
            <w:tcBorders>
              <w:bottom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p>
        </w:tc>
        <w:tc>
          <w:tcPr>
            <w:tcW w:w="589" w:type="pct"/>
            <w:tcBorders>
              <w:bottom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p>
        </w:tc>
      </w:tr>
      <w:tr w:rsidR="005D4A34" w:rsidRPr="00C16659" w:rsidTr="002D14E5">
        <w:trPr>
          <w:trHeight w:val="343"/>
          <w:jc w:val="center"/>
        </w:trPr>
        <w:tc>
          <w:tcPr>
            <w:tcW w:w="1125" w:type="pct"/>
            <w:tcBorders>
              <w:top w:val="single" w:sz="4" w:space="0" w:color="auto"/>
              <w:bottom w:val="single" w:sz="8"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Relative weight (%)</w:t>
            </w:r>
          </w:p>
        </w:tc>
        <w:tc>
          <w:tcPr>
            <w:tcW w:w="471" w:type="pct"/>
            <w:tcBorders>
              <w:top w:val="single" w:sz="4" w:space="0" w:color="auto"/>
              <w:bottom w:val="single" w:sz="8"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47</w:t>
            </w:r>
          </w:p>
        </w:tc>
        <w:tc>
          <w:tcPr>
            <w:tcW w:w="448" w:type="pct"/>
            <w:tcBorders>
              <w:top w:val="single" w:sz="4" w:space="0" w:color="auto"/>
              <w:bottom w:val="single" w:sz="8"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32</w:t>
            </w:r>
          </w:p>
        </w:tc>
        <w:tc>
          <w:tcPr>
            <w:tcW w:w="657" w:type="pct"/>
            <w:tcBorders>
              <w:top w:val="single" w:sz="4" w:space="0" w:color="auto"/>
              <w:bottom w:val="single" w:sz="8"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11</w:t>
            </w:r>
          </w:p>
        </w:tc>
        <w:tc>
          <w:tcPr>
            <w:tcW w:w="455" w:type="pct"/>
            <w:tcBorders>
              <w:top w:val="single" w:sz="4" w:space="0" w:color="auto"/>
              <w:bottom w:val="single" w:sz="8"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6</w:t>
            </w:r>
          </w:p>
        </w:tc>
        <w:tc>
          <w:tcPr>
            <w:tcW w:w="737" w:type="pct"/>
            <w:tcBorders>
              <w:top w:val="single" w:sz="4" w:space="0" w:color="auto"/>
              <w:bottom w:val="single" w:sz="8"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4</w:t>
            </w:r>
          </w:p>
        </w:tc>
        <w:tc>
          <w:tcPr>
            <w:tcW w:w="519" w:type="pct"/>
            <w:tcBorders>
              <w:top w:val="single" w:sz="4" w:space="0" w:color="auto"/>
              <w:bottom w:val="single" w:sz="8"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CR</w:t>
            </w:r>
          </w:p>
        </w:tc>
        <w:tc>
          <w:tcPr>
            <w:tcW w:w="589" w:type="pct"/>
            <w:tcBorders>
              <w:top w:val="single" w:sz="4" w:space="0" w:color="auto"/>
              <w:bottom w:val="single" w:sz="8"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0.04</w:t>
            </w:r>
          </w:p>
        </w:tc>
      </w:tr>
    </w:tbl>
    <w:p w:rsidR="005D4A34" w:rsidRPr="00C16659" w:rsidRDefault="005D4A34" w:rsidP="00EC2A61">
      <w:pPr>
        <w:rPr>
          <w:iCs/>
        </w:rPr>
      </w:pPr>
      <w:bookmarkStart w:id="273" w:name="_Toc65064356"/>
      <w:bookmarkStart w:id="274" w:name="_Hlk52425567"/>
      <w:bookmarkStart w:id="275" w:name="_Toc68761662"/>
      <w:r w:rsidRPr="00C16659">
        <w:rPr>
          <w:iCs/>
        </w:rPr>
        <w:t xml:space="preserve">Appendix table </w:t>
      </w:r>
      <w:r w:rsidRPr="00C16659">
        <w:rPr>
          <w:iCs/>
        </w:rPr>
        <w:fldChar w:fldCharType="begin"/>
      </w:r>
      <w:r w:rsidRPr="00C16659">
        <w:rPr>
          <w:iCs/>
        </w:rPr>
        <w:instrText xml:space="preserve"> SEQ Appendix_table \* ARABIC </w:instrText>
      </w:r>
      <w:r w:rsidRPr="00C16659">
        <w:rPr>
          <w:iCs/>
        </w:rPr>
        <w:fldChar w:fldCharType="separate"/>
      </w:r>
      <w:r w:rsidR="00BD510E">
        <w:rPr>
          <w:iCs/>
          <w:noProof/>
        </w:rPr>
        <w:t>13</w:t>
      </w:r>
      <w:r w:rsidRPr="00C16659">
        <w:rPr>
          <w:iCs/>
        </w:rPr>
        <w:fldChar w:fldCharType="end"/>
      </w:r>
      <w:r w:rsidRPr="00C16659">
        <w:rPr>
          <w:iCs/>
        </w:rPr>
        <w:t>: AHP matrix, relative weight, and CR of lineament density</w:t>
      </w:r>
      <w:bookmarkEnd w:id="273"/>
      <w:bookmarkEnd w:id="275"/>
      <w:r w:rsidRPr="00C16659">
        <w:rPr>
          <w:iCs/>
        </w:rPr>
        <w:t xml:space="preserve"> </w:t>
      </w:r>
    </w:p>
    <w:tbl>
      <w:tblPr>
        <w:tblW w:w="5000" w:type="pct"/>
        <w:jc w:val="center"/>
        <w:tblBorders>
          <w:top w:val="single" w:sz="4" w:space="0" w:color="auto"/>
          <w:bottom w:val="single" w:sz="4" w:space="0" w:color="auto"/>
        </w:tblBorders>
        <w:tblLook w:val="04A0" w:firstRow="1" w:lastRow="0" w:firstColumn="1" w:lastColumn="0" w:noHBand="0" w:noVBand="1"/>
      </w:tblPr>
      <w:tblGrid>
        <w:gridCol w:w="2202"/>
        <w:gridCol w:w="1218"/>
        <w:gridCol w:w="743"/>
        <w:gridCol w:w="1165"/>
        <w:gridCol w:w="671"/>
        <w:gridCol w:w="1143"/>
        <w:gridCol w:w="882"/>
        <w:gridCol w:w="976"/>
      </w:tblGrid>
      <w:tr w:rsidR="005D4A34" w:rsidRPr="00C16659" w:rsidTr="002D14E5">
        <w:trPr>
          <w:trHeight w:val="440"/>
          <w:jc w:val="center"/>
        </w:trPr>
        <w:tc>
          <w:tcPr>
            <w:tcW w:w="1223" w:type="pct"/>
            <w:tcBorders>
              <w:top w:val="single" w:sz="4" w:space="0" w:color="auto"/>
              <w:bottom w:val="single" w:sz="4" w:space="0" w:color="auto"/>
            </w:tcBorders>
            <w:shd w:val="clear" w:color="auto" w:fill="auto"/>
            <w:noWrap/>
            <w:vAlign w:val="bottom"/>
            <w:hideMark/>
          </w:tcPr>
          <w:bookmarkEnd w:id="274"/>
          <w:p w:rsidR="005D4A34" w:rsidRPr="00C16659" w:rsidRDefault="005D4A34" w:rsidP="00EC2A61">
            <w:pPr>
              <w:spacing w:before="0" w:after="0"/>
              <w:jc w:val="center"/>
              <w:rPr>
                <w:rFonts w:eastAsia="Times New Roman"/>
              </w:rPr>
            </w:pPr>
            <w:r w:rsidRPr="00C16659">
              <w:t xml:space="preserve">Contribution </w:t>
            </w:r>
          </w:p>
        </w:tc>
        <w:tc>
          <w:tcPr>
            <w:tcW w:w="676" w:type="pct"/>
            <w:tcBorders>
              <w:top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Very high</w:t>
            </w:r>
          </w:p>
        </w:tc>
        <w:tc>
          <w:tcPr>
            <w:tcW w:w="413" w:type="pct"/>
            <w:tcBorders>
              <w:top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High</w:t>
            </w:r>
          </w:p>
        </w:tc>
        <w:tc>
          <w:tcPr>
            <w:tcW w:w="647" w:type="pct"/>
            <w:tcBorders>
              <w:top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Moderate</w:t>
            </w:r>
          </w:p>
        </w:tc>
        <w:tc>
          <w:tcPr>
            <w:tcW w:w="373" w:type="pct"/>
            <w:tcBorders>
              <w:top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Low</w:t>
            </w:r>
          </w:p>
        </w:tc>
        <w:tc>
          <w:tcPr>
            <w:tcW w:w="635" w:type="pct"/>
            <w:tcBorders>
              <w:top w:val="single" w:sz="4" w:space="0" w:color="auto"/>
              <w:bottom w:val="single" w:sz="4" w:space="0" w:color="auto"/>
              <w:right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Very low</w:t>
            </w:r>
          </w:p>
        </w:tc>
        <w:tc>
          <w:tcPr>
            <w:tcW w:w="490" w:type="pct"/>
            <w:tcBorders>
              <w:top w:val="single" w:sz="4" w:space="0" w:color="auto"/>
              <w:left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ascii="Symbol" w:eastAsia="Times New Roman" w:hAnsi="Symbol"/>
              </w:rPr>
              <w:t></w:t>
            </w:r>
            <w:r w:rsidRPr="00C16659">
              <w:rPr>
                <w:rFonts w:eastAsia="Times New Roman"/>
              </w:rPr>
              <w:t>max</w:t>
            </w:r>
          </w:p>
        </w:tc>
        <w:tc>
          <w:tcPr>
            <w:tcW w:w="542" w:type="pct"/>
            <w:tcBorders>
              <w:top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5.10</w:t>
            </w:r>
          </w:p>
        </w:tc>
      </w:tr>
      <w:tr w:rsidR="005D4A34" w:rsidRPr="00C16659" w:rsidTr="002D14E5">
        <w:trPr>
          <w:trHeight w:val="60"/>
          <w:jc w:val="center"/>
        </w:trPr>
        <w:tc>
          <w:tcPr>
            <w:tcW w:w="1223" w:type="pct"/>
            <w:tcBorders>
              <w:top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Very high</w:t>
            </w:r>
          </w:p>
        </w:tc>
        <w:tc>
          <w:tcPr>
            <w:tcW w:w="676" w:type="pct"/>
            <w:tcBorders>
              <w:top w:val="single" w:sz="4" w:space="0" w:color="auto"/>
            </w:tcBorders>
            <w:shd w:val="clear" w:color="000000" w:fill="00B0F0"/>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1    </w:t>
            </w:r>
          </w:p>
        </w:tc>
        <w:tc>
          <w:tcPr>
            <w:tcW w:w="413" w:type="pct"/>
            <w:tcBorders>
              <w:top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2    </w:t>
            </w:r>
          </w:p>
        </w:tc>
        <w:tc>
          <w:tcPr>
            <w:tcW w:w="647" w:type="pct"/>
            <w:tcBorders>
              <w:top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3    </w:t>
            </w:r>
          </w:p>
        </w:tc>
        <w:tc>
          <w:tcPr>
            <w:tcW w:w="373" w:type="pct"/>
            <w:tcBorders>
              <w:top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5    </w:t>
            </w:r>
          </w:p>
        </w:tc>
        <w:tc>
          <w:tcPr>
            <w:tcW w:w="635" w:type="pct"/>
            <w:tcBorders>
              <w:top w:val="single" w:sz="4" w:space="0" w:color="auto"/>
              <w:right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8    </w:t>
            </w:r>
          </w:p>
        </w:tc>
        <w:tc>
          <w:tcPr>
            <w:tcW w:w="490" w:type="pct"/>
            <w:tcBorders>
              <w:top w:val="single" w:sz="4" w:space="0" w:color="auto"/>
              <w:left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p>
        </w:tc>
        <w:tc>
          <w:tcPr>
            <w:tcW w:w="542" w:type="pct"/>
            <w:tcBorders>
              <w:top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p>
        </w:tc>
      </w:tr>
      <w:tr w:rsidR="005D4A34" w:rsidRPr="00C16659" w:rsidTr="002D14E5">
        <w:trPr>
          <w:trHeight w:val="70"/>
          <w:jc w:val="center"/>
        </w:trPr>
        <w:tc>
          <w:tcPr>
            <w:tcW w:w="1223" w:type="pct"/>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High</w:t>
            </w:r>
          </w:p>
        </w:tc>
        <w:tc>
          <w:tcPr>
            <w:tcW w:w="676" w:type="pct"/>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1/2</w:t>
            </w:r>
          </w:p>
        </w:tc>
        <w:tc>
          <w:tcPr>
            <w:tcW w:w="413" w:type="pct"/>
            <w:shd w:val="clear" w:color="000000" w:fill="00B0F0"/>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1    </w:t>
            </w:r>
          </w:p>
        </w:tc>
        <w:tc>
          <w:tcPr>
            <w:tcW w:w="647" w:type="pct"/>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2    </w:t>
            </w:r>
          </w:p>
        </w:tc>
        <w:tc>
          <w:tcPr>
            <w:tcW w:w="373" w:type="pct"/>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4    </w:t>
            </w:r>
          </w:p>
        </w:tc>
        <w:tc>
          <w:tcPr>
            <w:tcW w:w="635" w:type="pct"/>
            <w:tcBorders>
              <w:right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7    </w:t>
            </w:r>
          </w:p>
        </w:tc>
        <w:tc>
          <w:tcPr>
            <w:tcW w:w="490" w:type="pct"/>
            <w:tcBorders>
              <w:left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C.I</w:t>
            </w:r>
          </w:p>
        </w:tc>
        <w:tc>
          <w:tcPr>
            <w:tcW w:w="542" w:type="pct"/>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0.02</w:t>
            </w:r>
          </w:p>
        </w:tc>
      </w:tr>
      <w:tr w:rsidR="005D4A34" w:rsidRPr="00C16659" w:rsidTr="002D14E5">
        <w:trPr>
          <w:trHeight w:val="70"/>
          <w:jc w:val="center"/>
        </w:trPr>
        <w:tc>
          <w:tcPr>
            <w:tcW w:w="1223" w:type="pct"/>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Moderate</w:t>
            </w:r>
          </w:p>
        </w:tc>
        <w:tc>
          <w:tcPr>
            <w:tcW w:w="676" w:type="pct"/>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1/3</w:t>
            </w:r>
          </w:p>
        </w:tc>
        <w:tc>
          <w:tcPr>
            <w:tcW w:w="413" w:type="pct"/>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1/2</w:t>
            </w:r>
          </w:p>
        </w:tc>
        <w:tc>
          <w:tcPr>
            <w:tcW w:w="647" w:type="pct"/>
            <w:shd w:val="clear" w:color="000000" w:fill="00B0F0"/>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1    </w:t>
            </w:r>
          </w:p>
        </w:tc>
        <w:tc>
          <w:tcPr>
            <w:tcW w:w="373" w:type="pct"/>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3    </w:t>
            </w:r>
          </w:p>
        </w:tc>
        <w:tc>
          <w:tcPr>
            <w:tcW w:w="635" w:type="pct"/>
            <w:tcBorders>
              <w:right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5    </w:t>
            </w:r>
          </w:p>
        </w:tc>
        <w:tc>
          <w:tcPr>
            <w:tcW w:w="490" w:type="pct"/>
            <w:tcBorders>
              <w:left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p>
        </w:tc>
        <w:tc>
          <w:tcPr>
            <w:tcW w:w="542" w:type="pct"/>
            <w:shd w:val="clear" w:color="auto" w:fill="auto"/>
            <w:noWrap/>
            <w:vAlign w:val="bottom"/>
            <w:hideMark/>
          </w:tcPr>
          <w:p w:rsidR="005D4A34" w:rsidRPr="00C16659" w:rsidRDefault="005D4A34" w:rsidP="00EC2A61">
            <w:pPr>
              <w:spacing w:before="0" w:after="0"/>
              <w:jc w:val="left"/>
              <w:rPr>
                <w:rFonts w:eastAsia="Times New Roman"/>
              </w:rPr>
            </w:pPr>
          </w:p>
        </w:tc>
      </w:tr>
      <w:tr w:rsidR="005D4A34" w:rsidRPr="00C16659" w:rsidTr="002D14E5">
        <w:trPr>
          <w:trHeight w:val="70"/>
          <w:jc w:val="center"/>
        </w:trPr>
        <w:tc>
          <w:tcPr>
            <w:tcW w:w="1223" w:type="pct"/>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Low</w:t>
            </w:r>
          </w:p>
        </w:tc>
        <w:tc>
          <w:tcPr>
            <w:tcW w:w="676" w:type="pct"/>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1/5</w:t>
            </w:r>
          </w:p>
        </w:tc>
        <w:tc>
          <w:tcPr>
            <w:tcW w:w="413" w:type="pct"/>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1/4</w:t>
            </w:r>
          </w:p>
        </w:tc>
        <w:tc>
          <w:tcPr>
            <w:tcW w:w="647" w:type="pct"/>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1/3</w:t>
            </w:r>
          </w:p>
        </w:tc>
        <w:tc>
          <w:tcPr>
            <w:tcW w:w="373" w:type="pct"/>
            <w:shd w:val="clear" w:color="000000" w:fill="00B0F0"/>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1    </w:t>
            </w:r>
          </w:p>
        </w:tc>
        <w:tc>
          <w:tcPr>
            <w:tcW w:w="635" w:type="pct"/>
            <w:tcBorders>
              <w:right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3    </w:t>
            </w:r>
          </w:p>
        </w:tc>
        <w:tc>
          <w:tcPr>
            <w:tcW w:w="490" w:type="pct"/>
            <w:tcBorders>
              <w:left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R. I</w:t>
            </w:r>
          </w:p>
        </w:tc>
        <w:tc>
          <w:tcPr>
            <w:tcW w:w="542" w:type="pct"/>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1.120</w:t>
            </w:r>
          </w:p>
        </w:tc>
      </w:tr>
      <w:tr w:rsidR="005D4A34" w:rsidRPr="00C16659" w:rsidTr="002D14E5">
        <w:trPr>
          <w:trHeight w:val="70"/>
          <w:jc w:val="center"/>
        </w:trPr>
        <w:tc>
          <w:tcPr>
            <w:tcW w:w="1223" w:type="pct"/>
            <w:tcBorders>
              <w:bottom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Very low</w:t>
            </w:r>
          </w:p>
        </w:tc>
        <w:tc>
          <w:tcPr>
            <w:tcW w:w="676" w:type="pct"/>
            <w:tcBorders>
              <w:bottom w:val="single" w:sz="4" w:space="0" w:color="auto"/>
            </w:tcBorders>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1/8</w:t>
            </w:r>
          </w:p>
        </w:tc>
        <w:tc>
          <w:tcPr>
            <w:tcW w:w="413" w:type="pct"/>
            <w:tcBorders>
              <w:bottom w:val="single" w:sz="4" w:space="0" w:color="auto"/>
            </w:tcBorders>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1/7</w:t>
            </w:r>
          </w:p>
        </w:tc>
        <w:tc>
          <w:tcPr>
            <w:tcW w:w="647" w:type="pct"/>
            <w:tcBorders>
              <w:bottom w:val="single" w:sz="4" w:space="0" w:color="auto"/>
            </w:tcBorders>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1/5</w:t>
            </w:r>
          </w:p>
        </w:tc>
        <w:tc>
          <w:tcPr>
            <w:tcW w:w="373" w:type="pct"/>
            <w:tcBorders>
              <w:bottom w:val="single" w:sz="4" w:space="0" w:color="auto"/>
            </w:tcBorders>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1/3</w:t>
            </w:r>
          </w:p>
        </w:tc>
        <w:tc>
          <w:tcPr>
            <w:tcW w:w="635" w:type="pct"/>
            <w:tcBorders>
              <w:bottom w:val="single" w:sz="4" w:space="0" w:color="auto"/>
              <w:right w:val="single" w:sz="4" w:space="0" w:color="auto"/>
            </w:tcBorders>
            <w:shd w:val="clear" w:color="000000" w:fill="00B0F0"/>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1    </w:t>
            </w:r>
          </w:p>
        </w:tc>
        <w:tc>
          <w:tcPr>
            <w:tcW w:w="490" w:type="pct"/>
            <w:tcBorders>
              <w:left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p>
        </w:tc>
        <w:tc>
          <w:tcPr>
            <w:tcW w:w="542" w:type="pct"/>
            <w:tcBorders>
              <w:bottom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p>
        </w:tc>
      </w:tr>
      <w:tr w:rsidR="005D4A34" w:rsidRPr="00C16659" w:rsidTr="002D14E5">
        <w:trPr>
          <w:trHeight w:val="310"/>
          <w:jc w:val="center"/>
        </w:trPr>
        <w:tc>
          <w:tcPr>
            <w:tcW w:w="1223" w:type="pct"/>
            <w:tcBorders>
              <w:top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Relative weight (%)</w:t>
            </w:r>
          </w:p>
        </w:tc>
        <w:tc>
          <w:tcPr>
            <w:tcW w:w="676" w:type="pct"/>
            <w:tcBorders>
              <w:top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43</w:t>
            </w:r>
          </w:p>
        </w:tc>
        <w:tc>
          <w:tcPr>
            <w:tcW w:w="413" w:type="pct"/>
            <w:tcBorders>
              <w:top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28</w:t>
            </w:r>
          </w:p>
        </w:tc>
        <w:tc>
          <w:tcPr>
            <w:tcW w:w="647" w:type="pct"/>
            <w:tcBorders>
              <w:top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17</w:t>
            </w:r>
          </w:p>
        </w:tc>
        <w:tc>
          <w:tcPr>
            <w:tcW w:w="373" w:type="pct"/>
            <w:tcBorders>
              <w:top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8</w:t>
            </w:r>
          </w:p>
        </w:tc>
        <w:tc>
          <w:tcPr>
            <w:tcW w:w="635" w:type="pct"/>
            <w:tcBorders>
              <w:top w:val="single" w:sz="4" w:space="0" w:color="auto"/>
              <w:bottom w:val="single" w:sz="4" w:space="0" w:color="auto"/>
              <w:right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4</w:t>
            </w:r>
          </w:p>
        </w:tc>
        <w:tc>
          <w:tcPr>
            <w:tcW w:w="490" w:type="pct"/>
            <w:tcBorders>
              <w:top w:val="single" w:sz="4" w:space="0" w:color="auto"/>
              <w:left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CR</w:t>
            </w:r>
          </w:p>
        </w:tc>
        <w:tc>
          <w:tcPr>
            <w:tcW w:w="542" w:type="pct"/>
            <w:tcBorders>
              <w:top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0.02</w:t>
            </w:r>
          </w:p>
        </w:tc>
      </w:tr>
    </w:tbl>
    <w:p w:rsidR="005D4A34" w:rsidRPr="00C16659" w:rsidRDefault="005D4A34" w:rsidP="00EC2A61">
      <w:pPr>
        <w:rPr>
          <w:iCs/>
        </w:rPr>
      </w:pPr>
      <w:bookmarkStart w:id="276" w:name="_Toc65064357"/>
      <w:bookmarkStart w:id="277" w:name="_Hlk52425866"/>
      <w:bookmarkStart w:id="278" w:name="_Toc68761663"/>
      <w:r w:rsidRPr="00C16659">
        <w:rPr>
          <w:iCs/>
        </w:rPr>
        <w:t xml:space="preserve">Appendix table </w:t>
      </w:r>
      <w:r w:rsidRPr="00C16659">
        <w:rPr>
          <w:iCs/>
        </w:rPr>
        <w:fldChar w:fldCharType="begin"/>
      </w:r>
      <w:r w:rsidRPr="00C16659">
        <w:rPr>
          <w:iCs/>
        </w:rPr>
        <w:instrText xml:space="preserve"> SEQ Appendix_table \* ARABIC </w:instrText>
      </w:r>
      <w:r w:rsidRPr="00C16659">
        <w:rPr>
          <w:iCs/>
        </w:rPr>
        <w:fldChar w:fldCharType="separate"/>
      </w:r>
      <w:r w:rsidR="00BD510E">
        <w:rPr>
          <w:iCs/>
          <w:noProof/>
        </w:rPr>
        <w:t>14</w:t>
      </w:r>
      <w:r w:rsidRPr="00C16659">
        <w:rPr>
          <w:iCs/>
        </w:rPr>
        <w:fldChar w:fldCharType="end"/>
      </w:r>
      <w:r w:rsidRPr="00C16659">
        <w:rPr>
          <w:iCs/>
        </w:rPr>
        <w:t>: AHP matrix, relative weight, and CR of drainage density</w:t>
      </w:r>
      <w:bookmarkEnd w:id="276"/>
      <w:bookmarkEnd w:id="278"/>
      <w:r w:rsidRPr="00C16659">
        <w:rPr>
          <w:iCs/>
        </w:rPr>
        <w:t xml:space="preserve"> </w:t>
      </w:r>
    </w:p>
    <w:tbl>
      <w:tblPr>
        <w:tblW w:w="5000" w:type="pct"/>
        <w:jc w:val="center"/>
        <w:tblBorders>
          <w:top w:val="single" w:sz="4" w:space="0" w:color="auto"/>
          <w:bottom w:val="single" w:sz="4" w:space="0" w:color="auto"/>
        </w:tblBorders>
        <w:tblLook w:val="04A0" w:firstRow="1" w:lastRow="0" w:firstColumn="1" w:lastColumn="0" w:noHBand="0" w:noVBand="1"/>
      </w:tblPr>
      <w:tblGrid>
        <w:gridCol w:w="2202"/>
        <w:gridCol w:w="1212"/>
        <w:gridCol w:w="761"/>
        <w:gridCol w:w="1183"/>
        <w:gridCol w:w="724"/>
        <w:gridCol w:w="1163"/>
        <w:gridCol w:w="823"/>
        <w:gridCol w:w="932"/>
      </w:tblGrid>
      <w:tr w:rsidR="005D4A34" w:rsidRPr="00C16659" w:rsidTr="002D14E5">
        <w:trPr>
          <w:trHeight w:val="60"/>
          <w:jc w:val="center"/>
        </w:trPr>
        <w:tc>
          <w:tcPr>
            <w:tcW w:w="1223" w:type="pct"/>
            <w:tcBorders>
              <w:top w:val="single" w:sz="4" w:space="0" w:color="auto"/>
              <w:bottom w:val="single" w:sz="4" w:space="0" w:color="auto"/>
            </w:tcBorders>
            <w:shd w:val="clear" w:color="auto" w:fill="auto"/>
            <w:noWrap/>
            <w:vAlign w:val="bottom"/>
            <w:hideMark/>
          </w:tcPr>
          <w:bookmarkEnd w:id="277"/>
          <w:p w:rsidR="005D4A34" w:rsidRPr="00C16659" w:rsidRDefault="005D4A34" w:rsidP="00EC2A61">
            <w:pPr>
              <w:spacing w:before="0" w:after="0"/>
              <w:jc w:val="left"/>
              <w:rPr>
                <w:rFonts w:eastAsia="Times New Roman"/>
              </w:rPr>
            </w:pPr>
            <w:r w:rsidRPr="00C16659">
              <w:rPr>
                <w:rFonts w:eastAsia="Times New Roman"/>
              </w:rPr>
              <w:t>Contribution</w:t>
            </w:r>
          </w:p>
        </w:tc>
        <w:tc>
          <w:tcPr>
            <w:tcW w:w="673" w:type="pct"/>
            <w:tcBorders>
              <w:top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Very high</w:t>
            </w:r>
          </w:p>
        </w:tc>
        <w:tc>
          <w:tcPr>
            <w:tcW w:w="422" w:type="pct"/>
            <w:tcBorders>
              <w:top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High</w:t>
            </w:r>
          </w:p>
        </w:tc>
        <w:tc>
          <w:tcPr>
            <w:tcW w:w="657" w:type="pct"/>
            <w:tcBorders>
              <w:top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Moderate</w:t>
            </w:r>
          </w:p>
        </w:tc>
        <w:tc>
          <w:tcPr>
            <w:tcW w:w="402" w:type="pct"/>
            <w:tcBorders>
              <w:top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Low</w:t>
            </w:r>
          </w:p>
        </w:tc>
        <w:tc>
          <w:tcPr>
            <w:tcW w:w="646" w:type="pct"/>
            <w:tcBorders>
              <w:top w:val="single" w:sz="4" w:space="0" w:color="auto"/>
              <w:bottom w:val="single" w:sz="4" w:space="0" w:color="auto"/>
              <w:right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Very low</w:t>
            </w:r>
          </w:p>
        </w:tc>
        <w:tc>
          <w:tcPr>
            <w:tcW w:w="457" w:type="pct"/>
            <w:tcBorders>
              <w:top w:val="single" w:sz="4" w:space="0" w:color="auto"/>
              <w:left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ascii="Symbol" w:eastAsia="Times New Roman" w:hAnsi="Symbol"/>
              </w:rPr>
              <w:t></w:t>
            </w:r>
            <w:r w:rsidRPr="00C16659">
              <w:rPr>
                <w:rFonts w:eastAsia="Times New Roman"/>
              </w:rPr>
              <w:t>max</w:t>
            </w:r>
          </w:p>
        </w:tc>
        <w:tc>
          <w:tcPr>
            <w:tcW w:w="518" w:type="pct"/>
            <w:tcBorders>
              <w:top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5.2866</w:t>
            </w:r>
          </w:p>
        </w:tc>
      </w:tr>
      <w:tr w:rsidR="005D4A34" w:rsidRPr="00C16659" w:rsidTr="002D14E5">
        <w:trPr>
          <w:trHeight w:val="60"/>
          <w:jc w:val="center"/>
        </w:trPr>
        <w:tc>
          <w:tcPr>
            <w:tcW w:w="1223" w:type="pct"/>
            <w:tcBorders>
              <w:top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Very high</w:t>
            </w:r>
          </w:p>
        </w:tc>
        <w:tc>
          <w:tcPr>
            <w:tcW w:w="673" w:type="pct"/>
            <w:tcBorders>
              <w:top w:val="single" w:sz="4" w:space="0" w:color="auto"/>
            </w:tcBorders>
            <w:shd w:val="clear" w:color="000000" w:fill="00B0F0"/>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1    </w:t>
            </w:r>
          </w:p>
        </w:tc>
        <w:tc>
          <w:tcPr>
            <w:tcW w:w="422" w:type="pct"/>
            <w:tcBorders>
              <w:top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2    </w:t>
            </w:r>
          </w:p>
        </w:tc>
        <w:tc>
          <w:tcPr>
            <w:tcW w:w="657" w:type="pct"/>
            <w:tcBorders>
              <w:top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3    </w:t>
            </w:r>
          </w:p>
        </w:tc>
        <w:tc>
          <w:tcPr>
            <w:tcW w:w="402" w:type="pct"/>
            <w:tcBorders>
              <w:top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8    </w:t>
            </w:r>
          </w:p>
        </w:tc>
        <w:tc>
          <w:tcPr>
            <w:tcW w:w="646" w:type="pct"/>
            <w:tcBorders>
              <w:top w:val="single" w:sz="4" w:space="0" w:color="auto"/>
              <w:right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9    </w:t>
            </w:r>
          </w:p>
        </w:tc>
        <w:tc>
          <w:tcPr>
            <w:tcW w:w="457" w:type="pct"/>
            <w:tcBorders>
              <w:top w:val="single" w:sz="4" w:space="0" w:color="auto"/>
              <w:left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p>
        </w:tc>
        <w:tc>
          <w:tcPr>
            <w:tcW w:w="518" w:type="pct"/>
            <w:tcBorders>
              <w:top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p>
        </w:tc>
      </w:tr>
      <w:tr w:rsidR="005D4A34" w:rsidRPr="00C16659" w:rsidTr="002D14E5">
        <w:trPr>
          <w:trHeight w:val="70"/>
          <w:jc w:val="center"/>
        </w:trPr>
        <w:tc>
          <w:tcPr>
            <w:tcW w:w="1223" w:type="pct"/>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High</w:t>
            </w:r>
          </w:p>
        </w:tc>
        <w:tc>
          <w:tcPr>
            <w:tcW w:w="673" w:type="pct"/>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1/2</w:t>
            </w:r>
          </w:p>
        </w:tc>
        <w:tc>
          <w:tcPr>
            <w:tcW w:w="422" w:type="pct"/>
            <w:shd w:val="clear" w:color="000000" w:fill="00B0F0"/>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1    </w:t>
            </w:r>
          </w:p>
        </w:tc>
        <w:tc>
          <w:tcPr>
            <w:tcW w:w="657" w:type="pct"/>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2    </w:t>
            </w:r>
          </w:p>
        </w:tc>
        <w:tc>
          <w:tcPr>
            <w:tcW w:w="402" w:type="pct"/>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5    </w:t>
            </w:r>
          </w:p>
        </w:tc>
        <w:tc>
          <w:tcPr>
            <w:tcW w:w="646" w:type="pct"/>
            <w:tcBorders>
              <w:right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7    </w:t>
            </w:r>
          </w:p>
        </w:tc>
        <w:tc>
          <w:tcPr>
            <w:tcW w:w="457" w:type="pct"/>
            <w:tcBorders>
              <w:left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C.I</w:t>
            </w:r>
          </w:p>
        </w:tc>
        <w:tc>
          <w:tcPr>
            <w:tcW w:w="518" w:type="pct"/>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0.0716</w:t>
            </w:r>
          </w:p>
        </w:tc>
      </w:tr>
      <w:tr w:rsidR="005D4A34" w:rsidRPr="00C16659" w:rsidTr="002D14E5">
        <w:trPr>
          <w:trHeight w:val="70"/>
          <w:jc w:val="center"/>
        </w:trPr>
        <w:tc>
          <w:tcPr>
            <w:tcW w:w="1223" w:type="pct"/>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Moderate</w:t>
            </w:r>
          </w:p>
        </w:tc>
        <w:tc>
          <w:tcPr>
            <w:tcW w:w="673" w:type="pct"/>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1/3</w:t>
            </w:r>
          </w:p>
        </w:tc>
        <w:tc>
          <w:tcPr>
            <w:tcW w:w="422" w:type="pct"/>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1/2</w:t>
            </w:r>
          </w:p>
        </w:tc>
        <w:tc>
          <w:tcPr>
            <w:tcW w:w="657" w:type="pct"/>
            <w:shd w:val="clear" w:color="000000" w:fill="00B0F0"/>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1    </w:t>
            </w:r>
          </w:p>
        </w:tc>
        <w:tc>
          <w:tcPr>
            <w:tcW w:w="402" w:type="pct"/>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5    </w:t>
            </w:r>
          </w:p>
        </w:tc>
        <w:tc>
          <w:tcPr>
            <w:tcW w:w="646" w:type="pct"/>
            <w:tcBorders>
              <w:right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7    </w:t>
            </w:r>
          </w:p>
        </w:tc>
        <w:tc>
          <w:tcPr>
            <w:tcW w:w="457" w:type="pct"/>
            <w:tcBorders>
              <w:left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p>
        </w:tc>
        <w:tc>
          <w:tcPr>
            <w:tcW w:w="518" w:type="pct"/>
            <w:shd w:val="clear" w:color="auto" w:fill="auto"/>
            <w:noWrap/>
            <w:vAlign w:val="bottom"/>
            <w:hideMark/>
          </w:tcPr>
          <w:p w:rsidR="005D4A34" w:rsidRPr="00C16659" w:rsidRDefault="005D4A34" w:rsidP="00EC2A61">
            <w:pPr>
              <w:spacing w:before="0" w:after="0"/>
              <w:jc w:val="left"/>
              <w:rPr>
                <w:rFonts w:eastAsia="Times New Roman"/>
              </w:rPr>
            </w:pPr>
          </w:p>
        </w:tc>
      </w:tr>
      <w:tr w:rsidR="005D4A34" w:rsidRPr="00C16659" w:rsidTr="002D14E5">
        <w:trPr>
          <w:trHeight w:val="70"/>
          <w:jc w:val="center"/>
        </w:trPr>
        <w:tc>
          <w:tcPr>
            <w:tcW w:w="1223" w:type="pct"/>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Low</w:t>
            </w:r>
          </w:p>
        </w:tc>
        <w:tc>
          <w:tcPr>
            <w:tcW w:w="673" w:type="pct"/>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1/8</w:t>
            </w:r>
          </w:p>
        </w:tc>
        <w:tc>
          <w:tcPr>
            <w:tcW w:w="422" w:type="pct"/>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1/5</w:t>
            </w:r>
          </w:p>
        </w:tc>
        <w:tc>
          <w:tcPr>
            <w:tcW w:w="657" w:type="pct"/>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1/5</w:t>
            </w:r>
          </w:p>
        </w:tc>
        <w:tc>
          <w:tcPr>
            <w:tcW w:w="402" w:type="pct"/>
            <w:shd w:val="clear" w:color="000000" w:fill="00B0F0"/>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1    </w:t>
            </w:r>
          </w:p>
        </w:tc>
        <w:tc>
          <w:tcPr>
            <w:tcW w:w="646" w:type="pct"/>
            <w:tcBorders>
              <w:right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2    </w:t>
            </w:r>
          </w:p>
        </w:tc>
        <w:tc>
          <w:tcPr>
            <w:tcW w:w="457" w:type="pct"/>
            <w:tcBorders>
              <w:left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R. I</w:t>
            </w:r>
          </w:p>
        </w:tc>
        <w:tc>
          <w:tcPr>
            <w:tcW w:w="518" w:type="pct"/>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1.1200</w:t>
            </w:r>
          </w:p>
        </w:tc>
      </w:tr>
      <w:tr w:rsidR="005D4A34" w:rsidRPr="00C16659" w:rsidTr="002D14E5">
        <w:trPr>
          <w:trHeight w:val="70"/>
          <w:jc w:val="center"/>
        </w:trPr>
        <w:tc>
          <w:tcPr>
            <w:tcW w:w="1223" w:type="pct"/>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Very low</w:t>
            </w:r>
          </w:p>
        </w:tc>
        <w:tc>
          <w:tcPr>
            <w:tcW w:w="673" w:type="pct"/>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1/9</w:t>
            </w:r>
          </w:p>
        </w:tc>
        <w:tc>
          <w:tcPr>
            <w:tcW w:w="422" w:type="pct"/>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1/7</w:t>
            </w:r>
          </w:p>
        </w:tc>
        <w:tc>
          <w:tcPr>
            <w:tcW w:w="657" w:type="pct"/>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1/7</w:t>
            </w:r>
          </w:p>
        </w:tc>
        <w:tc>
          <w:tcPr>
            <w:tcW w:w="402" w:type="pct"/>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1/2</w:t>
            </w:r>
          </w:p>
        </w:tc>
        <w:tc>
          <w:tcPr>
            <w:tcW w:w="646" w:type="pct"/>
            <w:tcBorders>
              <w:right w:val="single" w:sz="4" w:space="0" w:color="auto"/>
            </w:tcBorders>
            <w:shd w:val="clear" w:color="000000" w:fill="00B0F0"/>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1    </w:t>
            </w:r>
          </w:p>
        </w:tc>
        <w:tc>
          <w:tcPr>
            <w:tcW w:w="457" w:type="pct"/>
            <w:tcBorders>
              <w:left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p>
        </w:tc>
        <w:tc>
          <w:tcPr>
            <w:tcW w:w="518" w:type="pct"/>
            <w:shd w:val="clear" w:color="auto" w:fill="auto"/>
            <w:noWrap/>
            <w:vAlign w:val="bottom"/>
            <w:hideMark/>
          </w:tcPr>
          <w:p w:rsidR="005D4A34" w:rsidRPr="00C16659" w:rsidRDefault="005D4A34" w:rsidP="00EC2A61">
            <w:pPr>
              <w:spacing w:before="0" w:after="0"/>
              <w:jc w:val="left"/>
              <w:rPr>
                <w:rFonts w:eastAsia="Times New Roman"/>
              </w:rPr>
            </w:pPr>
          </w:p>
        </w:tc>
      </w:tr>
      <w:tr w:rsidR="005D4A34" w:rsidRPr="00C16659" w:rsidTr="002D14E5">
        <w:trPr>
          <w:trHeight w:val="70"/>
          <w:jc w:val="center"/>
        </w:trPr>
        <w:tc>
          <w:tcPr>
            <w:tcW w:w="1223" w:type="pct"/>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Relative weight (%)</w:t>
            </w:r>
          </w:p>
        </w:tc>
        <w:tc>
          <w:tcPr>
            <w:tcW w:w="673" w:type="pct"/>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45</w:t>
            </w:r>
          </w:p>
        </w:tc>
        <w:tc>
          <w:tcPr>
            <w:tcW w:w="422" w:type="pct"/>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27</w:t>
            </w:r>
          </w:p>
        </w:tc>
        <w:tc>
          <w:tcPr>
            <w:tcW w:w="657" w:type="pct"/>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19</w:t>
            </w:r>
          </w:p>
        </w:tc>
        <w:tc>
          <w:tcPr>
            <w:tcW w:w="402" w:type="pct"/>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5</w:t>
            </w:r>
          </w:p>
        </w:tc>
        <w:tc>
          <w:tcPr>
            <w:tcW w:w="646" w:type="pct"/>
            <w:tcBorders>
              <w:right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4</w:t>
            </w:r>
          </w:p>
        </w:tc>
        <w:tc>
          <w:tcPr>
            <w:tcW w:w="457" w:type="pct"/>
            <w:tcBorders>
              <w:left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CR</w:t>
            </w:r>
          </w:p>
        </w:tc>
        <w:tc>
          <w:tcPr>
            <w:tcW w:w="518" w:type="pct"/>
            <w:tcBorders>
              <w:bottom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0.06</w:t>
            </w:r>
          </w:p>
        </w:tc>
      </w:tr>
    </w:tbl>
    <w:p w:rsidR="005D4A34" w:rsidRPr="00C16659" w:rsidRDefault="005D4A34" w:rsidP="00EC2A61">
      <w:pPr>
        <w:rPr>
          <w:iCs/>
        </w:rPr>
      </w:pPr>
      <w:bookmarkStart w:id="279" w:name="_Toc65064358"/>
      <w:bookmarkStart w:id="280" w:name="_Toc68761664"/>
      <w:r w:rsidRPr="00C16659">
        <w:rPr>
          <w:iCs/>
        </w:rPr>
        <w:t xml:space="preserve">Appendix table </w:t>
      </w:r>
      <w:r w:rsidRPr="00C16659">
        <w:rPr>
          <w:iCs/>
        </w:rPr>
        <w:fldChar w:fldCharType="begin"/>
      </w:r>
      <w:r w:rsidRPr="00C16659">
        <w:rPr>
          <w:iCs/>
        </w:rPr>
        <w:instrText xml:space="preserve"> SEQ Appendix_table \* ARABIC </w:instrText>
      </w:r>
      <w:r w:rsidRPr="00C16659">
        <w:rPr>
          <w:iCs/>
        </w:rPr>
        <w:fldChar w:fldCharType="separate"/>
      </w:r>
      <w:r w:rsidR="00BD510E">
        <w:rPr>
          <w:iCs/>
          <w:noProof/>
        </w:rPr>
        <w:t>15</w:t>
      </w:r>
      <w:r w:rsidRPr="00C16659">
        <w:rPr>
          <w:iCs/>
        </w:rPr>
        <w:fldChar w:fldCharType="end"/>
      </w:r>
      <w:r w:rsidRPr="00C16659">
        <w:rPr>
          <w:iCs/>
        </w:rPr>
        <w:t>: AHP matrix, relative weight, and CR of elevation thematic map</w:t>
      </w:r>
      <w:bookmarkEnd w:id="279"/>
      <w:bookmarkEnd w:id="280"/>
    </w:p>
    <w:tbl>
      <w:tblPr>
        <w:tblW w:w="5000" w:type="pct"/>
        <w:tblBorders>
          <w:top w:val="single" w:sz="4" w:space="0" w:color="auto"/>
          <w:bottom w:val="single" w:sz="4" w:space="0" w:color="auto"/>
        </w:tblBorders>
        <w:tblLook w:val="04A0" w:firstRow="1" w:lastRow="0" w:firstColumn="1" w:lastColumn="0" w:noHBand="0" w:noVBand="1"/>
      </w:tblPr>
      <w:tblGrid>
        <w:gridCol w:w="2294"/>
        <w:gridCol w:w="1212"/>
        <w:gridCol w:w="713"/>
        <w:gridCol w:w="1165"/>
        <w:gridCol w:w="671"/>
        <w:gridCol w:w="1143"/>
        <w:gridCol w:w="882"/>
        <w:gridCol w:w="920"/>
      </w:tblGrid>
      <w:tr w:rsidR="005D4A34" w:rsidRPr="00C16659" w:rsidTr="002D14E5">
        <w:trPr>
          <w:trHeight w:val="242"/>
        </w:trPr>
        <w:tc>
          <w:tcPr>
            <w:tcW w:w="1274" w:type="pct"/>
            <w:tcBorders>
              <w:top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lastRenderedPageBreak/>
              <w:t>Contribution</w:t>
            </w:r>
          </w:p>
        </w:tc>
        <w:tc>
          <w:tcPr>
            <w:tcW w:w="673" w:type="pct"/>
            <w:tcBorders>
              <w:top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Very high</w:t>
            </w:r>
          </w:p>
        </w:tc>
        <w:tc>
          <w:tcPr>
            <w:tcW w:w="396" w:type="pct"/>
            <w:tcBorders>
              <w:top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High</w:t>
            </w:r>
          </w:p>
        </w:tc>
        <w:tc>
          <w:tcPr>
            <w:tcW w:w="647" w:type="pct"/>
            <w:tcBorders>
              <w:top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Moderate</w:t>
            </w:r>
          </w:p>
        </w:tc>
        <w:tc>
          <w:tcPr>
            <w:tcW w:w="373" w:type="pct"/>
            <w:tcBorders>
              <w:top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Low</w:t>
            </w:r>
          </w:p>
        </w:tc>
        <w:tc>
          <w:tcPr>
            <w:tcW w:w="635" w:type="pct"/>
            <w:tcBorders>
              <w:top w:val="single" w:sz="4" w:space="0" w:color="auto"/>
              <w:bottom w:val="single" w:sz="4" w:space="0" w:color="auto"/>
              <w:right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Very low</w:t>
            </w:r>
          </w:p>
        </w:tc>
        <w:tc>
          <w:tcPr>
            <w:tcW w:w="490" w:type="pct"/>
            <w:tcBorders>
              <w:top w:val="single" w:sz="4" w:space="0" w:color="auto"/>
              <w:left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ascii="Symbol" w:eastAsia="Times New Roman" w:hAnsi="Symbol"/>
              </w:rPr>
              <w:t></w:t>
            </w:r>
            <w:r w:rsidRPr="00C16659">
              <w:rPr>
                <w:rFonts w:eastAsia="Times New Roman"/>
              </w:rPr>
              <w:t>max</w:t>
            </w:r>
          </w:p>
        </w:tc>
        <w:tc>
          <w:tcPr>
            <w:tcW w:w="511" w:type="pct"/>
            <w:tcBorders>
              <w:top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5.1439</w:t>
            </w:r>
          </w:p>
        </w:tc>
      </w:tr>
      <w:tr w:rsidR="005D4A34" w:rsidRPr="00C16659" w:rsidTr="002D14E5">
        <w:trPr>
          <w:trHeight w:val="60"/>
        </w:trPr>
        <w:tc>
          <w:tcPr>
            <w:tcW w:w="1274" w:type="pct"/>
            <w:tcBorders>
              <w:top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Very high</w:t>
            </w:r>
          </w:p>
        </w:tc>
        <w:tc>
          <w:tcPr>
            <w:tcW w:w="673" w:type="pct"/>
            <w:tcBorders>
              <w:top w:val="single" w:sz="4" w:space="0" w:color="auto"/>
            </w:tcBorders>
            <w:shd w:val="clear" w:color="000000" w:fill="00B0F0"/>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1    </w:t>
            </w:r>
          </w:p>
        </w:tc>
        <w:tc>
          <w:tcPr>
            <w:tcW w:w="396" w:type="pct"/>
            <w:tcBorders>
              <w:top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2    </w:t>
            </w:r>
          </w:p>
        </w:tc>
        <w:tc>
          <w:tcPr>
            <w:tcW w:w="647" w:type="pct"/>
            <w:tcBorders>
              <w:top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2    </w:t>
            </w:r>
          </w:p>
        </w:tc>
        <w:tc>
          <w:tcPr>
            <w:tcW w:w="373" w:type="pct"/>
            <w:tcBorders>
              <w:top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3    </w:t>
            </w:r>
          </w:p>
        </w:tc>
        <w:tc>
          <w:tcPr>
            <w:tcW w:w="635" w:type="pct"/>
            <w:tcBorders>
              <w:top w:val="single" w:sz="4" w:space="0" w:color="auto"/>
              <w:right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4    </w:t>
            </w:r>
          </w:p>
        </w:tc>
        <w:tc>
          <w:tcPr>
            <w:tcW w:w="490" w:type="pct"/>
            <w:tcBorders>
              <w:top w:val="single" w:sz="4" w:space="0" w:color="auto"/>
              <w:left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p>
        </w:tc>
        <w:tc>
          <w:tcPr>
            <w:tcW w:w="511" w:type="pct"/>
            <w:tcBorders>
              <w:top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p>
        </w:tc>
      </w:tr>
      <w:tr w:rsidR="005D4A34" w:rsidRPr="00C16659" w:rsidTr="002D14E5">
        <w:trPr>
          <w:trHeight w:val="70"/>
        </w:trPr>
        <w:tc>
          <w:tcPr>
            <w:tcW w:w="1274" w:type="pct"/>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High</w:t>
            </w:r>
          </w:p>
        </w:tc>
        <w:tc>
          <w:tcPr>
            <w:tcW w:w="673" w:type="pct"/>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1/2</w:t>
            </w:r>
          </w:p>
        </w:tc>
        <w:tc>
          <w:tcPr>
            <w:tcW w:w="396" w:type="pct"/>
            <w:shd w:val="clear" w:color="000000" w:fill="00B0F0"/>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1    </w:t>
            </w:r>
          </w:p>
        </w:tc>
        <w:tc>
          <w:tcPr>
            <w:tcW w:w="647" w:type="pct"/>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2    </w:t>
            </w:r>
          </w:p>
        </w:tc>
        <w:tc>
          <w:tcPr>
            <w:tcW w:w="373" w:type="pct"/>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3    </w:t>
            </w:r>
          </w:p>
        </w:tc>
        <w:tc>
          <w:tcPr>
            <w:tcW w:w="635" w:type="pct"/>
            <w:tcBorders>
              <w:right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4    </w:t>
            </w:r>
          </w:p>
        </w:tc>
        <w:tc>
          <w:tcPr>
            <w:tcW w:w="490" w:type="pct"/>
            <w:tcBorders>
              <w:left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C.I</w:t>
            </w:r>
          </w:p>
        </w:tc>
        <w:tc>
          <w:tcPr>
            <w:tcW w:w="511" w:type="pct"/>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0.0360</w:t>
            </w:r>
          </w:p>
        </w:tc>
      </w:tr>
      <w:tr w:rsidR="005D4A34" w:rsidRPr="00C16659" w:rsidTr="002D14E5">
        <w:trPr>
          <w:trHeight w:val="70"/>
        </w:trPr>
        <w:tc>
          <w:tcPr>
            <w:tcW w:w="1274" w:type="pct"/>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Moderate</w:t>
            </w:r>
          </w:p>
        </w:tc>
        <w:tc>
          <w:tcPr>
            <w:tcW w:w="673" w:type="pct"/>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1/2</w:t>
            </w:r>
          </w:p>
        </w:tc>
        <w:tc>
          <w:tcPr>
            <w:tcW w:w="396" w:type="pct"/>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1/2</w:t>
            </w:r>
          </w:p>
        </w:tc>
        <w:tc>
          <w:tcPr>
            <w:tcW w:w="647" w:type="pct"/>
            <w:shd w:val="clear" w:color="000000" w:fill="00B0F0"/>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1    </w:t>
            </w:r>
          </w:p>
        </w:tc>
        <w:tc>
          <w:tcPr>
            <w:tcW w:w="373" w:type="pct"/>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3    </w:t>
            </w:r>
          </w:p>
        </w:tc>
        <w:tc>
          <w:tcPr>
            <w:tcW w:w="635" w:type="pct"/>
            <w:tcBorders>
              <w:right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3    </w:t>
            </w:r>
          </w:p>
        </w:tc>
        <w:tc>
          <w:tcPr>
            <w:tcW w:w="490" w:type="pct"/>
            <w:tcBorders>
              <w:left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p>
        </w:tc>
        <w:tc>
          <w:tcPr>
            <w:tcW w:w="511" w:type="pct"/>
            <w:shd w:val="clear" w:color="auto" w:fill="auto"/>
            <w:noWrap/>
            <w:vAlign w:val="bottom"/>
            <w:hideMark/>
          </w:tcPr>
          <w:p w:rsidR="005D4A34" w:rsidRPr="00C16659" w:rsidRDefault="005D4A34" w:rsidP="00EC2A61">
            <w:pPr>
              <w:spacing w:before="0" w:after="0"/>
              <w:jc w:val="left"/>
              <w:rPr>
                <w:rFonts w:eastAsia="Times New Roman"/>
              </w:rPr>
            </w:pPr>
          </w:p>
        </w:tc>
      </w:tr>
      <w:tr w:rsidR="005D4A34" w:rsidRPr="00C16659" w:rsidTr="002D14E5">
        <w:trPr>
          <w:trHeight w:val="70"/>
        </w:trPr>
        <w:tc>
          <w:tcPr>
            <w:tcW w:w="1274" w:type="pct"/>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Low</w:t>
            </w:r>
          </w:p>
        </w:tc>
        <w:tc>
          <w:tcPr>
            <w:tcW w:w="673" w:type="pct"/>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1/3</w:t>
            </w:r>
          </w:p>
        </w:tc>
        <w:tc>
          <w:tcPr>
            <w:tcW w:w="396" w:type="pct"/>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1/3</w:t>
            </w:r>
          </w:p>
        </w:tc>
        <w:tc>
          <w:tcPr>
            <w:tcW w:w="647" w:type="pct"/>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1/3</w:t>
            </w:r>
          </w:p>
        </w:tc>
        <w:tc>
          <w:tcPr>
            <w:tcW w:w="373" w:type="pct"/>
            <w:shd w:val="clear" w:color="000000" w:fill="00B0F0"/>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1    </w:t>
            </w:r>
          </w:p>
        </w:tc>
        <w:tc>
          <w:tcPr>
            <w:tcW w:w="635" w:type="pct"/>
            <w:tcBorders>
              <w:right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2    </w:t>
            </w:r>
          </w:p>
        </w:tc>
        <w:tc>
          <w:tcPr>
            <w:tcW w:w="490" w:type="pct"/>
            <w:tcBorders>
              <w:left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R. I</w:t>
            </w:r>
          </w:p>
        </w:tc>
        <w:tc>
          <w:tcPr>
            <w:tcW w:w="511" w:type="pct"/>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1.1200</w:t>
            </w:r>
          </w:p>
        </w:tc>
      </w:tr>
      <w:tr w:rsidR="005D4A34" w:rsidRPr="00C16659" w:rsidTr="002D14E5">
        <w:trPr>
          <w:trHeight w:val="70"/>
        </w:trPr>
        <w:tc>
          <w:tcPr>
            <w:tcW w:w="1274" w:type="pct"/>
            <w:tcBorders>
              <w:bottom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Very low</w:t>
            </w:r>
          </w:p>
        </w:tc>
        <w:tc>
          <w:tcPr>
            <w:tcW w:w="673" w:type="pct"/>
            <w:tcBorders>
              <w:bottom w:val="single" w:sz="4" w:space="0" w:color="auto"/>
            </w:tcBorders>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1/4</w:t>
            </w:r>
          </w:p>
        </w:tc>
        <w:tc>
          <w:tcPr>
            <w:tcW w:w="396" w:type="pct"/>
            <w:tcBorders>
              <w:bottom w:val="single" w:sz="4" w:space="0" w:color="auto"/>
            </w:tcBorders>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1/4</w:t>
            </w:r>
          </w:p>
        </w:tc>
        <w:tc>
          <w:tcPr>
            <w:tcW w:w="647" w:type="pct"/>
            <w:tcBorders>
              <w:bottom w:val="single" w:sz="4" w:space="0" w:color="auto"/>
            </w:tcBorders>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1/3</w:t>
            </w:r>
          </w:p>
        </w:tc>
        <w:tc>
          <w:tcPr>
            <w:tcW w:w="373" w:type="pct"/>
            <w:tcBorders>
              <w:bottom w:val="single" w:sz="4" w:space="0" w:color="auto"/>
            </w:tcBorders>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1/2</w:t>
            </w:r>
          </w:p>
        </w:tc>
        <w:tc>
          <w:tcPr>
            <w:tcW w:w="635" w:type="pct"/>
            <w:tcBorders>
              <w:bottom w:val="single" w:sz="4" w:space="0" w:color="auto"/>
              <w:right w:val="single" w:sz="4" w:space="0" w:color="auto"/>
            </w:tcBorders>
            <w:shd w:val="clear" w:color="000000" w:fill="00B0F0"/>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1    </w:t>
            </w:r>
          </w:p>
        </w:tc>
        <w:tc>
          <w:tcPr>
            <w:tcW w:w="490" w:type="pct"/>
            <w:tcBorders>
              <w:left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p>
        </w:tc>
        <w:tc>
          <w:tcPr>
            <w:tcW w:w="511" w:type="pct"/>
            <w:tcBorders>
              <w:bottom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p>
        </w:tc>
      </w:tr>
      <w:tr w:rsidR="005D4A34" w:rsidRPr="00C16659" w:rsidTr="002D14E5">
        <w:trPr>
          <w:trHeight w:val="242"/>
        </w:trPr>
        <w:tc>
          <w:tcPr>
            <w:tcW w:w="1274" w:type="pct"/>
            <w:tcBorders>
              <w:top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Relative weight (%)</w:t>
            </w:r>
          </w:p>
        </w:tc>
        <w:tc>
          <w:tcPr>
            <w:tcW w:w="673" w:type="pct"/>
            <w:tcBorders>
              <w:top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36</w:t>
            </w:r>
          </w:p>
        </w:tc>
        <w:tc>
          <w:tcPr>
            <w:tcW w:w="396" w:type="pct"/>
            <w:tcBorders>
              <w:top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27</w:t>
            </w:r>
          </w:p>
        </w:tc>
        <w:tc>
          <w:tcPr>
            <w:tcW w:w="647" w:type="pct"/>
            <w:tcBorders>
              <w:top w:val="single" w:sz="4" w:space="0" w:color="auto"/>
              <w:bottom w:val="single" w:sz="4" w:space="0" w:color="auto"/>
            </w:tcBorders>
            <w:shd w:val="clear" w:color="auto" w:fill="auto"/>
            <w:noWrap/>
            <w:vAlign w:val="bottom"/>
          </w:tcPr>
          <w:p w:rsidR="005D4A34" w:rsidRPr="00C16659" w:rsidRDefault="005D4A34" w:rsidP="00EC2A61">
            <w:pPr>
              <w:spacing w:before="0" w:after="0"/>
              <w:jc w:val="right"/>
              <w:rPr>
                <w:rFonts w:eastAsia="Times New Roman"/>
              </w:rPr>
            </w:pPr>
            <w:r w:rsidRPr="00C16659">
              <w:rPr>
                <w:rFonts w:eastAsia="Times New Roman"/>
              </w:rPr>
              <w:t>20</w:t>
            </w:r>
          </w:p>
        </w:tc>
        <w:tc>
          <w:tcPr>
            <w:tcW w:w="373" w:type="pct"/>
            <w:tcBorders>
              <w:top w:val="single" w:sz="4" w:space="0" w:color="auto"/>
              <w:bottom w:val="single" w:sz="4" w:space="0" w:color="auto"/>
            </w:tcBorders>
            <w:shd w:val="clear" w:color="auto" w:fill="auto"/>
            <w:noWrap/>
            <w:vAlign w:val="bottom"/>
          </w:tcPr>
          <w:p w:rsidR="005D4A34" w:rsidRPr="00C16659" w:rsidRDefault="005D4A34" w:rsidP="00EC2A61">
            <w:pPr>
              <w:spacing w:before="0" w:after="0"/>
              <w:jc w:val="right"/>
              <w:rPr>
                <w:rFonts w:eastAsia="Times New Roman"/>
              </w:rPr>
            </w:pPr>
            <w:r w:rsidRPr="00C16659">
              <w:rPr>
                <w:rFonts w:eastAsia="Times New Roman"/>
              </w:rPr>
              <w:t>10</w:t>
            </w:r>
          </w:p>
        </w:tc>
        <w:tc>
          <w:tcPr>
            <w:tcW w:w="635" w:type="pct"/>
            <w:tcBorders>
              <w:top w:val="single" w:sz="4" w:space="0" w:color="auto"/>
              <w:bottom w:val="single" w:sz="4" w:space="0" w:color="auto"/>
              <w:right w:val="single" w:sz="4" w:space="0" w:color="auto"/>
            </w:tcBorders>
            <w:shd w:val="clear" w:color="auto" w:fill="auto"/>
            <w:noWrap/>
            <w:vAlign w:val="bottom"/>
          </w:tcPr>
          <w:p w:rsidR="005D4A34" w:rsidRPr="00C16659" w:rsidRDefault="005D4A34" w:rsidP="00EC2A61">
            <w:pPr>
              <w:spacing w:before="0" w:after="0"/>
              <w:jc w:val="right"/>
              <w:rPr>
                <w:rFonts w:eastAsia="Times New Roman"/>
              </w:rPr>
            </w:pPr>
            <w:r w:rsidRPr="00C16659">
              <w:rPr>
                <w:rFonts w:eastAsia="Times New Roman"/>
              </w:rPr>
              <w:t>7</w:t>
            </w:r>
          </w:p>
        </w:tc>
        <w:tc>
          <w:tcPr>
            <w:tcW w:w="490" w:type="pct"/>
            <w:tcBorders>
              <w:top w:val="single" w:sz="4" w:space="0" w:color="auto"/>
              <w:left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CR</w:t>
            </w:r>
          </w:p>
        </w:tc>
        <w:tc>
          <w:tcPr>
            <w:tcW w:w="511" w:type="pct"/>
            <w:tcBorders>
              <w:top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0.03</w:t>
            </w:r>
          </w:p>
        </w:tc>
      </w:tr>
    </w:tbl>
    <w:p w:rsidR="005D4A34" w:rsidRPr="00C16659" w:rsidRDefault="005D4A34" w:rsidP="00EC2A61">
      <w:pPr>
        <w:rPr>
          <w:iCs/>
        </w:rPr>
      </w:pPr>
      <w:bookmarkStart w:id="281" w:name="_Toc65064359"/>
      <w:bookmarkStart w:id="282" w:name="_Toc68761665"/>
      <w:r w:rsidRPr="00C16659">
        <w:rPr>
          <w:iCs/>
        </w:rPr>
        <w:t xml:space="preserve">Appendix table </w:t>
      </w:r>
      <w:r w:rsidRPr="00C16659">
        <w:rPr>
          <w:iCs/>
        </w:rPr>
        <w:fldChar w:fldCharType="begin"/>
      </w:r>
      <w:r w:rsidRPr="00C16659">
        <w:rPr>
          <w:iCs/>
        </w:rPr>
        <w:instrText xml:space="preserve"> SEQ Appendix_table \* ARABIC </w:instrText>
      </w:r>
      <w:r w:rsidRPr="00C16659">
        <w:rPr>
          <w:iCs/>
        </w:rPr>
        <w:fldChar w:fldCharType="separate"/>
      </w:r>
      <w:r w:rsidR="00BD510E">
        <w:rPr>
          <w:iCs/>
          <w:noProof/>
        </w:rPr>
        <w:t>16</w:t>
      </w:r>
      <w:r w:rsidRPr="00C16659">
        <w:rPr>
          <w:iCs/>
        </w:rPr>
        <w:fldChar w:fldCharType="end"/>
      </w:r>
      <w:r w:rsidRPr="00C16659">
        <w:rPr>
          <w:iCs/>
        </w:rPr>
        <w:t>: AHP matrix, relative weight, and CR of soil thematic map</w:t>
      </w:r>
      <w:bookmarkEnd w:id="281"/>
      <w:bookmarkEnd w:id="282"/>
    </w:p>
    <w:tbl>
      <w:tblPr>
        <w:tblW w:w="5000" w:type="pct"/>
        <w:jc w:val="center"/>
        <w:tblBorders>
          <w:top w:val="single" w:sz="8" w:space="0" w:color="auto"/>
          <w:bottom w:val="single" w:sz="8" w:space="0" w:color="auto"/>
        </w:tblBorders>
        <w:tblLook w:val="04A0" w:firstRow="1" w:lastRow="0" w:firstColumn="1" w:lastColumn="0" w:noHBand="0" w:noVBand="1"/>
      </w:tblPr>
      <w:tblGrid>
        <w:gridCol w:w="2818"/>
        <w:gridCol w:w="725"/>
        <w:gridCol w:w="725"/>
        <w:gridCol w:w="725"/>
        <w:gridCol w:w="1186"/>
        <w:gridCol w:w="884"/>
        <w:gridCol w:w="909"/>
        <w:gridCol w:w="1028"/>
      </w:tblGrid>
      <w:tr w:rsidR="005D4A34" w:rsidRPr="00C16659" w:rsidTr="002D14E5">
        <w:trPr>
          <w:trHeight w:val="254"/>
          <w:jc w:val="center"/>
        </w:trPr>
        <w:tc>
          <w:tcPr>
            <w:tcW w:w="1565" w:type="pct"/>
            <w:tcBorders>
              <w:top w:val="single" w:sz="8" w:space="0" w:color="auto"/>
              <w:bottom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Soil</w:t>
            </w:r>
          </w:p>
        </w:tc>
        <w:tc>
          <w:tcPr>
            <w:tcW w:w="403" w:type="pct"/>
            <w:tcBorders>
              <w:top w:val="single" w:sz="8" w:space="0" w:color="auto"/>
              <w:bottom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S</w:t>
            </w:r>
          </w:p>
        </w:tc>
        <w:tc>
          <w:tcPr>
            <w:tcW w:w="403" w:type="pct"/>
            <w:tcBorders>
              <w:top w:val="single" w:sz="8" w:space="0" w:color="auto"/>
              <w:bottom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SL</w:t>
            </w:r>
          </w:p>
        </w:tc>
        <w:tc>
          <w:tcPr>
            <w:tcW w:w="403" w:type="pct"/>
            <w:tcBorders>
              <w:top w:val="single" w:sz="8" w:space="0" w:color="auto"/>
              <w:bottom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L</w:t>
            </w:r>
          </w:p>
        </w:tc>
        <w:tc>
          <w:tcPr>
            <w:tcW w:w="659" w:type="pct"/>
            <w:tcBorders>
              <w:top w:val="single" w:sz="8" w:space="0" w:color="auto"/>
              <w:bottom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SCL/CL</w:t>
            </w:r>
          </w:p>
        </w:tc>
        <w:tc>
          <w:tcPr>
            <w:tcW w:w="491" w:type="pct"/>
            <w:tcBorders>
              <w:top w:val="single" w:sz="8" w:space="0" w:color="auto"/>
              <w:bottom w:val="single" w:sz="4" w:space="0" w:color="auto"/>
              <w:right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C/SC</w:t>
            </w:r>
          </w:p>
        </w:tc>
        <w:tc>
          <w:tcPr>
            <w:tcW w:w="505" w:type="pct"/>
            <w:tcBorders>
              <w:top w:val="single" w:sz="8" w:space="0" w:color="auto"/>
              <w:left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ascii="Symbol" w:eastAsia="Times New Roman" w:hAnsi="Symbol"/>
              </w:rPr>
              <w:t></w:t>
            </w:r>
            <w:r w:rsidRPr="00C16659">
              <w:rPr>
                <w:rFonts w:eastAsia="Times New Roman"/>
              </w:rPr>
              <w:t>max</w:t>
            </w:r>
          </w:p>
        </w:tc>
        <w:tc>
          <w:tcPr>
            <w:tcW w:w="571" w:type="pct"/>
            <w:tcBorders>
              <w:top w:val="single" w:sz="8" w:space="0" w:color="auto"/>
              <w:bottom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5.1882</w:t>
            </w:r>
          </w:p>
        </w:tc>
      </w:tr>
      <w:tr w:rsidR="005D4A34" w:rsidRPr="00C16659" w:rsidTr="002D14E5">
        <w:trPr>
          <w:trHeight w:val="60"/>
          <w:jc w:val="center"/>
        </w:trPr>
        <w:tc>
          <w:tcPr>
            <w:tcW w:w="1565" w:type="pct"/>
            <w:tcBorders>
              <w:top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S</w:t>
            </w:r>
          </w:p>
        </w:tc>
        <w:tc>
          <w:tcPr>
            <w:tcW w:w="403" w:type="pct"/>
            <w:tcBorders>
              <w:top w:val="single" w:sz="4" w:space="0" w:color="auto"/>
            </w:tcBorders>
            <w:shd w:val="clear" w:color="000000" w:fill="00B0F0"/>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1    </w:t>
            </w:r>
          </w:p>
        </w:tc>
        <w:tc>
          <w:tcPr>
            <w:tcW w:w="403" w:type="pct"/>
            <w:tcBorders>
              <w:top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3    </w:t>
            </w:r>
          </w:p>
        </w:tc>
        <w:tc>
          <w:tcPr>
            <w:tcW w:w="403" w:type="pct"/>
            <w:tcBorders>
              <w:top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5    </w:t>
            </w:r>
          </w:p>
        </w:tc>
        <w:tc>
          <w:tcPr>
            <w:tcW w:w="659" w:type="pct"/>
            <w:tcBorders>
              <w:top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7    </w:t>
            </w:r>
          </w:p>
        </w:tc>
        <w:tc>
          <w:tcPr>
            <w:tcW w:w="491" w:type="pct"/>
            <w:tcBorders>
              <w:top w:val="single" w:sz="4" w:space="0" w:color="auto"/>
              <w:right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9    </w:t>
            </w:r>
          </w:p>
        </w:tc>
        <w:tc>
          <w:tcPr>
            <w:tcW w:w="505" w:type="pct"/>
            <w:tcBorders>
              <w:top w:val="single" w:sz="4" w:space="0" w:color="auto"/>
              <w:left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p>
        </w:tc>
        <w:tc>
          <w:tcPr>
            <w:tcW w:w="571" w:type="pct"/>
            <w:tcBorders>
              <w:top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p>
        </w:tc>
      </w:tr>
      <w:tr w:rsidR="005D4A34" w:rsidRPr="00C16659" w:rsidTr="002D14E5">
        <w:trPr>
          <w:trHeight w:val="70"/>
          <w:jc w:val="center"/>
        </w:trPr>
        <w:tc>
          <w:tcPr>
            <w:tcW w:w="1565" w:type="pct"/>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SL</w:t>
            </w:r>
          </w:p>
        </w:tc>
        <w:tc>
          <w:tcPr>
            <w:tcW w:w="403" w:type="pct"/>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1/3</w:t>
            </w:r>
          </w:p>
        </w:tc>
        <w:tc>
          <w:tcPr>
            <w:tcW w:w="403" w:type="pct"/>
            <w:shd w:val="clear" w:color="000000" w:fill="00B0F0"/>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1    </w:t>
            </w:r>
          </w:p>
        </w:tc>
        <w:tc>
          <w:tcPr>
            <w:tcW w:w="403" w:type="pct"/>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3    </w:t>
            </w:r>
          </w:p>
        </w:tc>
        <w:tc>
          <w:tcPr>
            <w:tcW w:w="659" w:type="pct"/>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4    </w:t>
            </w:r>
          </w:p>
        </w:tc>
        <w:tc>
          <w:tcPr>
            <w:tcW w:w="491" w:type="pct"/>
            <w:tcBorders>
              <w:right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6    </w:t>
            </w:r>
          </w:p>
        </w:tc>
        <w:tc>
          <w:tcPr>
            <w:tcW w:w="505" w:type="pct"/>
            <w:tcBorders>
              <w:left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C.I</w:t>
            </w:r>
          </w:p>
        </w:tc>
        <w:tc>
          <w:tcPr>
            <w:tcW w:w="571" w:type="pct"/>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0.0471</w:t>
            </w:r>
          </w:p>
        </w:tc>
      </w:tr>
      <w:tr w:rsidR="005D4A34" w:rsidRPr="00C16659" w:rsidTr="002D14E5">
        <w:trPr>
          <w:trHeight w:val="254"/>
          <w:jc w:val="center"/>
        </w:trPr>
        <w:tc>
          <w:tcPr>
            <w:tcW w:w="1565" w:type="pct"/>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L</w:t>
            </w:r>
          </w:p>
        </w:tc>
        <w:tc>
          <w:tcPr>
            <w:tcW w:w="403" w:type="pct"/>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1/5</w:t>
            </w:r>
          </w:p>
        </w:tc>
        <w:tc>
          <w:tcPr>
            <w:tcW w:w="403" w:type="pct"/>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1/3</w:t>
            </w:r>
          </w:p>
        </w:tc>
        <w:tc>
          <w:tcPr>
            <w:tcW w:w="403" w:type="pct"/>
            <w:shd w:val="clear" w:color="000000" w:fill="00B0F0"/>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1    </w:t>
            </w:r>
          </w:p>
        </w:tc>
        <w:tc>
          <w:tcPr>
            <w:tcW w:w="659" w:type="pct"/>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3    </w:t>
            </w:r>
          </w:p>
        </w:tc>
        <w:tc>
          <w:tcPr>
            <w:tcW w:w="491" w:type="pct"/>
            <w:tcBorders>
              <w:right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5    </w:t>
            </w:r>
          </w:p>
        </w:tc>
        <w:tc>
          <w:tcPr>
            <w:tcW w:w="505" w:type="pct"/>
            <w:tcBorders>
              <w:left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p>
        </w:tc>
        <w:tc>
          <w:tcPr>
            <w:tcW w:w="571" w:type="pct"/>
            <w:shd w:val="clear" w:color="auto" w:fill="auto"/>
            <w:noWrap/>
            <w:vAlign w:val="bottom"/>
            <w:hideMark/>
          </w:tcPr>
          <w:p w:rsidR="005D4A34" w:rsidRPr="00C16659" w:rsidRDefault="005D4A34" w:rsidP="00EC2A61">
            <w:pPr>
              <w:spacing w:before="0" w:after="0"/>
              <w:jc w:val="left"/>
              <w:rPr>
                <w:rFonts w:eastAsia="Times New Roman"/>
              </w:rPr>
            </w:pPr>
          </w:p>
        </w:tc>
      </w:tr>
      <w:tr w:rsidR="005D4A34" w:rsidRPr="00C16659" w:rsidTr="002D14E5">
        <w:trPr>
          <w:trHeight w:val="254"/>
          <w:jc w:val="center"/>
        </w:trPr>
        <w:tc>
          <w:tcPr>
            <w:tcW w:w="1565" w:type="pct"/>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SCL/CL</w:t>
            </w:r>
          </w:p>
        </w:tc>
        <w:tc>
          <w:tcPr>
            <w:tcW w:w="403" w:type="pct"/>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1/7</w:t>
            </w:r>
          </w:p>
        </w:tc>
        <w:tc>
          <w:tcPr>
            <w:tcW w:w="403" w:type="pct"/>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1/4</w:t>
            </w:r>
          </w:p>
        </w:tc>
        <w:tc>
          <w:tcPr>
            <w:tcW w:w="403" w:type="pct"/>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1/3</w:t>
            </w:r>
          </w:p>
        </w:tc>
        <w:tc>
          <w:tcPr>
            <w:tcW w:w="659" w:type="pct"/>
            <w:shd w:val="clear" w:color="000000" w:fill="00B0F0"/>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1    </w:t>
            </w:r>
          </w:p>
        </w:tc>
        <w:tc>
          <w:tcPr>
            <w:tcW w:w="491" w:type="pct"/>
            <w:tcBorders>
              <w:right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2    </w:t>
            </w:r>
          </w:p>
        </w:tc>
        <w:tc>
          <w:tcPr>
            <w:tcW w:w="505" w:type="pct"/>
            <w:tcBorders>
              <w:left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R. I</w:t>
            </w:r>
          </w:p>
        </w:tc>
        <w:tc>
          <w:tcPr>
            <w:tcW w:w="571" w:type="pct"/>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1.1200</w:t>
            </w:r>
          </w:p>
        </w:tc>
      </w:tr>
      <w:tr w:rsidR="005D4A34" w:rsidRPr="00C16659" w:rsidTr="002D14E5">
        <w:trPr>
          <w:trHeight w:val="254"/>
          <w:jc w:val="center"/>
        </w:trPr>
        <w:tc>
          <w:tcPr>
            <w:tcW w:w="1565" w:type="pct"/>
            <w:tcBorders>
              <w:bottom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C/SC</w:t>
            </w:r>
          </w:p>
        </w:tc>
        <w:tc>
          <w:tcPr>
            <w:tcW w:w="403" w:type="pct"/>
            <w:tcBorders>
              <w:bottom w:val="single" w:sz="4" w:space="0" w:color="auto"/>
            </w:tcBorders>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1/9</w:t>
            </w:r>
          </w:p>
        </w:tc>
        <w:tc>
          <w:tcPr>
            <w:tcW w:w="403" w:type="pct"/>
            <w:tcBorders>
              <w:bottom w:val="single" w:sz="4" w:space="0" w:color="auto"/>
            </w:tcBorders>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1/6</w:t>
            </w:r>
          </w:p>
        </w:tc>
        <w:tc>
          <w:tcPr>
            <w:tcW w:w="403" w:type="pct"/>
            <w:tcBorders>
              <w:bottom w:val="single" w:sz="4" w:space="0" w:color="auto"/>
            </w:tcBorders>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1/5</w:t>
            </w:r>
          </w:p>
        </w:tc>
        <w:tc>
          <w:tcPr>
            <w:tcW w:w="659" w:type="pct"/>
            <w:tcBorders>
              <w:bottom w:val="single" w:sz="4" w:space="0" w:color="auto"/>
            </w:tcBorders>
            <w:shd w:val="clear" w:color="000000" w:fill="DDEBF7"/>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1/2</w:t>
            </w:r>
          </w:p>
        </w:tc>
        <w:tc>
          <w:tcPr>
            <w:tcW w:w="491" w:type="pct"/>
            <w:tcBorders>
              <w:bottom w:val="single" w:sz="4" w:space="0" w:color="auto"/>
              <w:right w:val="single" w:sz="4" w:space="0" w:color="auto"/>
            </w:tcBorders>
            <w:shd w:val="clear" w:color="000000" w:fill="00B0F0"/>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1    </w:t>
            </w:r>
          </w:p>
        </w:tc>
        <w:tc>
          <w:tcPr>
            <w:tcW w:w="505" w:type="pct"/>
            <w:tcBorders>
              <w:left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p>
        </w:tc>
        <w:tc>
          <w:tcPr>
            <w:tcW w:w="571" w:type="pct"/>
            <w:tcBorders>
              <w:bottom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p>
        </w:tc>
      </w:tr>
      <w:tr w:rsidR="005D4A34" w:rsidRPr="00C16659" w:rsidTr="002D14E5">
        <w:trPr>
          <w:trHeight w:val="254"/>
          <w:jc w:val="center"/>
        </w:trPr>
        <w:tc>
          <w:tcPr>
            <w:tcW w:w="1565" w:type="pct"/>
            <w:tcBorders>
              <w:top w:val="single" w:sz="4" w:space="0" w:color="auto"/>
              <w:bottom w:val="single" w:sz="8" w:space="0" w:color="auto"/>
            </w:tcBorders>
            <w:shd w:val="clear" w:color="auto" w:fill="auto"/>
            <w:noWrap/>
            <w:vAlign w:val="bottom"/>
            <w:hideMark/>
          </w:tcPr>
          <w:p w:rsidR="005D4A34" w:rsidRPr="00C16659" w:rsidRDefault="005D4A34" w:rsidP="00EC2A61">
            <w:pPr>
              <w:spacing w:before="0" w:after="0"/>
              <w:rPr>
                <w:rFonts w:eastAsia="Times New Roman"/>
              </w:rPr>
            </w:pPr>
            <w:r w:rsidRPr="00C16659">
              <w:rPr>
                <w:rFonts w:eastAsia="Times New Roman"/>
              </w:rPr>
              <w:t>Relative weight (%)</w:t>
            </w:r>
          </w:p>
        </w:tc>
        <w:tc>
          <w:tcPr>
            <w:tcW w:w="403" w:type="pct"/>
            <w:tcBorders>
              <w:top w:val="single" w:sz="4" w:space="0" w:color="auto"/>
              <w:bottom w:val="single" w:sz="8"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51</w:t>
            </w:r>
          </w:p>
        </w:tc>
        <w:tc>
          <w:tcPr>
            <w:tcW w:w="403" w:type="pct"/>
            <w:tcBorders>
              <w:top w:val="single" w:sz="4" w:space="0" w:color="auto"/>
              <w:bottom w:val="single" w:sz="8"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25</w:t>
            </w:r>
          </w:p>
        </w:tc>
        <w:tc>
          <w:tcPr>
            <w:tcW w:w="403" w:type="pct"/>
            <w:tcBorders>
              <w:top w:val="single" w:sz="4" w:space="0" w:color="auto"/>
              <w:bottom w:val="single" w:sz="8"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14</w:t>
            </w:r>
          </w:p>
        </w:tc>
        <w:tc>
          <w:tcPr>
            <w:tcW w:w="659" w:type="pct"/>
            <w:tcBorders>
              <w:top w:val="single" w:sz="4" w:space="0" w:color="auto"/>
              <w:bottom w:val="single" w:sz="8"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6</w:t>
            </w:r>
          </w:p>
        </w:tc>
        <w:tc>
          <w:tcPr>
            <w:tcW w:w="491" w:type="pct"/>
            <w:tcBorders>
              <w:top w:val="single" w:sz="4" w:space="0" w:color="auto"/>
              <w:bottom w:val="single" w:sz="8" w:space="0" w:color="auto"/>
              <w:right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4</w:t>
            </w:r>
          </w:p>
        </w:tc>
        <w:tc>
          <w:tcPr>
            <w:tcW w:w="505" w:type="pct"/>
            <w:tcBorders>
              <w:top w:val="single" w:sz="4" w:space="0" w:color="auto"/>
              <w:left w:val="single" w:sz="4" w:space="0" w:color="auto"/>
              <w:bottom w:val="single" w:sz="8"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C.R</w:t>
            </w:r>
          </w:p>
        </w:tc>
        <w:tc>
          <w:tcPr>
            <w:tcW w:w="571" w:type="pct"/>
            <w:tcBorders>
              <w:top w:val="single" w:sz="4" w:space="0" w:color="auto"/>
              <w:bottom w:val="single" w:sz="8"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0.04</w:t>
            </w:r>
          </w:p>
        </w:tc>
      </w:tr>
    </w:tbl>
    <w:p w:rsidR="005D4A34" w:rsidRPr="00C16659" w:rsidRDefault="005D4A34" w:rsidP="00EC2A61">
      <w:r w:rsidRPr="00C16659">
        <w:rPr>
          <w:b/>
          <w:bCs/>
        </w:rPr>
        <w:t>Note:</w:t>
      </w:r>
      <w:r w:rsidRPr="00C16659">
        <w:t xml:space="preserve"> S-Sand, SL-Sandy loam, L-Loam, SCL-Sandy clay loam, CL-clay loam, C-Clay (light), SC-Sand clay</w:t>
      </w:r>
    </w:p>
    <w:p w:rsidR="005D4A34" w:rsidRPr="00C16659" w:rsidRDefault="005D4A34" w:rsidP="00EC2A61">
      <w:pPr>
        <w:rPr>
          <w:iCs/>
        </w:rPr>
      </w:pPr>
      <w:bookmarkStart w:id="283" w:name="_Toc65064360"/>
      <w:bookmarkStart w:id="284" w:name="_Toc68761666"/>
      <w:r w:rsidRPr="00C16659">
        <w:rPr>
          <w:iCs/>
        </w:rPr>
        <w:t xml:space="preserve">Appendix table </w:t>
      </w:r>
      <w:r w:rsidRPr="00C16659">
        <w:rPr>
          <w:iCs/>
        </w:rPr>
        <w:fldChar w:fldCharType="begin"/>
      </w:r>
      <w:r w:rsidRPr="00C16659">
        <w:rPr>
          <w:iCs/>
        </w:rPr>
        <w:instrText xml:space="preserve"> SEQ Appendix_table \* ARABIC </w:instrText>
      </w:r>
      <w:r w:rsidRPr="00C16659">
        <w:rPr>
          <w:iCs/>
        </w:rPr>
        <w:fldChar w:fldCharType="separate"/>
      </w:r>
      <w:r w:rsidR="00BD510E">
        <w:rPr>
          <w:iCs/>
          <w:noProof/>
        </w:rPr>
        <w:t>17</w:t>
      </w:r>
      <w:r w:rsidRPr="00C16659">
        <w:rPr>
          <w:iCs/>
        </w:rPr>
        <w:fldChar w:fldCharType="end"/>
      </w:r>
      <w:r w:rsidRPr="00C16659">
        <w:rPr>
          <w:iCs/>
        </w:rPr>
        <w:t>: AHP matrix, relative weight, and CR of geologic thematic map</w:t>
      </w:r>
      <w:bookmarkEnd w:id="283"/>
      <w:bookmarkEnd w:id="284"/>
    </w:p>
    <w:tbl>
      <w:tblPr>
        <w:tblW w:w="5134" w:type="pct"/>
        <w:tblBorders>
          <w:top w:val="single" w:sz="4" w:space="0" w:color="auto"/>
          <w:bottom w:val="single" w:sz="4" w:space="0" w:color="auto"/>
        </w:tblBorders>
        <w:tblLook w:val="04A0" w:firstRow="1" w:lastRow="0" w:firstColumn="1" w:lastColumn="0" w:noHBand="0" w:noVBand="1"/>
      </w:tblPr>
      <w:tblGrid>
        <w:gridCol w:w="2202"/>
        <w:gridCol w:w="598"/>
        <w:gridCol w:w="1029"/>
        <w:gridCol w:w="1273"/>
        <w:gridCol w:w="795"/>
        <w:gridCol w:w="1260"/>
        <w:gridCol w:w="872"/>
        <w:gridCol w:w="1212"/>
      </w:tblGrid>
      <w:tr w:rsidR="005D4A34" w:rsidRPr="00C16659" w:rsidTr="002D14E5">
        <w:trPr>
          <w:trHeight w:val="228"/>
        </w:trPr>
        <w:tc>
          <w:tcPr>
            <w:tcW w:w="1191" w:type="pct"/>
            <w:tcBorders>
              <w:top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Geological unit</w:t>
            </w:r>
          </w:p>
        </w:tc>
        <w:tc>
          <w:tcPr>
            <w:tcW w:w="323" w:type="pct"/>
            <w:tcBorders>
              <w:top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Nn</w:t>
            </w:r>
          </w:p>
        </w:tc>
        <w:tc>
          <w:tcPr>
            <w:tcW w:w="556" w:type="pct"/>
            <w:tcBorders>
              <w:top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Nmt/Qg</w:t>
            </w:r>
          </w:p>
        </w:tc>
        <w:tc>
          <w:tcPr>
            <w:tcW w:w="689" w:type="pct"/>
            <w:tcBorders>
              <w:top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PNb/PNa3</w:t>
            </w:r>
          </w:p>
        </w:tc>
        <w:tc>
          <w:tcPr>
            <w:tcW w:w="430" w:type="pct"/>
            <w:tcBorders>
              <w:top w:val="single" w:sz="4" w:space="0" w:color="auto"/>
              <w:bottom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Qe/Jg</w:t>
            </w:r>
          </w:p>
        </w:tc>
        <w:tc>
          <w:tcPr>
            <w:tcW w:w="682" w:type="pct"/>
            <w:tcBorders>
              <w:top w:val="single" w:sz="4" w:space="0" w:color="auto"/>
              <w:bottom w:val="single" w:sz="4" w:space="0" w:color="auto"/>
              <w:right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PNa2/Kg1</w:t>
            </w:r>
          </w:p>
        </w:tc>
        <w:tc>
          <w:tcPr>
            <w:tcW w:w="472" w:type="pct"/>
            <w:tcBorders>
              <w:left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bCs/>
              </w:rPr>
            </w:pPr>
            <w:r w:rsidRPr="00C16659">
              <w:rPr>
                <w:rFonts w:ascii="Symbol" w:eastAsia="Times New Roman" w:hAnsi="Symbol"/>
                <w:bCs/>
              </w:rPr>
              <w:t></w:t>
            </w:r>
            <w:r w:rsidRPr="00C16659">
              <w:rPr>
                <w:rFonts w:eastAsia="Times New Roman"/>
                <w:bCs/>
              </w:rPr>
              <w:t>max</w:t>
            </w:r>
          </w:p>
        </w:tc>
        <w:tc>
          <w:tcPr>
            <w:tcW w:w="656" w:type="pct"/>
            <w:shd w:val="clear" w:color="auto" w:fill="auto"/>
            <w:noWrap/>
            <w:vAlign w:val="bottom"/>
            <w:hideMark/>
          </w:tcPr>
          <w:p w:rsidR="005D4A34" w:rsidRPr="00C16659" w:rsidRDefault="005D4A34" w:rsidP="00EC2A61">
            <w:pPr>
              <w:spacing w:before="0" w:after="0"/>
              <w:jc w:val="right"/>
              <w:rPr>
                <w:rFonts w:eastAsia="Times New Roman"/>
                <w:bCs/>
              </w:rPr>
            </w:pPr>
            <w:r w:rsidRPr="00C16659">
              <w:rPr>
                <w:rFonts w:eastAsia="Times New Roman"/>
                <w:bCs/>
              </w:rPr>
              <w:t>5.2621</w:t>
            </w:r>
          </w:p>
        </w:tc>
      </w:tr>
      <w:tr w:rsidR="005D4A34" w:rsidRPr="00C16659" w:rsidTr="002D14E5">
        <w:trPr>
          <w:trHeight w:val="33"/>
        </w:trPr>
        <w:tc>
          <w:tcPr>
            <w:tcW w:w="1191" w:type="pct"/>
            <w:tcBorders>
              <w:top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Nn</w:t>
            </w:r>
          </w:p>
        </w:tc>
        <w:tc>
          <w:tcPr>
            <w:tcW w:w="323" w:type="pct"/>
            <w:tcBorders>
              <w:top w:val="single" w:sz="4" w:space="0" w:color="auto"/>
            </w:tcBorders>
            <w:shd w:val="clear" w:color="auto" w:fill="00B0F0"/>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1    </w:t>
            </w:r>
          </w:p>
        </w:tc>
        <w:tc>
          <w:tcPr>
            <w:tcW w:w="556" w:type="pct"/>
            <w:tcBorders>
              <w:top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3    </w:t>
            </w:r>
          </w:p>
        </w:tc>
        <w:tc>
          <w:tcPr>
            <w:tcW w:w="689" w:type="pct"/>
            <w:tcBorders>
              <w:top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5    </w:t>
            </w:r>
          </w:p>
        </w:tc>
        <w:tc>
          <w:tcPr>
            <w:tcW w:w="430" w:type="pct"/>
            <w:tcBorders>
              <w:top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6    </w:t>
            </w:r>
          </w:p>
        </w:tc>
        <w:tc>
          <w:tcPr>
            <w:tcW w:w="682" w:type="pct"/>
            <w:tcBorders>
              <w:top w:val="single" w:sz="4" w:space="0" w:color="auto"/>
              <w:right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7    </w:t>
            </w:r>
          </w:p>
        </w:tc>
        <w:tc>
          <w:tcPr>
            <w:tcW w:w="472" w:type="pct"/>
            <w:tcBorders>
              <w:left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p>
        </w:tc>
        <w:tc>
          <w:tcPr>
            <w:tcW w:w="656" w:type="pct"/>
            <w:shd w:val="clear" w:color="auto" w:fill="auto"/>
            <w:noWrap/>
            <w:vAlign w:val="bottom"/>
            <w:hideMark/>
          </w:tcPr>
          <w:p w:rsidR="005D4A34" w:rsidRPr="00C16659" w:rsidRDefault="005D4A34" w:rsidP="00EC2A61">
            <w:pPr>
              <w:spacing w:before="0" w:after="0"/>
              <w:jc w:val="left"/>
              <w:rPr>
                <w:rFonts w:eastAsia="Times New Roman"/>
              </w:rPr>
            </w:pPr>
          </w:p>
        </w:tc>
      </w:tr>
      <w:tr w:rsidR="005D4A34" w:rsidRPr="00C16659" w:rsidTr="002D14E5">
        <w:trPr>
          <w:trHeight w:val="33"/>
        </w:trPr>
        <w:tc>
          <w:tcPr>
            <w:tcW w:w="1191" w:type="pct"/>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Nmt/Qg</w:t>
            </w:r>
          </w:p>
        </w:tc>
        <w:tc>
          <w:tcPr>
            <w:tcW w:w="323" w:type="pct"/>
            <w:shd w:val="clear" w:color="auto" w:fill="DBE5F1" w:themeFill="accent1" w:themeFillTint="33"/>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1/3</w:t>
            </w:r>
          </w:p>
        </w:tc>
        <w:tc>
          <w:tcPr>
            <w:tcW w:w="556" w:type="pct"/>
            <w:shd w:val="clear" w:color="auto" w:fill="00B0F0"/>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1    </w:t>
            </w:r>
          </w:p>
        </w:tc>
        <w:tc>
          <w:tcPr>
            <w:tcW w:w="689" w:type="pct"/>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3    </w:t>
            </w:r>
          </w:p>
        </w:tc>
        <w:tc>
          <w:tcPr>
            <w:tcW w:w="430" w:type="pct"/>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4    </w:t>
            </w:r>
          </w:p>
        </w:tc>
        <w:tc>
          <w:tcPr>
            <w:tcW w:w="682" w:type="pct"/>
            <w:tcBorders>
              <w:right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5    </w:t>
            </w:r>
          </w:p>
        </w:tc>
        <w:tc>
          <w:tcPr>
            <w:tcW w:w="472" w:type="pct"/>
            <w:tcBorders>
              <w:left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bCs/>
              </w:rPr>
            </w:pPr>
            <w:r w:rsidRPr="00C16659">
              <w:rPr>
                <w:rFonts w:eastAsia="Times New Roman"/>
                <w:bCs/>
              </w:rPr>
              <w:t>C.I</w:t>
            </w:r>
          </w:p>
        </w:tc>
        <w:tc>
          <w:tcPr>
            <w:tcW w:w="656" w:type="pct"/>
            <w:shd w:val="clear" w:color="auto" w:fill="auto"/>
            <w:noWrap/>
            <w:vAlign w:val="bottom"/>
            <w:hideMark/>
          </w:tcPr>
          <w:p w:rsidR="005D4A34" w:rsidRPr="00C16659" w:rsidRDefault="005D4A34" w:rsidP="00EC2A61">
            <w:pPr>
              <w:spacing w:before="0" w:after="0"/>
              <w:jc w:val="right"/>
              <w:rPr>
                <w:rFonts w:eastAsia="Times New Roman"/>
                <w:bCs/>
              </w:rPr>
            </w:pPr>
            <w:r w:rsidRPr="00C16659">
              <w:rPr>
                <w:rFonts w:eastAsia="Times New Roman"/>
                <w:bCs/>
              </w:rPr>
              <w:t>0.0655</w:t>
            </w:r>
          </w:p>
        </w:tc>
      </w:tr>
      <w:tr w:rsidR="005D4A34" w:rsidRPr="00C16659" w:rsidTr="002D14E5">
        <w:trPr>
          <w:trHeight w:val="33"/>
        </w:trPr>
        <w:tc>
          <w:tcPr>
            <w:tcW w:w="1191" w:type="pct"/>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PNb/PNa3</w:t>
            </w:r>
          </w:p>
        </w:tc>
        <w:tc>
          <w:tcPr>
            <w:tcW w:w="323" w:type="pct"/>
            <w:shd w:val="clear" w:color="auto" w:fill="DBE5F1" w:themeFill="accent1" w:themeFillTint="33"/>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1/5</w:t>
            </w:r>
          </w:p>
        </w:tc>
        <w:tc>
          <w:tcPr>
            <w:tcW w:w="556" w:type="pct"/>
            <w:shd w:val="clear" w:color="auto" w:fill="DBE5F1" w:themeFill="accent1" w:themeFillTint="33"/>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1/3</w:t>
            </w:r>
          </w:p>
        </w:tc>
        <w:tc>
          <w:tcPr>
            <w:tcW w:w="689" w:type="pct"/>
            <w:shd w:val="clear" w:color="auto" w:fill="00B0F0"/>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1    </w:t>
            </w:r>
          </w:p>
        </w:tc>
        <w:tc>
          <w:tcPr>
            <w:tcW w:w="430" w:type="pct"/>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3    </w:t>
            </w:r>
          </w:p>
        </w:tc>
        <w:tc>
          <w:tcPr>
            <w:tcW w:w="682" w:type="pct"/>
            <w:tcBorders>
              <w:right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5    </w:t>
            </w:r>
          </w:p>
        </w:tc>
        <w:tc>
          <w:tcPr>
            <w:tcW w:w="472" w:type="pct"/>
            <w:tcBorders>
              <w:left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p>
        </w:tc>
        <w:tc>
          <w:tcPr>
            <w:tcW w:w="656" w:type="pct"/>
            <w:shd w:val="clear" w:color="auto" w:fill="auto"/>
            <w:noWrap/>
            <w:vAlign w:val="bottom"/>
            <w:hideMark/>
          </w:tcPr>
          <w:p w:rsidR="005D4A34" w:rsidRPr="00C16659" w:rsidRDefault="005D4A34" w:rsidP="00EC2A61">
            <w:pPr>
              <w:spacing w:before="0" w:after="0"/>
              <w:jc w:val="left"/>
              <w:rPr>
                <w:rFonts w:eastAsia="Times New Roman"/>
              </w:rPr>
            </w:pPr>
          </w:p>
        </w:tc>
      </w:tr>
      <w:tr w:rsidR="005D4A34" w:rsidRPr="00C16659" w:rsidTr="002D14E5">
        <w:trPr>
          <w:trHeight w:val="33"/>
        </w:trPr>
        <w:tc>
          <w:tcPr>
            <w:tcW w:w="1191" w:type="pct"/>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Qe/Jg</w:t>
            </w:r>
          </w:p>
        </w:tc>
        <w:tc>
          <w:tcPr>
            <w:tcW w:w="323" w:type="pct"/>
            <w:shd w:val="clear" w:color="auto" w:fill="DBE5F1" w:themeFill="accent1" w:themeFillTint="33"/>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1/6</w:t>
            </w:r>
          </w:p>
        </w:tc>
        <w:tc>
          <w:tcPr>
            <w:tcW w:w="556" w:type="pct"/>
            <w:shd w:val="clear" w:color="auto" w:fill="DBE5F1" w:themeFill="accent1" w:themeFillTint="33"/>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1/4</w:t>
            </w:r>
          </w:p>
        </w:tc>
        <w:tc>
          <w:tcPr>
            <w:tcW w:w="689" w:type="pct"/>
            <w:shd w:val="clear" w:color="auto" w:fill="DBE5F1" w:themeFill="accent1" w:themeFillTint="33"/>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1/3</w:t>
            </w:r>
          </w:p>
        </w:tc>
        <w:tc>
          <w:tcPr>
            <w:tcW w:w="430" w:type="pct"/>
            <w:shd w:val="clear" w:color="auto" w:fill="00B0F0"/>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1    </w:t>
            </w:r>
          </w:p>
        </w:tc>
        <w:tc>
          <w:tcPr>
            <w:tcW w:w="682" w:type="pct"/>
            <w:tcBorders>
              <w:right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2    </w:t>
            </w:r>
          </w:p>
        </w:tc>
        <w:tc>
          <w:tcPr>
            <w:tcW w:w="472" w:type="pct"/>
            <w:tcBorders>
              <w:left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bCs/>
              </w:rPr>
            </w:pPr>
            <w:r w:rsidRPr="00C16659">
              <w:rPr>
                <w:rFonts w:eastAsia="Times New Roman"/>
                <w:bCs/>
              </w:rPr>
              <w:t>R.I</w:t>
            </w:r>
          </w:p>
        </w:tc>
        <w:tc>
          <w:tcPr>
            <w:tcW w:w="656" w:type="pct"/>
            <w:shd w:val="clear" w:color="auto" w:fill="auto"/>
            <w:noWrap/>
            <w:vAlign w:val="bottom"/>
            <w:hideMark/>
          </w:tcPr>
          <w:p w:rsidR="005D4A34" w:rsidRPr="00C16659" w:rsidRDefault="005D4A34" w:rsidP="00EC2A61">
            <w:pPr>
              <w:spacing w:before="0" w:after="0"/>
              <w:jc w:val="right"/>
              <w:rPr>
                <w:rFonts w:eastAsia="Times New Roman"/>
                <w:bCs/>
              </w:rPr>
            </w:pPr>
            <w:r w:rsidRPr="00C16659">
              <w:rPr>
                <w:rFonts w:eastAsia="Times New Roman"/>
                <w:bCs/>
              </w:rPr>
              <w:t>1.1200</w:t>
            </w:r>
          </w:p>
        </w:tc>
      </w:tr>
      <w:tr w:rsidR="005D4A34" w:rsidRPr="00C16659" w:rsidTr="002D14E5">
        <w:trPr>
          <w:trHeight w:val="33"/>
        </w:trPr>
        <w:tc>
          <w:tcPr>
            <w:tcW w:w="1191" w:type="pct"/>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PNa2/Kg1</w:t>
            </w:r>
          </w:p>
        </w:tc>
        <w:tc>
          <w:tcPr>
            <w:tcW w:w="323" w:type="pct"/>
            <w:shd w:val="clear" w:color="auto" w:fill="DBE5F1" w:themeFill="accent1" w:themeFillTint="33"/>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1/7</w:t>
            </w:r>
          </w:p>
        </w:tc>
        <w:tc>
          <w:tcPr>
            <w:tcW w:w="556" w:type="pct"/>
            <w:shd w:val="clear" w:color="auto" w:fill="DBE5F1" w:themeFill="accent1" w:themeFillTint="33"/>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1/5</w:t>
            </w:r>
          </w:p>
        </w:tc>
        <w:tc>
          <w:tcPr>
            <w:tcW w:w="689" w:type="pct"/>
            <w:shd w:val="clear" w:color="auto" w:fill="DBE5F1" w:themeFill="accent1" w:themeFillTint="33"/>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1/5</w:t>
            </w:r>
          </w:p>
        </w:tc>
        <w:tc>
          <w:tcPr>
            <w:tcW w:w="430" w:type="pct"/>
            <w:shd w:val="clear" w:color="auto" w:fill="DBE5F1" w:themeFill="accent1" w:themeFillTint="33"/>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 1/2</w:t>
            </w:r>
          </w:p>
        </w:tc>
        <w:tc>
          <w:tcPr>
            <w:tcW w:w="682" w:type="pct"/>
            <w:tcBorders>
              <w:right w:val="single" w:sz="4" w:space="0" w:color="auto"/>
            </w:tcBorders>
            <w:shd w:val="clear" w:color="auto" w:fill="00B0F0"/>
            <w:noWrap/>
            <w:vAlign w:val="bottom"/>
            <w:hideMark/>
          </w:tcPr>
          <w:p w:rsidR="005D4A34" w:rsidRPr="00C16659" w:rsidRDefault="005D4A34" w:rsidP="00EC2A61">
            <w:pPr>
              <w:spacing w:before="0" w:after="0"/>
              <w:jc w:val="right"/>
              <w:rPr>
                <w:rFonts w:eastAsia="Times New Roman"/>
              </w:rPr>
            </w:pPr>
            <w:r w:rsidRPr="00C16659">
              <w:rPr>
                <w:rFonts w:eastAsia="Times New Roman"/>
              </w:rPr>
              <w:t xml:space="preserve">1    </w:t>
            </w:r>
          </w:p>
        </w:tc>
        <w:tc>
          <w:tcPr>
            <w:tcW w:w="472" w:type="pct"/>
            <w:tcBorders>
              <w:left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p>
        </w:tc>
        <w:tc>
          <w:tcPr>
            <w:tcW w:w="656" w:type="pct"/>
            <w:shd w:val="clear" w:color="auto" w:fill="auto"/>
            <w:noWrap/>
            <w:vAlign w:val="bottom"/>
            <w:hideMark/>
          </w:tcPr>
          <w:p w:rsidR="005D4A34" w:rsidRPr="00C16659" w:rsidRDefault="005D4A34" w:rsidP="00EC2A61">
            <w:pPr>
              <w:spacing w:before="0" w:after="0"/>
              <w:jc w:val="left"/>
              <w:rPr>
                <w:rFonts w:eastAsia="Times New Roman"/>
              </w:rPr>
            </w:pPr>
          </w:p>
        </w:tc>
      </w:tr>
      <w:tr w:rsidR="005D4A34" w:rsidRPr="00C16659" w:rsidTr="002D14E5">
        <w:trPr>
          <w:trHeight w:val="33"/>
        </w:trPr>
        <w:tc>
          <w:tcPr>
            <w:tcW w:w="1191" w:type="pct"/>
            <w:shd w:val="clear" w:color="auto" w:fill="auto"/>
            <w:noWrap/>
            <w:vAlign w:val="bottom"/>
            <w:hideMark/>
          </w:tcPr>
          <w:p w:rsidR="005D4A34" w:rsidRPr="00C16659" w:rsidRDefault="005D4A34" w:rsidP="00EC2A61">
            <w:pPr>
              <w:spacing w:before="0" w:after="0"/>
              <w:jc w:val="left"/>
              <w:rPr>
                <w:rFonts w:eastAsia="Times New Roman"/>
              </w:rPr>
            </w:pPr>
            <w:r w:rsidRPr="00C16659">
              <w:rPr>
                <w:rFonts w:eastAsia="Times New Roman"/>
              </w:rPr>
              <w:t>Relative weight (%)</w:t>
            </w:r>
          </w:p>
        </w:tc>
        <w:tc>
          <w:tcPr>
            <w:tcW w:w="323" w:type="pct"/>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49</w:t>
            </w:r>
          </w:p>
        </w:tc>
        <w:tc>
          <w:tcPr>
            <w:tcW w:w="556" w:type="pct"/>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24</w:t>
            </w:r>
          </w:p>
        </w:tc>
        <w:tc>
          <w:tcPr>
            <w:tcW w:w="689" w:type="pct"/>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15</w:t>
            </w:r>
          </w:p>
        </w:tc>
        <w:tc>
          <w:tcPr>
            <w:tcW w:w="430" w:type="pct"/>
            <w:shd w:val="clear" w:color="auto" w:fill="auto"/>
            <w:noWrap/>
            <w:vAlign w:val="bottom"/>
            <w:hideMark/>
          </w:tcPr>
          <w:p w:rsidR="005D4A34" w:rsidRPr="00C16659" w:rsidRDefault="005D4A34" w:rsidP="00EC2A61">
            <w:pPr>
              <w:spacing w:before="0" w:after="0"/>
              <w:jc w:val="center"/>
              <w:rPr>
                <w:rFonts w:eastAsia="Times New Roman"/>
              </w:rPr>
            </w:pPr>
            <w:r w:rsidRPr="00C16659">
              <w:rPr>
                <w:rFonts w:eastAsia="Times New Roman"/>
              </w:rPr>
              <w:t>7</w:t>
            </w:r>
          </w:p>
        </w:tc>
        <w:tc>
          <w:tcPr>
            <w:tcW w:w="682" w:type="pct"/>
            <w:tcBorders>
              <w:bottom w:val="single" w:sz="4" w:space="0" w:color="auto"/>
              <w:right w:val="single" w:sz="4" w:space="0" w:color="auto"/>
            </w:tcBorders>
            <w:shd w:val="clear" w:color="auto" w:fill="auto"/>
            <w:noWrap/>
            <w:vAlign w:val="bottom"/>
            <w:hideMark/>
          </w:tcPr>
          <w:p w:rsidR="005D4A34" w:rsidRPr="00C16659" w:rsidRDefault="005D4A34" w:rsidP="00EC2A61">
            <w:pPr>
              <w:spacing w:before="0" w:after="0"/>
              <w:jc w:val="right"/>
              <w:rPr>
                <w:rFonts w:eastAsia="Times New Roman"/>
              </w:rPr>
            </w:pPr>
            <w:r w:rsidRPr="00C16659">
              <w:rPr>
                <w:rFonts w:eastAsia="Times New Roman"/>
              </w:rPr>
              <w:t>5</w:t>
            </w:r>
          </w:p>
        </w:tc>
        <w:tc>
          <w:tcPr>
            <w:tcW w:w="472" w:type="pct"/>
            <w:tcBorders>
              <w:left w:val="single" w:sz="4" w:space="0" w:color="auto"/>
            </w:tcBorders>
            <w:shd w:val="clear" w:color="auto" w:fill="auto"/>
            <w:noWrap/>
            <w:vAlign w:val="bottom"/>
            <w:hideMark/>
          </w:tcPr>
          <w:p w:rsidR="005D4A34" w:rsidRPr="00C16659" w:rsidRDefault="005D4A34" w:rsidP="00EC2A61">
            <w:pPr>
              <w:spacing w:before="0" w:after="0"/>
              <w:jc w:val="left"/>
              <w:rPr>
                <w:rFonts w:eastAsia="Times New Roman"/>
                <w:bCs/>
              </w:rPr>
            </w:pPr>
            <w:r w:rsidRPr="00C16659">
              <w:rPr>
                <w:rFonts w:eastAsia="Times New Roman"/>
                <w:bCs/>
              </w:rPr>
              <w:t>CR</w:t>
            </w:r>
          </w:p>
        </w:tc>
        <w:tc>
          <w:tcPr>
            <w:tcW w:w="656" w:type="pct"/>
            <w:shd w:val="clear" w:color="auto" w:fill="auto"/>
            <w:noWrap/>
            <w:vAlign w:val="bottom"/>
            <w:hideMark/>
          </w:tcPr>
          <w:p w:rsidR="005D4A34" w:rsidRPr="00C16659" w:rsidRDefault="005D4A34" w:rsidP="00EC2A61">
            <w:pPr>
              <w:spacing w:before="0" w:after="0"/>
              <w:jc w:val="right"/>
              <w:rPr>
                <w:rFonts w:eastAsia="Times New Roman"/>
                <w:bCs/>
              </w:rPr>
            </w:pPr>
            <w:r w:rsidRPr="00C16659">
              <w:rPr>
                <w:rFonts w:eastAsia="Times New Roman"/>
                <w:bCs/>
              </w:rPr>
              <w:t>0.05</w:t>
            </w:r>
          </w:p>
        </w:tc>
      </w:tr>
    </w:tbl>
    <w:p w:rsidR="005D4A34" w:rsidRPr="00C16659" w:rsidRDefault="005D4A34" w:rsidP="00A80CD7">
      <w:pPr>
        <w:spacing w:before="240"/>
      </w:pPr>
    </w:p>
    <w:sectPr w:rsidR="005D4A34" w:rsidRPr="00C16659" w:rsidSect="00D73265">
      <w:headerReference w:type="default" r:id="rId58"/>
      <w:footerReference w:type="default" r:id="rId59"/>
      <w:pgSz w:w="11909" w:h="16834" w:code="9"/>
      <w:pgMar w:top="1699" w:right="1138" w:bottom="1411" w:left="1987"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E7961" w:rsidRDefault="006E7961" w:rsidP="00491A0D">
      <w:pPr>
        <w:spacing w:after="0" w:line="240" w:lineRule="auto"/>
      </w:pPr>
      <w:r>
        <w:separator/>
      </w:r>
    </w:p>
  </w:endnote>
  <w:endnote w:type="continuationSeparator" w:id="0">
    <w:p w:rsidR="006E7961" w:rsidRDefault="006E7961" w:rsidP="00491A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TimesNewRomanPS-ItalicMT">
    <w:altName w:val="Times New Roman"/>
    <w:panose1 w:val="00000000000000000000"/>
    <w:charset w:val="00"/>
    <w:family w:val="roman"/>
    <w:notTrueType/>
    <w:pitch w:val="default"/>
  </w:font>
  <w:font w:name="Arial-ItalicMT">
    <w:altName w:val="Times New Roman"/>
    <w:panose1 w:val="00000000000000000000"/>
    <w:charset w:val="00"/>
    <w:family w:val="roman"/>
    <w:notTrueType/>
    <w:pitch w:val="default"/>
  </w:font>
  <w:font w:name="Arial">
    <w:panose1 w:val="020B0604020202020204"/>
    <w:charset w:val="00"/>
    <w:family w:val="swiss"/>
    <w:pitch w:val="variable"/>
    <w:sig w:usb0="E0002E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TimesNewRomanPSMT">
    <w:altName w:val="Arial Unicode MS"/>
    <w:panose1 w:val="00000000000000000000"/>
    <w:charset w:val="81"/>
    <w:family w:val="auto"/>
    <w:notTrueType/>
    <w:pitch w:val="default"/>
    <w:sig w:usb0="00000000" w:usb1="09070000" w:usb2="00000010" w:usb3="00000000" w:csb0="000A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46679160"/>
      <w:docPartObj>
        <w:docPartGallery w:val="Page Numbers (Bottom of Page)"/>
        <w:docPartUnique/>
      </w:docPartObj>
    </w:sdtPr>
    <w:sdtEndPr>
      <w:rPr>
        <w:noProof/>
      </w:rPr>
    </w:sdtEndPr>
    <w:sdtContent>
      <w:p w:rsidR="00B24F7C" w:rsidRDefault="00B24F7C">
        <w:pPr>
          <w:pStyle w:val="Footer"/>
          <w:jc w:val="center"/>
        </w:pPr>
        <w:r>
          <w:fldChar w:fldCharType="begin"/>
        </w:r>
        <w:r>
          <w:instrText xml:space="preserve"> PAGE   \* MERGEFORMAT </w:instrText>
        </w:r>
        <w:r>
          <w:fldChar w:fldCharType="separate"/>
        </w:r>
        <w:r w:rsidR="00BD510E">
          <w:rPr>
            <w:noProof/>
          </w:rPr>
          <w:t>xiii</w:t>
        </w:r>
        <w:r>
          <w:rPr>
            <w:noProof/>
          </w:rPr>
          <w:fldChar w:fldCharType="end"/>
        </w:r>
      </w:p>
    </w:sdtContent>
  </w:sdt>
  <w:p w:rsidR="00B24F7C" w:rsidRDefault="00B24F7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41701761"/>
      <w:docPartObj>
        <w:docPartGallery w:val="Page Numbers (Bottom of Page)"/>
        <w:docPartUnique/>
      </w:docPartObj>
    </w:sdtPr>
    <w:sdtEndPr>
      <w:rPr>
        <w:noProof/>
      </w:rPr>
    </w:sdtEndPr>
    <w:sdtContent>
      <w:p w:rsidR="00B24F7C" w:rsidRDefault="00B24F7C">
        <w:pPr>
          <w:pStyle w:val="Footer"/>
          <w:jc w:val="center"/>
        </w:pPr>
        <w:r>
          <w:fldChar w:fldCharType="begin"/>
        </w:r>
        <w:r>
          <w:instrText xml:space="preserve"> PAGE   \* MERGEFORMAT </w:instrText>
        </w:r>
        <w:r>
          <w:fldChar w:fldCharType="separate"/>
        </w:r>
        <w:r w:rsidR="00BD510E">
          <w:rPr>
            <w:noProof/>
          </w:rPr>
          <w:t>10</w:t>
        </w:r>
        <w:r>
          <w:rPr>
            <w:noProof/>
          </w:rPr>
          <w:fldChar w:fldCharType="end"/>
        </w:r>
      </w:p>
    </w:sdtContent>
  </w:sdt>
  <w:p w:rsidR="00B24F7C" w:rsidRPr="006B7BEC" w:rsidRDefault="00B24F7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E7961" w:rsidRDefault="006E7961" w:rsidP="00491A0D">
      <w:pPr>
        <w:spacing w:after="0" w:line="240" w:lineRule="auto"/>
      </w:pPr>
      <w:r>
        <w:separator/>
      </w:r>
    </w:p>
  </w:footnote>
  <w:footnote w:type="continuationSeparator" w:id="0">
    <w:p w:rsidR="006E7961" w:rsidRDefault="006E7961" w:rsidP="00491A0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24F7C" w:rsidRPr="00594BD6" w:rsidRDefault="00B24F7C" w:rsidP="00594BD6">
    <w:pPr>
      <w:pStyle w:val="Header"/>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24F7C" w:rsidRPr="00594BD6" w:rsidRDefault="00B24F7C" w:rsidP="00594BD6">
    <w:pPr>
      <w:pStyle w:val="Header"/>
      <w:jc w:val="cent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24F7C" w:rsidRDefault="00B24F7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E51E99"/>
    <w:multiLevelType w:val="hybridMultilevel"/>
    <w:tmpl w:val="984643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AAC0F81"/>
    <w:multiLevelType w:val="hybridMultilevel"/>
    <w:tmpl w:val="22EAEE9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FE91479"/>
    <w:multiLevelType w:val="multilevel"/>
    <w:tmpl w:val="0409001F"/>
    <w:lvl w:ilvl="0">
      <w:start w:val="1"/>
      <w:numFmt w:val="decimal"/>
      <w:lvlText w:val="%1."/>
      <w:lvlJc w:val="left"/>
      <w:pPr>
        <w:ind w:left="1080" w:hanging="360"/>
      </w:p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3" w15:restartNumberingAfterBreak="0">
    <w:nsid w:val="120333D6"/>
    <w:multiLevelType w:val="hybridMultilevel"/>
    <w:tmpl w:val="06B2500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2C703AA"/>
    <w:multiLevelType w:val="hybridMultilevel"/>
    <w:tmpl w:val="7ECCE536"/>
    <w:lvl w:ilvl="0" w:tplc="F0D6FD14">
      <w:start w:val="1"/>
      <w:numFmt w:val="lowerRoman"/>
      <w:lvlText w:val="%1)"/>
      <w:lvlJc w:val="left"/>
      <w:pPr>
        <w:ind w:left="720" w:hanging="360"/>
      </w:pPr>
      <w:rPr>
        <w:rFonts w:ascii="Times New Roman" w:eastAsia="Calibr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6921D3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C3B4C52"/>
    <w:multiLevelType w:val="hybridMultilevel"/>
    <w:tmpl w:val="F5C2DD66"/>
    <w:lvl w:ilvl="0" w:tplc="43384A82">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A647D54"/>
    <w:multiLevelType w:val="multilevel"/>
    <w:tmpl w:val="884064AE"/>
    <w:lvl w:ilvl="0">
      <w:start w:val="1"/>
      <w:numFmt w:val="decimal"/>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8" w15:restartNumberingAfterBreak="0">
    <w:nsid w:val="2BE64ECB"/>
    <w:multiLevelType w:val="hybridMultilevel"/>
    <w:tmpl w:val="064E492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3AC7EFD"/>
    <w:multiLevelType w:val="hybridMultilevel"/>
    <w:tmpl w:val="4B4868B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6506C35"/>
    <w:multiLevelType w:val="hybridMultilevel"/>
    <w:tmpl w:val="916EA06A"/>
    <w:lvl w:ilvl="0" w:tplc="DC681D4E">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F5F6CF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498A704C"/>
    <w:multiLevelType w:val="hybridMultilevel"/>
    <w:tmpl w:val="7C763BDA"/>
    <w:lvl w:ilvl="0" w:tplc="07C20D6E">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BB659F5"/>
    <w:multiLevelType w:val="hybridMultilevel"/>
    <w:tmpl w:val="A6A20FA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E2A65ED"/>
    <w:multiLevelType w:val="multilevel"/>
    <w:tmpl w:val="25D26FF2"/>
    <w:lvl w:ilvl="0">
      <w:start w:val="1"/>
      <w:numFmt w:val="decimal"/>
      <w:lvlText w:val="%1."/>
      <w:lvlJc w:val="left"/>
      <w:pPr>
        <w:ind w:left="360" w:hanging="360"/>
      </w:pPr>
      <w:rPr>
        <w:rFonts w:ascii="Times New Roman" w:eastAsiaTheme="majorEastAsia" w:hAnsi="Times New Roman" w:cs="Times New Roman"/>
        <w:b/>
      </w:rPr>
    </w:lvl>
    <w:lvl w:ilvl="1">
      <w:start w:val="1"/>
      <w:numFmt w:val="decimal"/>
      <w:lvlText w:val="%1.%2."/>
      <w:lvlJc w:val="left"/>
      <w:pPr>
        <w:ind w:left="792" w:hanging="432"/>
      </w:pPr>
      <w:rPr>
        <w:b/>
      </w:rPr>
    </w:lvl>
    <w:lvl w:ilvl="2">
      <w:start w:val="1"/>
      <w:numFmt w:val="decimal"/>
      <w:lvlText w:val="%1.%2.%3."/>
      <w:lvlJc w:val="left"/>
      <w:pPr>
        <w:ind w:left="1224" w:hanging="504"/>
      </w:pPr>
      <w:rPr>
        <w:b/>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563B4F2C"/>
    <w:multiLevelType w:val="hybridMultilevel"/>
    <w:tmpl w:val="1C2E5B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73B4D7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57FD5BA0"/>
    <w:multiLevelType w:val="hybridMultilevel"/>
    <w:tmpl w:val="ED1CF250"/>
    <w:lvl w:ilvl="0" w:tplc="9684EBD2">
      <w:start w:val="1"/>
      <w:numFmt w:val="lowerRoman"/>
      <w:lvlText w:val="%1)"/>
      <w:lvlJc w:val="left"/>
      <w:pPr>
        <w:ind w:left="1080" w:hanging="360"/>
      </w:pPr>
      <w:rPr>
        <w:rFonts w:ascii="Times New Roman" w:eastAsia="Calibri" w:hAnsi="Times New Roman" w:cs="Times New Roman"/>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581A258F"/>
    <w:multiLevelType w:val="hybridMultilevel"/>
    <w:tmpl w:val="53485A4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2051533"/>
    <w:multiLevelType w:val="hybridMultilevel"/>
    <w:tmpl w:val="032AD6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AA20FB8"/>
    <w:multiLevelType w:val="multilevel"/>
    <w:tmpl w:val="EC4EF4A4"/>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1" w15:restartNumberingAfterBreak="0">
    <w:nsid w:val="6D8267DE"/>
    <w:multiLevelType w:val="hybridMultilevel"/>
    <w:tmpl w:val="24D684D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49A16C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78B61FBF"/>
    <w:multiLevelType w:val="hybridMultilevel"/>
    <w:tmpl w:val="9FDC420E"/>
    <w:lvl w:ilvl="0" w:tplc="DB4EF16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E7D4C26"/>
    <w:multiLevelType w:val="hybridMultilevel"/>
    <w:tmpl w:val="1A80253A"/>
    <w:lvl w:ilvl="0" w:tplc="04090001">
      <w:start w:val="1"/>
      <w:numFmt w:val="bullet"/>
      <w:lvlText w:val=""/>
      <w:lvlJc w:val="left"/>
      <w:pPr>
        <w:ind w:left="775" w:hanging="360"/>
      </w:pPr>
      <w:rPr>
        <w:rFonts w:ascii="Symbol" w:hAnsi="Symbol" w:hint="default"/>
      </w:rPr>
    </w:lvl>
    <w:lvl w:ilvl="1" w:tplc="04090003" w:tentative="1">
      <w:start w:val="1"/>
      <w:numFmt w:val="bullet"/>
      <w:lvlText w:val="o"/>
      <w:lvlJc w:val="left"/>
      <w:pPr>
        <w:ind w:left="1495" w:hanging="360"/>
      </w:pPr>
      <w:rPr>
        <w:rFonts w:ascii="Courier New" w:hAnsi="Courier New" w:cs="Courier New" w:hint="default"/>
      </w:rPr>
    </w:lvl>
    <w:lvl w:ilvl="2" w:tplc="04090005" w:tentative="1">
      <w:start w:val="1"/>
      <w:numFmt w:val="bullet"/>
      <w:lvlText w:val=""/>
      <w:lvlJc w:val="left"/>
      <w:pPr>
        <w:ind w:left="2215" w:hanging="360"/>
      </w:pPr>
      <w:rPr>
        <w:rFonts w:ascii="Wingdings" w:hAnsi="Wingdings" w:hint="default"/>
      </w:rPr>
    </w:lvl>
    <w:lvl w:ilvl="3" w:tplc="04090001" w:tentative="1">
      <w:start w:val="1"/>
      <w:numFmt w:val="bullet"/>
      <w:lvlText w:val=""/>
      <w:lvlJc w:val="left"/>
      <w:pPr>
        <w:ind w:left="2935" w:hanging="360"/>
      </w:pPr>
      <w:rPr>
        <w:rFonts w:ascii="Symbol" w:hAnsi="Symbol" w:hint="default"/>
      </w:rPr>
    </w:lvl>
    <w:lvl w:ilvl="4" w:tplc="04090003" w:tentative="1">
      <w:start w:val="1"/>
      <w:numFmt w:val="bullet"/>
      <w:lvlText w:val="o"/>
      <w:lvlJc w:val="left"/>
      <w:pPr>
        <w:ind w:left="3655" w:hanging="360"/>
      </w:pPr>
      <w:rPr>
        <w:rFonts w:ascii="Courier New" w:hAnsi="Courier New" w:cs="Courier New" w:hint="default"/>
      </w:rPr>
    </w:lvl>
    <w:lvl w:ilvl="5" w:tplc="04090005" w:tentative="1">
      <w:start w:val="1"/>
      <w:numFmt w:val="bullet"/>
      <w:lvlText w:val=""/>
      <w:lvlJc w:val="left"/>
      <w:pPr>
        <w:ind w:left="4375" w:hanging="360"/>
      </w:pPr>
      <w:rPr>
        <w:rFonts w:ascii="Wingdings" w:hAnsi="Wingdings" w:hint="default"/>
      </w:rPr>
    </w:lvl>
    <w:lvl w:ilvl="6" w:tplc="04090001" w:tentative="1">
      <w:start w:val="1"/>
      <w:numFmt w:val="bullet"/>
      <w:lvlText w:val=""/>
      <w:lvlJc w:val="left"/>
      <w:pPr>
        <w:ind w:left="5095" w:hanging="360"/>
      </w:pPr>
      <w:rPr>
        <w:rFonts w:ascii="Symbol" w:hAnsi="Symbol" w:hint="default"/>
      </w:rPr>
    </w:lvl>
    <w:lvl w:ilvl="7" w:tplc="04090003" w:tentative="1">
      <w:start w:val="1"/>
      <w:numFmt w:val="bullet"/>
      <w:lvlText w:val="o"/>
      <w:lvlJc w:val="left"/>
      <w:pPr>
        <w:ind w:left="5815" w:hanging="360"/>
      </w:pPr>
      <w:rPr>
        <w:rFonts w:ascii="Courier New" w:hAnsi="Courier New" w:cs="Courier New" w:hint="default"/>
      </w:rPr>
    </w:lvl>
    <w:lvl w:ilvl="8" w:tplc="04090005" w:tentative="1">
      <w:start w:val="1"/>
      <w:numFmt w:val="bullet"/>
      <w:lvlText w:val=""/>
      <w:lvlJc w:val="left"/>
      <w:pPr>
        <w:ind w:left="6535" w:hanging="360"/>
      </w:pPr>
      <w:rPr>
        <w:rFonts w:ascii="Wingdings" w:hAnsi="Wingdings" w:hint="default"/>
      </w:rPr>
    </w:lvl>
  </w:abstractNum>
  <w:num w:numId="1">
    <w:abstractNumId w:val="14"/>
  </w:num>
  <w:num w:numId="2">
    <w:abstractNumId w:val="17"/>
  </w:num>
  <w:num w:numId="3">
    <w:abstractNumId w:val="20"/>
  </w:num>
  <w:num w:numId="4">
    <w:abstractNumId w:val="4"/>
  </w:num>
  <w:num w:numId="5">
    <w:abstractNumId w:val="21"/>
  </w:num>
  <w:num w:numId="6">
    <w:abstractNumId w:val="9"/>
  </w:num>
  <w:num w:numId="7">
    <w:abstractNumId w:val="18"/>
  </w:num>
  <w:num w:numId="8">
    <w:abstractNumId w:val="19"/>
  </w:num>
  <w:num w:numId="9">
    <w:abstractNumId w:val="7"/>
  </w:num>
  <w:num w:numId="10">
    <w:abstractNumId w:val="15"/>
  </w:num>
  <w:num w:numId="11">
    <w:abstractNumId w:val="2"/>
  </w:num>
  <w:num w:numId="12">
    <w:abstractNumId w:val="0"/>
  </w:num>
  <w:num w:numId="13">
    <w:abstractNumId w:val="24"/>
  </w:num>
  <w:num w:numId="14">
    <w:abstractNumId w:val="1"/>
  </w:num>
  <w:num w:numId="15">
    <w:abstractNumId w:val="10"/>
  </w:num>
  <w:num w:numId="16">
    <w:abstractNumId w:val="22"/>
  </w:num>
  <w:num w:numId="17">
    <w:abstractNumId w:val="16"/>
  </w:num>
  <w:num w:numId="18">
    <w:abstractNumId w:val="5"/>
  </w:num>
  <w:num w:numId="19">
    <w:abstractNumId w:val="11"/>
  </w:num>
  <w:num w:numId="20">
    <w:abstractNumId w:val="13"/>
  </w:num>
  <w:num w:numId="21">
    <w:abstractNumId w:val="12"/>
  </w:num>
  <w:num w:numId="22">
    <w:abstractNumId w:val="6"/>
  </w:num>
  <w:num w:numId="23">
    <w:abstractNumId w:val="3"/>
  </w:num>
  <w:num w:numId="24">
    <w:abstractNumId w:val="23"/>
  </w:num>
  <w:num w:numId="25">
    <w:abstractNumId w:val="8"/>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5"/>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093E"/>
    <w:rsid w:val="0000015E"/>
    <w:rsid w:val="000001D2"/>
    <w:rsid w:val="000002FF"/>
    <w:rsid w:val="00000321"/>
    <w:rsid w:val="00000C45"/>
    <w:rsid w:val="00001182"/>
    <w:rsid w:val="00001315"/>
    <w:rsid w:val="00001319"/>
    <w:rsid w:val="0000135F"/>
    <w:rsid w:val="000013FA"/>
    <w:rsid w:val="000014F6"/>
    <w:rsid w:val="000016F9"/>
    <w:rsid w:val="00001BF3"/>
    <w:rsid w:val="00001FCA"/>
    <w:rsid w:val="0000212A"/>
    <w:rsid w:val="000026DE"/>
    <w:rsid w:val="0000299B"/>
    <w:rsid w:val="00002B22"/>
    <w:rsid w:val="00002C9B"/>
    <w:rsid w:val="000031DA"/>
    <w:rsid w:val="0000329C"/>
    <w:rsid w:val="000032B2"/>
    <w:rsid w:val="000032EB"/>
    <w:rsid w:val="0000373D"/>
    <w:rsid w:val="000037D1"/>
    <w:rsid w:val="00003AB6"/>
    <w:rsid w:val="00003C40"/>
    <w:rsid w:val="000041C5"/>
    <w:rsid w:val="00004337"/>
    <w:rsid w:val="00004379"/>
    <w:rsid w:val="0000446E"/>
    <w:rsid w:val="00004509"/>
    <w:rsid w:val="000045B8"/>
    <w:rsid w:val="00004767"/>
    <w:rsid w:val="000048AE"/>
    <w:rsid w:val="0000498F"/>
    <w:rsid w:val="00004D95"/>
    <w:rsid w:val="0000500D"/>
    <w:rsid w:val="000052C9"/>
    <w:rsid w:val="00005814"/>
    <w:rsid w:val="00005AB3"/>
    <w:rsid w:val="00005EFE"/>
    <w:rsid w:val="00006025"/>
    <w:rsid w:val="000060A9"/>
    <w:rsid w:val="00006349"/>
    <w:rsid w:val="000063A8"/>
    <w:rsid w:val="000065AF"/>
    <w:rsid w:val="00006694"/>
    <w:rsid w:val="0000677F"/>
    <w:rsid w:val="00006A35"/>
    <w:rsid w:val="00006B8C"/>
    <w:rsid w:val="00006D07"/>
    <w:rsid w:val="00006D2E"/>
    <w:rsid w:val="00006EDA"/>
    <w:rsid w:val="00006FAB"/>
    <w:rsid w:val="000070D5"/>
    <w:rsid w:val="0000710C"/>
    <w:rsid w:val="000071C2"/>
    <w:rsid w:val="0000731E"/>
    <w:rsid w:val="000073F7"/>
    <w:rsid w:val="00007499"/>
    <w:rsid w:val="00007594"/>
    <w:rsid w:val="00007A18"/>
    <w:rsid w:val="00007C4C"/>
    <w:rsid w:val="00007C7C"/>
    <w:rsid w:val="00007CD9"/>
    <w:rsid w:val="00010006"/>
    <w:rsid w:val="00010114"/>
    <w:rsid w:val="000102CF"/>
    <w:rsid w:val="000105B7"/>
    <w:rsid w:val="00010865"/>
    <w:rsid w:val="00010AAA"/>
    <w:rsid w:val="00010BFA"/>
    <w:rsid w:val="0001146F"/>
    <w:rsid w:val="000115A5"/>
    <w:rsid w:val="000115BA"/>
    <w:rsid w:val="00011AFA"/>
    <w:rsid w:val="00011BCD"/>
    <w:rsid w:val="00011C57"/>
    <w:rsid w:val="00011CA7"/>
    <w:rsid w:val="00011DBE"/>
    <w:rsid w:val="00011DC0"/>
    <w:rsid w:val="00011E75"/>
    <w:rsid w:val="000124EC"/>
    <w:rsid w:val="00012575"/>
    <w:rsid w:val="0001276C"/>
    <w:rsid w:val="000128D3"/>
    <w:rsid w:val="00012D60"/>
    <w:rsid w:val="00013112"/>
    <w:rsid w:val="00013117"/>
    <w:rsid w:val="0001330F"/>
    <w:rsid w:val="000134C1"/>
    <w:rsid w:val="000137F3"/>
    <w:rsid w:val="00013A03"/>
    <w:rsid w:val="00013B21"/>
    <w:rsid w:val="00013B29"/>
    <w:rsid w:val="00013D55"/>
    <w:rsid w:val="00014386"/>
    <w:rsid w:val="0001444E"/>
    <w:rsid w:val="00014618"/>
    <w:rsid w:val="00014703"/>
    <w:rsid w:val="000147F1"/>
    <w:rsid w:val="0001486D"/>
    <w:rsid w:val="000148AD"/>
    <w:rsid w:val="00014CCC"/>
    <w:rsid w:val="00014D66"/>
    <w:rsid w:val="00014FB3"/>
    <w:rsid w:val="00014FF9"/>
    <w:rsid w:val="00015119"/>
    <w:rsid w:val="00015228"/>
    <w:rsid w:val="00015248"/>
    <w:rsid w:val="000153AF"/>
    <w:rsid w:val="000153B4"/>
    <w:rsid w:val="0001552A"/>
    <w:rsid w:val="00015716"/>
    <w:rsid w:val="00015913"/>
    <w:rsid w:val="00015A12"/>
    <w:rsid w:val="00015FBF"/>
    <w:rsid w:val="00016032"/>
    <w:rsid w:val="000160EC"/>
    <w:rsid w:val="000163CD"/>
    <w:rsid w:val="000167F0"/>
    <w:rsid w:val="00016850"/>
    <w:rsid w:val="00016A45"/>
    <w:rsid w:val="00016CA3"/>
    <w:rsid w:val="00016CAC"/>
    <w:rsid w:val="00016D4D"/>
    <w:rsid w:val="00017209"/>
    <w:rsid w:val="00017388"/>
    <w:rsid w:val="000173EB"/>
    <w:rsid w:val="000174CA"/>
    <w:rsid w:val="00017617"/>
    <w:rsid w:val="00017662"/>
    <w:rsid w:val="00017ACC"/>
    <w:rsid w:val="00017BC8"/>
    <w:rsid w:val="00017DEF"/>
    <w:rsid w:val="000200C6"/>
    <w:rsid w:val="000201FB"/>
    <w:rsid w:val="00020581"/>
    <w:rsid w:val="00020A20"/>
    <w:rsid w:val="00020BB6"/>
    <w:rsid w:val="00020DA2"/>
    <w:rsid w:val="00021011"/>
    <w:rsid w:val="00021311"/>
    <w:rsid w:val="000214D6"/>
    <w:rsid w:val="00021594"/>
    <w:rsid w:val="000215C6"/>
    <w:rsid w:val="000216B3"/>
    <w:rsid w:val="0002189D"/>
    <w:rsid w:val="00021957"/>
    <w:rsid w:val="00021CDE"/>
    <w:rsid w:val="00021E68"/>
    <w:rsid w:val="000220F7"/>
    <w:rsid w:val="000221EC"/>
    <w:rsid w:val="000221F1"/>
    <w:rsid w:val="0002267A"/>
    <w:rsid w:val="000228CF"/>
    <w:rsid w:val="000229AD"/>
    <w:rsid w:val="00022C49"/>
    <w:rsid w:val="000233BA"/>
    <w:rsid w:val="000234C4"/>
    <w:rsid w:val="00023CBD"/>
    <w:rsid w:val="00024491"/>
    <w:rsid w:val="000249CC"/>
    <w:rsid w:val="00024C3E"/>
    <w:rsid w:val="00025172"/>
    <w:rsid w:val="00025699"/>
    <w:rsid w:val="000256DB"/>
    <w:rsid w:val="00025A71"/>
    <w:rsid w:val="00025ECC"/>
    <w:rsid w:val="000261C7"/>
    <w:rsid w:val="000261F6"/>
    <w:rsid w:val="00026396"/>
    <w:rsid w:val="00026969"/>
    <w:rsid w:val="00026ACA"/>
    <w:rsid w:val="0002710D"/>
    <w:rsid w:val="00027438"/>
    <w:rsid w:val="00027440"/>
    <w:rsid w:val="000279E1"/>
    <w:rsid w:val="00027A19"/>
    <w:rsid w:val="00027EDF"/>
    <w:rsid w:val="00030031"/>
    <w:rsid w:val="000302C2"/>
    <w:rsid w:val="00030346"/>
    <w:rsid w:val="000304A4"/>
    <w:rsid w:val="0003059A"/>
    <w:rsid w:val="000307A6"/>
    <w:rsid w:val="0003093C"/>
    <w:rsid w:val="000309DC"/>
    <w:rsid w:val="00030A1F"/>
    <w:rsid w:val="00030B38"/>
    <w:rsid w:val="00030CAC"/>
    <w:rsid w:val="00030CF2"/>
    <w:rsid w:val="00031507"/>
    <w:rsid w:val="00031545"/>
    <w:rsid w:val="00031991"/>
    <w:rsid w:val="00031B2B"/>
    <w:rsid w:val="00031C35"/>
    <w:rsid w:val="00032192"/>
    <w:rsid w:val="0003232F"/>
    <w:rsid w:val="0003248A"/>
    <w:rsid w:val="000324BD"/>
    <w:rsid w:val="0003268E"/>
    <w:rsid w:val="000326A0"/>
    <w:rsid w:val="0003282C"/>
    <w:rsid w:val="00032C2C"/>
    <w:rsid w:val="00032C9B"/>
    <w:rsid w:val="00033260"/>
    <w:rsid w:val="000333D2"/>
    <w:rsid w:val="00033593"/>
    <w:rsid w:val="00033A33"/>
    <w:rsid w:val="0003425B"/>
    <w:rsid w:val="0003439D"/>
    <w:rsid w:val="000344F2"/>
    <w:rsid w:val="00034863"/>
    <w:rsid w:val="00034891"/>
    <w:rsid w:val="00034BF3"/>
    <w:rsid w:val="00034D3B"/>
    <w:rsid w:val="00034FA0"/>
    <w:rsid w:val="000351DA"/>
    <w:rsid w:val="000353FB"/>
    <w:rsid w:val="000358DE"/>
    <w:rsid w:val="00035931"/>
    <w:rsid w:val="00035BAF"/>
    <w:rsid w:val="00035BC8"/>
    <w:rsid w:val="00035D50"/>
    <w:rsid w:val="00035E64"/>
    <w:rsid w:val="00036040"/>
    <w:rsid w:val="0003612D"/>
    <w:rsid w:val="0003653B"/>
    <w:rsid w:val="00036663"/>
    <w:rsid w:val="00036675"/>
    <w:rsid w:val="0003676A"/>
    <w:rsid w:val="000368C5"/>
    <w:rsid w:val="000369F6"/>
    <w:rsid w:val="00036AA3"/>
    <w:rsid w:val="00036ABF"/>
    <w:rsid w:val="00036D39"/>
    <w:rsid w:val="00036D4D"/>
    <w:rsid w:val="00036FEB"/>
    <w:rsid w:val="0003714E"/>
    <w:rsid w:val="000371C8"/>
    <w:rsid w:val="000371CC"/>
    <w:rsid w:val="000374A8"/>
    <w:rsid w:val="00037644"/>
    <w:rsid w:val="000379E9"/>
    <w:rsid w:val="00037A33"/>
    <w:rsid w:val="00037AB6"/>
    <w:rsid w:val="00037AF2"/>
    <w:rsid w:val="00037CBD"/>
    <w:rsid w:val="00037ECA"/>
    <w:rsid w:val="00040073"/>
    <w:rsid w:val="0004032B"/>
    <w:rsid w:val="00040365"/>
    <w:rsid w:val="00040746"/>
    <w:rsid w:val="00040D62"/>
    <w:rsid w:val="00040E49"/>
    <w:rsid w:val="000412AD"/>
    <w:rsid w:val="000412D5"/>
    <w:rsid w:val="00041310"/>
    <w:rsid w:val="000418E1"/>
    <w:rsid w:val="00041D66"/>
    <w:rsid w:val="00042016"/>
    <w:rsid w:val="00042228"/>
    <w:rsid w:val="000424A6"/>
    <w:rsid w:val="00042743"/>
    <w:rsid w:val="0004277B"/>
    <w:rsid w:val="00042914"/>
    <w:rsid w:val="0004323D"/>
    <w:rsid w:val="00043435"/>
    <w:rsid w:val="00043C89"/>
    <w:rsid w:val="00043D10"/>
    <w:rsid w:val="0004401D"/>
    <w:rsid w:val="000441FE"/>
    <w:rsid w:val="000445E1"/>
    <w:rsid w:val="00044715"/>
    <w:rsid w:val="000447BD"/>
    <w:rsid w:val="00044A3E"/>
    <w:rsid w:val="00044E62"/>
    <w:rsid w:val="00044EDA"/>
    <w:rsid w:val="00044F41"/>
    <w:rsid w:val="0004513D"/>
    <w:rsid w:val="0004514B"/>
    <w:rsid w:val="00045154"/>
    <w:rsid w:val="000453A1"/>
    <w:rsid w:val="00045C45"/>
    <w:rsid w:val="00045E1F"/>
    <w:rsid w:val="00045E5C"/>
    <w:rsid w:val="00045F53"/>
    <w:rsid w:val="000460D1"/>
    <w:rsid w:val="00046526"/>
    <w:rsid w:val="0004657B"/>
    <w:rsid w:val="0004679B"/>
    <w:rsid w:val="000467F4"/>
    <w:rsid w:val="00046B6F"/>
    <w:rsid w:val="00046C6F"/>
    <w:rsid w:val="00046E6E"/>
    <w:rsid w:val="00046F7D"/>
    <w:rsid w:val="00047161"/>
    <w:rsid w:val="000471E2"/>
    <w:rsid w:val="00047243"/>
    <w:rsid w:val="00047442"/>
    <w:rsid w:val="000474B0"/>
    <w:rsid w:val="000474C7"/>
    <w:rsid w:val="000475B2"/>
    <w:rsid w:val="00047816"/>
    <w:rsid w:val="00047BE5"/>
    <w:rsid w:val="00047DCC"/>
    <w:rsid w:val="00050273"/>
    <w:rsid w:val="0005033A"/>
    <w:rsid w:val="000503D9"/>
    <w:rsid w:val="000503E0"/>
    <w:rsid w:val="00050819"/>
    <w:rsid w:val="000509F5"/>
    <w:rsid w:val="00050BBF"/>
    <w:rsid w:val="00050BF3"/>
    <w:rsid w:val="00050E23"/>
    <w:rsid w:val="00050EEC"/>
    <w:rsid w:val="00050F35"/>
    <w:rsid w:val="000511F2"/>
    <w:rsid w:val="00051664"/>
    <w:rsid w:val="000519DA"/>
    <w:rsid w:val="00051B79"/>
    <w:rsid w:val="00051CCE"/>
    <w:rsid w:val="00051EA8"/>
    <w:rsid w:val="00052100"/>
    <w:rsid w:val="0005247F"/>
    <w:rsid w:val="00052638"/>
    <w:rsid w:val="00052668"/>
    <w:rsid w:val="00052708"/>
    <w:rsid w:val="00052834"/>
    <w:rsid w:val="00052C33"/>
    <w:rsid w:val="00052DD1"/>
    <w:rsid w:val="00052F51"/>
    <w:rsid w:val="0005314D"/>
    <w:rsid w:val="00053301"/>
    <w:rsid w:val="00053344"/>
    <w:rsid w:val="00053729"/>
    <w:rsid w:val="0005374A"/>
    <w:rsid w:val="00053CBC"/>
    <w:rsid w:val="00054270"/>
    <w:rsid w:val="00054473"/>
    <w:rsid w:val="00054573"/>
    <w:rsid w:val="00054734"/>
    <w:rsid w:val="00054956"/>
    <w:rsid w:val="0005497C"/>
    <w:rsid w:val="00054A6A"/>
    <w:rsid w:val="00054F04"/>
    <w:rsid w:val="00054F2B"/>
    <w:rsid w:val="00054F52"/>
    <w:rsid w:val="0005504F"/>
    <w:rsid w:val="000553DC"/>
    <w:rsid w:val="00055473"/>
    <w:rsid w:val="00055637"/>
    <w:rsid w:val="000557CF"/>
    <w:rsid w:val="00055914"/>
    <w:rsid w:val="0005591C"/>
    <w:rsid w:val="00055B56"/>
    <w:rsid w:val="00055F90"/>
    <w:rsid w:val="00056003"/>
    <w:rsid w:val="00056319"/>
    <w:rsid w:val="000564D1"/>
    <w:rsid w:val="000564F8"/>
    <w:rsid w:val="0005655E"/>
    <w:rsid w:val="00056671"/>
    <w:rsid w:val="00056815"/>
    <w:rsid w:val="0005691C"/>
    <w:rsid w:val="00056A25"/>
    <w:rsid w:val="00056BE1"/>
    <w:rsid w:val="00057229"/>
    <w:rsid w:val="000575B0"/>
    <w:rsid w:val="00057621"/>
    <w:rsid w:val="00057876"/>
    <w:rsid w:val="000578D3"/>
    <w:rsid w:val="00057A7C"/>
    <w:rsid w:val="00057E36"/>
    <w:rsid w:val="00057F22"/>
    <w:rsid w:val="00060198"/>
    <w:rsid w:val="0006069F"/>
    <w:rsid w:val="000608A9"/>
    <w:rsid w:val="00060A40"/>
    <w:rsid w:val="00060B41"/>
    <w:rsid w:val="00060CA7"/>
    <w:rsid w:val="00061357"/>
    <w:rsid w:val="000616EE"/>
    <w:rsid w:val="00062268"/>
    <w:rsid w:val="00062373"/>
    <w:rsid w:val="000625E9"/>
    <w:rsid w:val="000629C1"/>
    <w:rsid w:val="000629DA"/>
    <w:rsid w:val="00062A90"/>
    <w:rsid w:val="00062CF8"/>
    <w:rsid w:val="00062D5A"/>
    <w:rsid w:val="000634D8"/>
    <w:rsid w:val="00063960"/>
    <w:rsid w:val="00063D03"/>
    <w:rsid w:val="00063F74"/>
    <w:rsid w:val="00064055"/>
    <w:rsid w:val="0006406F"/>
    <w:rsid w:val="00064218"/>
    <w:rsid w:val="000642FB"/>
    <w:rsid w:val="00064438"/>
    <w:rsid w:val="000646A0"/>
    <w:rsid w:val="000646CE"/>
    <w:rsid w:val="00064983"/>
    <w:rsid w:val="00064ECD"/>
    <w:rsid w:val="00065430"/>
    <w:rsid w:val="00065531"/>
    <w:rsid w:val="00065C54"/>
    <w:rsid w:val="00065EC9"/>
    <w:rsid w:val="000661FA"/>
    <w:rsid w:val="00066F57"/>
    <w:rsid w:val="00066FA5"/>
    <w:rsid w:val="00067106"/>
    <w:rsid w:val="00067142"/>
    <w:rsid w:val="0006733E"/>
    <w:rsid w:val="00067426"/>
    <w:rsid w:val="00067BD0"/>
    <w:rsid w:val="00067DC0"/>
    <w:rsid w:val="00067ED7"/>
    <w:rsid w:val="0007008F"/>
    <w:rsid w:val="000700E1"/>
    <w:rsid w:val="0007047D"/>
    <w:rsid w:val="00070481"/>
    <w:rsid w:val="000704D6"/>
    <w:rsid w:val="00070743"/>
    <w:rsid w:val="000707C8"/>
    <w:rsid w:val="00070F9F"/>
    <w:rsid w:val="00071161"/>
    <w:rsid w:val="00071398"/>
    <w:rsid w:val="0007150B"/>
    <w:rsid w:val="00071597"/>
    <w:rsid w:val="00071665"/>
    <w:rsid w:val="0007170C"/>
    <w:rsid w:val="00071777"/>
    <w:rsid w:val="00071881"/>
    <w:rsid w:val="00071B80"/>
    <w:rsid w:val="00071E17"/>
    <w:rsid w:val="00071ED7"/>
    <w:rsid w:val="00072261"/>
    <w:rsid w:val="00072C64"/>
    <w:rsid w:val="00073409"/>
    <w:rsid w:val="00073930"/>
    <w:rsid w:val="00073A68"/>
    <w:rsid w:val="00073BEA"/>
    <w:rsid w:val="00073E1F"/>
    <w:rsid w:val="0007402B"/>
    <w:rsid w:val="0007407B"/>
    <w:rsid w:val="000746F0"/>
    <w:rsid w:val="000747D8"/>
    <w:rsid w:val="000749D8"/>
    <w:rsid w:val="000749E1"/>
    <w:rsid w:val="00074C9D"/>
    <w:rsid w:val="00074D37"/>
    <w:rsid w:val="0007506E"/>
    <w:rsid w:val="00075304"/>
    <w:rsid w:val="00075436"/>
    <w:rsid w:val="0007546D"/>
    <w:rsid w:val="0007573E"/>
    <w:rsid w:val="00075780"/>
    <w:rsid w:val="00075BD1"/>
    <w:rsid w:val="00075C82"/>
    <w:rsid w:val="00076200"/>
    <w:rsid w:val="00076717"/>
    <w:rsid w:val="00076EE4"/>
    <w:rsid w:val="000774BF"/>
    <w:rsid w:val="0007755C"/>
    <w:rsid w:val="00077694"/>
    <w:rsid w:val="000778AD"/>
    <w:rsid w:val="000779AB"/>
    <w:rsid w:val="00077BA3"/>
    <w:rsid w:val="00077BB4"/>
    <w:rsid w:val="00077CAB"/>
    <w:rsid w:val="000802F4"/>
    <w:rsid w:val="0008071D"/>
    <w:rsid w:val="000807AF"/>
    <w:rsid w:val="00080917"/>
    <w:rsid w:val="00080995"/>
    <w:rsid w:val="00080A30"/>
    <w:rsid w:val="00080DE2"/>
    <w:rsid w:val="00080E94"/>
    <w:rsid w:val="00081878"/>
    <w:rsid w:val="000819A0"/>
    <w:rsid w:val="00081B45"/>
    <w:rsid w:val="00082277"/>
    <w:rsid w:val="000823E6"/>
    <w:rsid w:val="0008249D"/>
    <w:rsid w:val="00082527"/>
    <w:rsid w:val="000827E1"/>
    <w:rsid w:val="000829A7"/>
    <w:rsid w:val="00082A3C"/>
    <w:rsid w:val="00082A61"/>
    <w:rsid w:val="000830F7"/>
    <w:rsid w:val="000832AC"/>
    <w:rsid w:val="000834AD"/>
    <w:rsid w:val="00083598"/>
    <w:rsid w:val="000836DA"/>
    <w:rsid w:val="00083CF5"/>
    <w:rsid w:val="00084262"/>
    <w:rsid w:val="00084548"/>
    <w:rsid w:val="000845D2"/>
    <w:rsid w:val="00084740"/>
    <w:rsid w:val="000849B2"/>
    <w:rsid w:val="00084A27"/>
    <w:rsid w:val="00084B1C"/>
    <w:rsid w:val="00084EBF"/>
    <w:rsid w:val="00085261"/>
    <w:rsid w:val="000856CB"/>
    <w:rsid w:val="000859ED"/>
    <w:rsid w:val="00085C73"/>
    <w:rsid w:val="00085F4C"/>
    <w:rsid w:val="00085F77"/>
    <w:rsid w:val="00086464"/>
    <w:rsid w:val="00086523"/>
    <w:rsid w:val="000867D9"/>
    <w:rsid w:val="00086816"/>
    <w:rsid w:val="00086927"/>
    <w:rsid w:val="00086E90"/>
    <w:rsid w:val="0008748E"/>
    <w:rsid w:val="000874E6"/>
    <w:rsid w:val="000875E3"/>
    <w:rsid w:val="000875F2"/>
    <w:rsid w:val="000877A0"/>
    <w:rsid w:val="000877B2"/>
    <w:rsid w:val="000879C8"/>
    <w:rsid w:val="00087ACF"/>
    <w:rsid w:val="00087B6D"/>
    <w:rsid w:val="00087DE0"/>
    <w:rsid w:val="00087EBC"/>
    <w:rsid w:val="00090224"/>
    <w:rsid w:val="00090250"/>
    <w:rsid w:val="0009042F"/>
    <w:rsid w:val="00090435"/>
    <w:rsid w:val="000907A0"/>
    <w:rsid w:val="00090A89"/>
    <w:rsid w:val="00090E24"/>
    <w:rsid w:val="00091015"/>
    <w:rsid w:val="00091056"/>
    <w:rsid w:val="00091100"/>
    <w:rsid w:val="0009132F"/>
    <w:rsid w:val="000914E6"/>
    <w:rsid w:val="00091734"/>
    <w:rsid w:val="000919A3"/>
    <w:rsid w:val="00091A69"/>
    <w:rsid w:val="00091A70"/>
    <w:rsid w:val="00091DBF"/>
    <w:rsid w:val="00091EF6"/>
    <w:rsid w:val="000922C2"/>
    <w:rsid w:val="00092388"/>
    <w:rsid w:val="0009264B"/>
    <w:rsid w:val="000928BC"/>
    <w:rsid w:val="00092A5B"/>
    <w:rsid w:val="00092BC0"/>
    <w:rsid w:val="00092D83"/>
    <w:rsid w:val="00092EBC"/>
    <w:rsid w:val="000932E1"/>
    <w:rsid w:val="00093312"/>
    <w:rsid w:val="000934E3"/>
    <w:rsid w:val="0009366E"/>
    <w:rsid w:val="000936A9"/>
    <w:rsid w:val="0009374A"/>
    <w:rsid w:val="00093929"/>
    <w:rsid w:val="00093A2C"/>
    <w:rsid w:val="00093D6B"/>
    <w:rsid w:val="00093FF2"/>
    <w:rsid w:val="000940DC"/>
    <w:rsid w:val="000942B0"/>
    <w:rsid w:val="00094385"/>
    <w:rsid w:val="0009449C"/>
    <w:rsid w:val="000944D6"/>
    <w:rsid w:val="00094724"/>
    <w:rsid w:val="000947AD"/>
    <w:rsid w:val="000947E1"/>
    <w:rsid w:val="00094ABB"/>
    <w:rsid w:val="000956B3"/>
    <w:rsid w:val="000957C7"/>
    <w:rsid w:val="00095B01"/>
    <w:rsid w:val="00095F3E"/>
    <w:rsid w:val="00096002"/>
    <w:rsid w:val="0009648E"/>
    <w:rsid w:val="000966D2"/>
    <w:rsid w:val="00096724"/>
    <w:rsid w:val="0009686D"/>
    <w:rsid w:val="000969EE"/>
    <w:rsid w:val="00096A7A"/>
    <w:rsid w:val="00096D55"/>
    <w:rsid w:val="00096FFF"/>
    <w:rsid w:val="00097259"/>
    <w:rsid w:val="000973B0"/>
    <w:rsid w:val="000978A1"/>
    <w:rsid w:val="00097CF4"/>
    <w:rsid w:val="00097EBB"/>
    <w:rsid w:val="00097ECE"/>
    <w:rsid w:val="000A0036"/>
    <w:rsid w:val="000A01C0"/>
    <w:rsid w:val="000A03A4"/>
    <w:rsid w:val="000A04F3"/>
    <w:rsid w:val="000A0732"/>
    <w:rsid w:val="000A07B2"/>
    <w:rsid w:val="000A0949"/>
    <w:rsid w:val="000A0A2E"/>
    <w:rsid w:val="000A0D5A"/>
    <w:rsid w:val="000A0E13"/>
    <w:rsid w:val="000A0FA4"/>
    <w:rsid w:val="000A11F1"/>
    <w:rsid w:val="000A1523"/>
    <w:rsid w:val="000A1563"/>
    <w:rsid w:val="000A1967"/>
    <w:rsid w:val="000A1E92"/>
    <w:rsid w:val="000A207A"/>
    <w:rsid w:val="000A2174"/>
    <w:rsid w:val="000A2337"/>
    <w:rsid w:val="000A235D"/>
    <w:rsid w:val="000A2643"/>
    <w:rsid w:val="000A281B"/>
    <w:rsid w:val="000A2A09"/>
    <w:rsid w:val="000A2A3A"/>
    <w:rsid w:val="000A2BC0"/>
    <w:rsid w:val="000A3189"/>
    <w:rsid w:val="000A354B"/>
    <w:rsid w:val="000A36D4"/>
    <w:rsid w:val="000A3835"/>
    <w:rsid w:val="000A3A83"/>
    <w:rsid w:val="000A3F54"/>
    <w:rsid w:val="000A3F66"/>
    <w:rsid w:val="000A424E"/>
    <w:rsid w:val="000A4685"/>
    <w:rsid w:val="000A5267"/>
    <w:rsid w:val="000A53BD"/>
    <w:rsid w:val="000A5903"/>
    <w:rsid w:val="000A5AA4"/>
    <w:rsid w:val="000A632D"/>
    <w:rsid w:val="000A65AF"/>
    <w:rsid w:val="000A6DAD"/>
    <w:rsid w:val="000A6E1D"/>
    <w:rsid w:val="000A6F4E"/>
    <w:rsid w:val="000A6FF5"/>
    <w:rsid w:val="000A73D2"/>
    <w:rsid w:val="000A74B7"/>
    <w:rsid w:val="000A75A3"/>
    <w:rsid w:val="000A77DB"/>
    <w:rsid w:val="000A77FA"/>
    <w:rsid w:val="000A7B0B"/>
    <w:rsid w:val="000A7B84"/>
    <w:rsid w:val="000A7B85"/>
    <w:rsid w:val="000A7CDA"/>
    <w:rsid w:val="000A7FEB"/>
    <w:rsid w:val="000B043F"/>
    <w:rsid w:val="000B0458"/>
    <w:rsid w:val="000B0631"/>
    <w:rsid w:val="000B0E68"/>
    <w:rsid w:val="000B0E95"/>
    <w:rsid w:val="000B0FD4"/>
    <w:rsid w:val="000B102A"/>
    <w:rsid w:val="000B1073"/>
    <w:rsid w:val="000B1355"/>
    <w:rsid w:val="000B1444"/>
    <w:rsid w:val="000B153B"/>
    <w:rsid w:val="000B1796"/>
    <w:rsid w:val="000B1873"/>
    <w:rsid w:val="000B1B90"/>
    <w:rsid w:val="000B1C5E"/>
    <w:rsid w:val="000B1EBB"/>
    <w:rsid w:val="000B2184"/>
    <w:rsid w:val="000B2457"/>
    <w:rsid w:val="000B24D2"/>
    <w:rsid w:val="000B2820"/>
    <w:rsid w:val="000B28BF"/>
    <w:rsid w:val="000B290C"/>
    <w:rsid w:val="000B2A0D"/>
    <w:rsid w:val="000B2D52"/>
    <w:rsid w:val="000B2DA3"/>
    <w:rsid w:val="000B2F91"/>
    <w:rsid w:val="000B305E"/>
    <w:rsid w:val="000B30FF"/>
    <w:rsid w:val="000B37CB"/>
    <w:rsid w:val="000B3A70"/>
    <w:rsid w:val="000B3AB7"/>
    <w:rsid w:val="000B3D14"/>
    <w:rsid w:val="000B41E8"/>
    <w:rsid w:val="000B42CB"/>
    <w:rsid w:val="000B4329"/>
    <w:rsid w:val="000B4411"/>
    <w:rsid w:val="000B443F"/>
    <w:rsid w:val="000B4586"/>
    <w:rsid w:val="000B45CB"/>
    <w:rsid w:val="000B47E8"/>
    <w:rsid w:val="000B4923"/>
    <w:rsid w:val="000B4B08"/>
    <w:rsid w:val="000B4B30"/>
    <w:rsid w:val="000B4CAE"/>
    <w:rsid w:val="000B5230"/>
    <w:rsid w:val="000B552E"/>
    <w:rsid w:val="000B57C0"/>
    <w:rsid w:val="000B5A98"/>
    <w:rsid w:val="000B5BCB"/>
    <w:rsid w:val="000B5F66"/>
    <w:rsid w:val="000B6174"/>
    <w:rsid w:val="000B6321"/>
    <w:rsid w:val="000B6406"/>
    <w:rsid w:val="000B664A"/>
    <w:rsid w:val="000B6ACB"/>
    <w:rsid w:val="000B6C0D"/>
    <w:rsid w:val="000B6D63"/>
    <w:rsid w:val="000B7172"/>
    <w:rsid w:val="000B72A8"/>
    <w:rsid w:val="000B7615"/>
    <w:rsid w:val="000B76D8"/>
    <w:rsid w:val="000B77B6"/>
    <w:rsid w:val="000B7CD6"/>
    <w:rsid w:val="000C0637"/>
    <w:rsid w:val="000C063A"/>
    <w:rsid w:val="000C07E9"/>
    <w:rsid w:val="000C092E"/>
    <w:rsid w:val="000C0965"/>
    <w:rsid w:val="000C0A97"/>
    <w:rsid w:val="000C0B39"/>
    <w:rsid w:val="000C1375"/>
    <w:rsid w:val="000C151E"/>
    <w:rsid w:val="000C1BE1"/>
    <w:rsid w:val="000C1DD1"/>
    <w:rsid w:val="000C1E32"/>
    <w:rsid w:val="000C1E3C"/>
    <w:rsid w:val="000C206D"/>
    <w:rsid w:val="000C2107"/>
    <w:rsid w:val="000C22ED"/>
    <w:rsid w:val="000C2584"/>
    <w:rsid w:val="000C2B04"/>
    <w:rsid w:val="000C2C0C"/>
    <w:rsid w:val="000C2D3A"/>
    <w:rsid w:val="000C3088"/>
    <w:rsid w:val="000C3188"/>
    <w:rsid w:val="000C3718"/>
    <w:rsid w:val="000C37CE"/>
    <w:rsid w:val="000C38C8"/>
    <w:rsid w:val="000C3935"/>
    <w:rsid w:val="000C3D3D"/>
    <w:rsid w:val="000C4091"/>
    <w:rsid w:val="000C44C9"/>
    <w:rsid w:val="000C4914"/>
    <w:rsid w:val="000C4B3F"/>
    <w:rsid w:val="000C4F24"/>
    <w:rsid w:val="000C5782"/>
    <w:rsid w:val="000C5916"/>
    <w:rsid w:val="000C5D44"/>
    <w:rsid w:val="000C5E30"/>
    <w:rsid w:val="000C5FB5"/>
    <w:rsid w:val="000C6044"/>
    <w:rsid w:val="000C6467"/>
    <w:rsid w:val="000C68BE"/>
    <w:rsid w:val="000C6C24"/>
    <w:rsid w:val="000C6D7F"/>
    <w:rsid w:val="000C6DDA"/>
    <w:rsid w:val="000C6DF3"/>
    <w:rsid w:val="000C6F78"/>
    <w:rsid w:val="000C7254"/>
    <w:rsid w:val="000C7705"/>
    <w:rsid w:val="000C7B10"/>
    <w:rsid w:val="000C7EE4"/>
    <w:rsid w:val="000D0877"/>
    <w:rsid w:val="000D0960"/>
    <w:rsid w:val="000D099E"/>
    <w:rsid w:val="000D0DC8"/>
    <w:rsid w:val="000D0FF6"/>
    <w:rsid w:val="000D120E"/>
    <w:rsid w:val="000D1231"/>
    <w:rsid w:val="000D1339"/>
    <w:rsid w:val="000D1495"/>
    <w:rsid w:val="000D1656"/>
    <w:rsid w:val="000D1A87"/>
    <w:rsid w:val="000D1C49"/>
    <w:rsid w:val="000D1E69"/>
    <w:rsid w:val="000D1FDD"/>
    <w:rsid w:val="000D1FF2"/>
    <w:rsid w:val="000D21BB"/>
    <w:rsid w:val="000D2365"/>
    <w:rsid w:val="000D2755"/>
    <w:rsid w:val="000D27A2"/>
    <w:rsid w:val="000D2A36"/>
    <w:rsid w:val="000D2BAB"/>
    <w:rsid w:val="000D2E1E"/>
    <w:rsid w:val="000D30DF"/>
    <w:rsid w:val="000D33FD"/>
    <w:rsid w:val="000D342D"/>
    <w:rsid w:val="000D34CE"/>
    <w:rsid w:val="000D351A"/>
    <w:rsid w:val="000D3781"/>
    <w:rsid w:val="000D3ADD"/>
    <w:rsid w:val="000D3F0C"/>
    <w:rsid w:val="000D44CD"/>
    <w:rsid w:val="000D48CA"/>
    <w:rsid w:val="000D48D8"/>
    <w:rsid w:val="000D48DE"/>
    <w:rsid w:val="000D4B76"/>
    <w:rsid w:val="000D4D8D"/>
    <w:rsid w:val="000D5202"/>
    <w:rsid w:val="000D5278"/>
    <w:rsid w:val="000D5312"/>
    <w:rsid w:val="000D566A"/>
    <w:rsid w:val="000D5D50"/>
    <w:rsid w:val="000D5F61"/>
    <w:rsid w:val="000D6270"/>
    <w:rsid w:val="000D64F3"/>
    <w:rsid w:val="000D6660"/>
    <w:rsid w:val="000D6941"/>
    <w:rsid w:val="000D6B9D"/>
    <w:rsid w:val="000D74E6"/>
    <w:rsid w:val="000D752B"/>
    <w:rsid w:val="000D76AE"/>
    <w:rsid w:val="000D78E0"/>
    <w:rsid w:val="000D7D57"/>
    <w:rsid w:val="000D7FDD"/>
    <w:rsid w:val="000D7FE8"/>
    <w:rsid w:val="000E047D"/>
    <w:rsid w:val="000E04C4"/>
    <w:rsid w:val="000E0795"/>
    <w:rsid w:val="000E0A60"/>
    <w:rsid w:val="000E0BFA"/>
    <w:rsid w:val="000E0EF8"/>
    <w:rsid w:val="000E0FFF"/>
    <w:rsid w:val="000E109D"/>
    <w:rsid w:val="000E12BA"/>
    <w:rsid w:val="000E136D"/>
    <w:rsid w:val="000E1506"/>
    <w:rsid w:val="000E1663"/>
    <w:rsid w:val="000E1698"/>
    <w:rsid w:val="000E1706"/>
    <w:rsid w:val="000E1CF4"/>
    <w:rsid w:val="000E1E3F"/>
    <w:rsid w:val="000E1E7C"/>
    <w:rsid w:val="000E1FC8"/>
    <w:rsid w:val="000E20DA"/>
    <w:rsid w:val="000E2257"/>
    <w:rsid w:val="000E27E7"/>
    <w:rsid w:val="000E2B01"/>
    <w:rsid w:val="000E2FD5"/>
    <w:rsid w:val="000E3032"/>
    <w:rsid w:val="000E323F"/>
    <w:rsid w:val="000E32EF"/>
    <w:rsid w:val="000E33D4"/>
    <w:rsid w:val="000E38F4"/>
    <w:rsid w:val="000E3A05"/>
    <w:rsid w:val="000E3B67"/>
    <w:rsid w:val="000E3BD5"/>
    <w:rsid w:val="000E3C0D"/>
    <w:rsid w:val="000E3D5C"/>
    <w:rsid w:val="000E41AB"/>
    <w:rsid w:val="000E4329"/>
    <w:rsid w:val="000E432B"/>
    <w:rsid w:val="000E4466"/>
    <w:rsid w:val="000E46C6"/>
    <w:rsid w:val="000E4906"/>
    <w:rsid w:val="000E4B73"/>
    <w:rsid w:val="000E4C72"/>
    <w:rsid w:val="000E4D1C"/>
    <w:rsid w:val="000E4DAE"/>
    <w:rsid w:val="000E4F1C"/>
    <w:rsid w:val="000E5D65"/>
    <w:rsid w:val="000E5D7F"/>
    <w:rsid w:val="000E6217"/>
    <w:rsid w:val="000E66B6"/>
    <w:rsid w:val="000E6752"/>
    <w:rsid w:val="000E6D8C"/>
    <w:rsid w:val="000E76A0"/>
    <w:rsid w:val="000E77B6"/>
    <w:rsid w:val="000E78F3"/>
    <w:rsid w:val="000E79E6"/>
    <w:rsid w:val="000E7ABB"/>
    <w:rsid w:val="000E7E44"/>
    <w:rsid w:val="000E7EDD"/>
    <w:rsid w:val="000F0088"/>
    <w:rsid w:val="000F02D1"/>
    <w:rsid w:val="000F02EF"/>
    <w:rsid w:val="000F0350"/>
    <w:rsid w:val="000F04EC"/>
    <w:rsid w:val="000F09DC"/>
    <w:rsid w:val="000F0A65"/>
    <w:rsid w:val="000F0EBA"/>
    <w:rsid w:val="000F0F77"/>
    <w:rsid w:val="000F1111"/>
    <w:rsid w:val="000F128D"/>
    <w:rsid w:val="000F146D"/>
    <w:rsid w:val="000F158E"/>
    <w:rsid w:val="000F1652"/>
    <w:rsid w:val="000F1852"/>
    <w:rsid w:val="000F1C7F"/>
    <w:rsid w:val="000F1E60"/>
    <w:rsid w:val="000F2136"/>
    <w:rsid w:val="000F232D"/>
    <w:rsid w:val="000F2B00"/>
    <w:rsid w:val="000F2B79"/>
    <w:rsid w:val="000F2DD6"/>
    <w:rsid w:val="000F2DDE"/>
    <w:rsid w:val="000F3538"/>
    <w:rsid w:val="000F3776"/>
    <w:rsid w:val="000F37DA"/>
    <w:rsid w:val="000F389C"/>
    <w:rsid w:val="000F4090"/>
    <w:rsid w:val="000F42D6"/>
    <w:rsid w:val="000F437B"/>
    <w:rsid w:val="000F503B"/>
    <w:rsid w:val="000F51B0"/>
    <w:rsid w:val="000F52B7"/>
    <w:rsid w:val="000F5378"/>
    <w:rsid w:val="000F549A"/>
    <w:rsid w:val="000F558D"/>
    <w:rsid w:val="000F5804"/>
    <w:rsid w:val="000F5915"/>
    <w:rsid w:val="000F5AC5"/>
    <w:rsid w:val="000F5CCB"/>
    <w:rsid w:val="000F5D26"/>
    <w:rsid w:val="000F5D37"/>
    <w:rsid w:val="000F60BF"/>
    <w:rsid w:val="000F618B"/>
    <w:rsid w:val="000F6212"/>
    <w:rsid w:val="000F6601"/>
    <w:rsid w:val="000F6869"/>
    <w:rsid w:val="000F6A58"/>
    <w:rsid w:val="000F6B0F"/>
    <w:rsid w:val="000F6C56"/>
    <w:rsid w:val="000F6D8C"/>
    <w:rsid w:val="000F6EB0"/>
    <w:rsid w:val="000F7016"/>
    <w:rsid w:val="000F7099"/>
    <w:rsid w:val="000F7110"/>
    <w:rsid w:val="000F71E0"/>
    <w:rsid w:val="000F72A8"/>
    <w:rsid w:val="000F72EE"/>
    <w:rsid w:val="000F7351"/>
    <w:rsid w:val="000F768D"/>
    <w:rsid w:val="000F76D2"/>
    <w:rsid w:val="000F7A39"/>
    <w:rsid w:val="000F7BD5"/>
    <w:rsid w:val="000F7D16"/>
    <w:rsid w:val="000F7E31"/>
    <w:rsid w:val="000F7E37"/>
    <w:rsid w:val="00100059"/>
    <w:rsid w:val="001003FD"/>
    <w:rsid w:val="00100417"/>
    <w:rsid w:val="001004E4"/>
    <w:rsid w:val="001009C3"/>
    <w:rsid w:val="00100AB9"/>
    <w:rsid w:val="00100AF6"/>
    <w:rsid w:val="00100BC4"/>
    <w:rsid w:val="00100BD1"/>
    <w:rsid w:val="00100D55"/>
    <w:rsid w:val="00100D86"/>
    <w:rsid w:val="0010158F"/>
    <w:rsid w:val="001015BF"/>
    <w:rsid w:val="0010174A"/>
    <w:rsid w:val="00101843"/>
    <w:rsid w:val="00101862"/>
    <w:rsid w:val="0010206A"/>
    <w:rsid w:val="001020DE"/>
    <w:rsid w:val="001024B5"/>
    <w:rsid w:val="00102563"/>
    <w:rsid w:val="0010286D"/>
    <w:rsid w:val="00102981"/>
    <w:rsid w:val="00102A76"/>
    <w:rsid w:val="00102BCD"/>
    <w:rsid w:val="00102FE2"/>
    <w:rsid w:val="00103180"/>
    <w:rsid w:val="00103782"/>
    <w:rsid w:val="0010395B"/>
    <w:rsid w:val="001039A1"/>
    <w:rsid w:val="001039CC"/>
    <w:rsid w:val="00103A19"/>
    <w:rsid w:val="00103D74"/>
    <w:rsid w:val="00103F23"/>
    <w:rsid w:val="0010417B"/>
    <w:rsid w:val="001045B0"/>
    <w:rsid w:val="0010464B"/>
    <w:rsid w:val="001046E1"/>
    <w:rsid w:val="00104C2F"/>
    <w:rsid w:val="00104D34"/>
    <w:rsid w:val="00104D56"/>
    <w:rsid w:val="00104E4E"/>
    <w:rsid w:val="00104E94"/>
    <w:rsid w:val="00104EC2"/>
    <w:rsid w:val="001051A8"/>
    <w:rsid w:val="001052BA"/>
    <w:rsid w:val="0010536F"/>
    <w:rsid w:val="0010541D"/>
    <w:rsid w:val="001057DE"/>
    <w:rsid w:val="0010583C"/>
    <w:rsid w:val="00105951"/>
    <w:rsid w:val="001059EF"/>
    <w:rsid w:val="00105A4E"/>
    <w:rsid w:val="00105B47"/>
    <w:rsid w:val="00105C6D"/>
    <w:rsid w:val="00105DCF"/>
    <w:rsid w:val="001061B3"/>
    <w:rsid w:val="00106503"/>
    <w:rsid w:val="00106632"/>
    <w:rsid w:val="001068BD"/>
    <w:rsid w:val="00106B5C"/>
    <w:rsid w:val="00106CB2"/>
    <w:rsid w:val="0010708F"/>
    <w:rsid w:val="0010713D"/>
    <w:rsid w:val="0010728C"/>
    <w:rsid w:val="00107709"/>
    <w:rsid w:val="001079C4"/>
    <w:rsid w:val="001079E8"/>
    <w:rsid w:val="00107B30"/>
    <w:rsid w:val="00107B75"/>
    <w:rsid w:val="00107D48"/>
    <w:rsid w:val="00107DA0"/>
    <w:rsid w:val="00107E84"/>
    <w:rsid w:val="00107EEC"/>
    <w:rsid w:val="00110138"/>
    <w:rsid w:val="00110241"/>
    <w:rsid w:val="001106AB"/>
    <w:rsid w:val="001106D0"/>
    <w:rsid w:val="00110895"/>
    <w:rsid w:val="001108A8"/>
    <w:rsid w:val="00110ABF"/>
    <w:rsid w:val="00110E12"/>
    <w:rsid w:val="00110EA7"/>
    <w:rsid w:val="00110EE7"/>
    <w:rsid w:val="00111042"/>
    <w:rsid w:val="001112E9"/>
    <w:rsid w:val="00111C21"/>
    <w:rsid w:val="00111FE9"/>
    <w:rsid w:val="001120DA"/>
    <w:rsid w:val="00112155"/>
    <w:rsid w:val="0011233C"/>
    <w:rsid w:val="00112492"/>
    <w:rsid w:val="001125AD"/>
    <w:rsid w:val="0011291F"/>
    <w:rsid w:val="00112DA1"/>
    <w:rsid w:val="00112DF5"/>
    <w:rsid w:val="001133F5"/>
    <w:rsid w:val="0011355A"/>
    <w:rsid w:val="0011369E"/>
    <w:rsid w:val="001136B4"/>
    <w:rsid w:val="001138E8"/>
    <w:rsid w:val="001138F0"/>
    <w:rsid w:val="00113996"/>
    <w:rsid w:val="00113B13"/>
    <w:rsid w:val="00113FD2"/>
    <w:rsid w:val="001141D9"/>
    <w:rsid w:val="0011426A"/>
    <w:rsid w:val="00114A32"/>
    <w:rsid w:val="00114BE7"/>
    <w:rsid w:val="00114E2C"/>
    <w:rsid w:val="00114F61"/>
    <w:rsid w:val="0011501E"/>
    <w:rsid w:val="00115204"/>
    <w:rsid w:val="00115291"/>
    <w:rsid w:val="001153AB"/>
    <w:rsid w:val="001153EA"/>
    <w:rsid w:val="001154E0"/>
    <w:rsid w:val="001158C7"/>
    <w:rsid w:val="00115B12"/>
    <w:rsid w:val="00115FAD"/>
    <w:rsid w:val="00116541"/>
    <w:rsid w:val="001166A5"/>
    <w:rsid w:val="001167C4"/>
    <w:rsid w:val="00116CA2"/>
    <w:rsid w:val="00116D79"/>
    <w:rsid w:val="00117172"/>
    <w:rsid w:val="0011720D"/>
    <w:rsid w:val="00117451"/>
    <w:rsid w:val="0011782D"/>
    <w:rsid w:val="001178E8"/>
    <w:rsid w:val="0011798A"/>
    <w:rsid w:val="001179D0"/>
    <w:rsid w:val="00117F8A"/>
    <w:rsid w:val="00117FB4"/>
    <w:rsid w:val="00120228"/>
    <w:rsid w:val="00120498"/>
    <w:rsid w:val="001205FF"/>
    <w:rsid w:val="00120BE5"/>
    <w:rsid w:val="00120CC8"/>
    <w:rsid w:val="00120EE2"/>
    <w:rsid w:val="001210A6"/>
    <w:rsid w:val="001212C4"/>
    <w:rsid w:val="001215EB"/>
    <w:rsid w:val="00121E3E"/>
    <w:rsid w:val="001220F9"/>
    <w:rsid w:val="001221E2"/>
    <w:rsid w:val="00122245"/>
    <w:rsid w:val="0012241C"/>
    <w:rsid w:val="001225EA"/>
    <w:rsid w:val="0012268F"/>
    <w:rsid w:val="00122796"/>
    <w:rsid w:val="00122C82"/>
    <w:rsid w:val="00122D4F"/>
    <w:rsid w:val="00122E02"/>
    <w:rsid w:val="00122F7E"/>
    <w:rsid w:val="0012333A"/>
    <w:rsid w:val="0012357B"/>
    <w:rsid w:val="00123651"/>
    <w:rsid w:val="00123AAE"/>
    <w:rsid w:val="00123BE3"/>
    <w:rsid w:val="00123CE9"/>
    <w:rsid w:val="00123CEE"/>
    <w:rsid w:val="00123D1F"/>
    <w:rsid w:val="00123FCF"/>
    <w:rsid w:val="00123FD1"/>
    <w:rsid w:val="0012412C"/>
    <w:rsid w:val="00124201"/>
    <w:rsid w:val="00124948"/>
    <w:rsid w:val="00124AC6"/>
    <w:rsid w:val="00124B33"/>
    <w:rsid w:val="00124B8E"/>
    <w:rsid w:val="00124F4D"/>
    <w:rsid w:val="00125477"/>
    <w:rsid w:val="00125959"/>
    <w:rsid w:val="00125CFF"/>
    <w:rsid w:val="00125D75"/>
    <w:rsid w:val="00125E5B"/>
    <w:rsid w:val="00125FEE"/>
    <w:rsid w:val="00126020"/>
    <w:rsid w:val="00126254"/>
    <w:rsid w:val="00126413"/>
    <w:rsid w:val="001264A9"/>
    <w:rsid w:val="001265EE"/>
    <w:rsid w:val="00126771"/>
    <w:rsid w:val="0012677B"/>
    <w:rsid w:val="00126A55"/>
    <w:rsid w:val="00126BC2"/>
    <w:rsid w:val="00126C90"/>
    <w:rsid w:val="00126D65"/>
    <w:rsid w:val="00126DCC"/>
    <w:rsid w:val="00126EDE"/>
    <w:rsid w:val="001270BE"/>
    <w:rsid w:val="001270E1"/>
    <w:rsid w:val="00127243"/>
    <w:rsid w:val="00127565"/>
    <w:rsid w:val="00127B9B"/>
    <w:rsid w:val="00127DAD"/>
    <w:rsid w:val="00127FA2"/>
    <w:rsid w:val="00127FB2"/>
    <w:rsid w:val="00130174"/>
    <w:rsid w:val="00130361"/>
    <w:rsid w:val="00130B19"/>
    <w:rsid w:val="00130B64"/>
    <w:rsid w:val="00130C0E"/>
    <w:rsid w:val="00130D1D"/>
    <w:rsid w:val="00130FB6"/>
    <w:rsid w:val="00131036"/>
    <w:rsid w:val="001310E0"/>
    <w:rsid w:val="001312A8"/>
    <w:rsid w:val="0013190F"/>
    <w:rsid w:val="00131CE5"/>
    <w:rsid w:val="00131F32"/>
    <w:rsid w:val="00131F62"/>
    <w:rsid w:val="00131F85"/>
    <w:rsid w:val="00131F9E"/>
    <w:rsid w:val="001324A2"/>
    <w:rsid w:val="0013262C"/>
    <w:rsid w:val="001326CE"/>
    <w:rsid w:val="001327EF"/>
    <w:rsid w:val="00132CA1"/>
    <w:rsid w:val="00133298"/>
    <w:rsid w:val="00133566"/>
    <w:rsid w:val="0013375E"/>
    <w:rsid w:val="001337D6"/>
    <w:rsid w:val="001338B5"/>
    <w:rsid w:val="0013407E"/>
    <w:rsid w:val="00134282"/>
    <w:rsid w:val="001342E5"/>
    <w:rsid w:val="0013453F"/>
    <w:rsid w:val="001346F4"/>
    <w:rsid w:val="001347D5"/>
    <w:rsid w:val="00134952"/>
    <w:rsid w:val="001349E1"/>
    <w:rsid w:val="00134A1A"/>
    <w:rsid w:val="00134A65"/>
    <w:rsid w:val="00134CFA"/>
    <w:rsid w:val="00134E92"/>
    <w:rsid w:val="00135032"/>
    <w:rsid w:val="00135487"/>
    <w:rsid w:val="00135490"/>
    <w:rsid w:val="001354E4"/>
    <w:rsid w:val="001354EE"/>
    <w:rsid w:val="00135924"/>
    <w:rsid w:val="0013599A"/>
    <w:rsid w:val="00136598"/>
    <w:rsid w:val="001367C6"/>
    <w:rsid w:val="001367F8"/>
    <w:rsid w:val="00136801"/>
    <w:rsid w:val="00136B8F"/>
    <w:rsid w:val="0013711F"/>
    <w:rsid w:val="0013747C"/>
    <w:rsid w:val="00137519"/>
    <w:rsid w:val="001375DB"/>
    <w:rsid w:val="00137B44"/>
    <w:rsid w:val="00137C9C"/>
    <w:rsid w:val="00140056"/>
    <w:rsid w:val="001401F4"/>
    <w:rsid w:val="001404AD"/>
    <w:rsid w:val="00140560"/>
    <w:rsid w:val="001406C8"/>
    <w:rsid w:val="00140868"/>
    <w:rsid w:val="001409AA"/>
    <w:rsid w:val="00140D2C"/>
    <w:rsid w:val="00140FDC"/>
    <w:rsid w:val="00140FEA"/>
    <w:rsid w:val="00141077"/>
    <w:rsid w:val="0014121F"/>
    <w:rsid w:val="00141301"/>
    <w:rsid w:val="001413AE"/>
    <w:rsid w:val="00141531"/>
    <w:rsid w:val="001418B1"/>
    <w:rsid w:val="001418F3"/>
    <w:rsid w:val="001419A9"/>
    <w:rsid w:val="00141E7C"/>
    <w:rsid w:val="00141F74"/>
    <w:rsid w:val="001420AB"/>
    <w:rsid w:val="0014219C"/>
    <w:rsid w:val="00142293"/>
    <w:rsid w:val="00142486"/>
    <w:rsid w:val="0014267A"/>
    <w:rsid w:val="00142791"/>
    <w:rsid w:val="00142792"/>
    <w:rsid w:val="00142B51"/>
    <w:rsid w:val="00143380"/>
    <w:rsid w:val="00143404"/>
    <w:rsid w:val="00143524"/>
    <w:rsid w:val="0014355E"/>
    <w:rsid w:val="001437C4"/>
    <w:rsid w:val="001439D9"/>
    <w:rsid w:val="00143B3E"/>
    <w:rsid w:val="00143C2F"/>
    <w:rsid w:val="00143F5A"/>
    <w:rsid w:val="00144094"/>
    <w:rsid w:val="00144370"/>
    <w:rsid w:val="001444FC"/>
    <w:rsid w:val="001445DA"/>
    <w:rsid w:val="00144B3F"/>
    <w:rsid w:val="001455D4"/>
    <w:rsid w:val="00145707"/>
    <w:rsid w:val="0014575E"/>
    <w:rsid w:val="0014588B"/>
    <w:rsid w:val="00145921"/>
    <w:rsid w:val="00145ACB"/>
    <w:rsid w:val="00145C78"/>
    <w:rsid w:val="00145D63"/>
    <w:rsid w:val="00145E07"/>
    <w:rsid w:val="00145E3A"/>
    <w:rsid w:val="00145EFB"/>
    <w:rsid w:val="00145F75"/>
    <w:rsid w:val="00146219"/>
    <w:rsid w:val="00146372"/>
    <w:rsid w:val="001464B1"/>
    <w:rsid w:val="001464B8"/>
    <w:rsid w:val="001465FE"/>
    <w:rsid w:val="0014667E"/>
    <w:rsid w:val="001466D0"/>
    <w:rsid w:val="00146A5E"/>
    <w:rsid w:val="00146B7C"/>
    <w:rsid w:val="00146F34"/>
    <w:rsid w:val="00146FC1"/>
    <w:rsid w:val="0014700B"/>
    <w:rsid w:val="001470FF"/>
    <w:rsid w:val="00147729"/>
    <w:rsid w:val="00147744"/>
    <w:rsid w:val="001477EC"/>
    <w:rsid w:val="00147EF7"/>
    <w:rsid w:val="001503F6"/>
    <w:rsid w:val="00150798"/>
    <w:rsid w:val="00150B25"/>
    <w:rsid w:val="00150BE3"/>
    <w:rsid w:val="00150C5E"/>
    <w:rsid w:val="00150DA1"/>
    <w:rsid w:val="00150DDA"/>
    <w:rsid w:val="001511FF"/>
    <w:rsid w:val="001516DD"/>
    <w:rsid w:val="001518AD"/>
    <w:rsid w:val="00151A5E"/>
    <w:rsid w:val="00151CCB"/>
    <w:rsid w:val="0015217D"/>
    <w:rsid w:val="001521B8"/>
    <w:rsid w:val="001523BF"/>
    <w:rsid w:val="001523C0"/>
    <w:rsid w:val="00152406"/>
    <w:rsid w:val="001525D5"/>
    <w:rsid w:val="001525FB"/>
    <w:rsid w:val="00152626"/>
    <w:rsid w:val="00152847"/>
    <w:rsid w:val="00152D02"/>
    <w:rsid w:val="001531F7"/>
    <w:rsid w:val="0015337E"/>
    <w:rsid w:val="00153403"/>
    <w:rsid w:val="00153875"/>
    <w:rsid w:val="001538F8"/>
    <w:rsid w:val="0015419E"/>
    <w:rsid w:val="0015422A"/>
    <w:rsid w:val="00154230"/>
    <w:rsid w:val="001545F1"/>
    <w:rsid w:val="0015473B"/>
    <w:rsid w:val="00154985"/>
    <w:rsid w:val="00154AA9"/>
    <w:rsid w:val="00154B27"/>
    <w:rsid w:val="00154CF5"/>
    <w:rsid w:val="00154D15"/>
    <w:rsid w:val="00155270"/>
    <w:rsid w:val="00155426"/>
    <w:rsid w:val="001554A4"/>
    <w:rsid w:val="00155547"/>
    <w:rsid w:val="0015557D"/>
    <w:rsid w:val="001555A9"/>
    <w:rsid w:val="00155741"/>
    <w:rsid w:val="001557BB"/>
    <w:rsid w:val="00155B26"/>
    <w:rsid w:val="00155D8B"/>
    <w:rsid w:val="00155DC8"/>
    <w:rsid w:val="00155E6E"/>
    <w:rsid w:val="00155FE4"/>
    <w:rsid w:val="001561D6"/>
    <w:rsid w:val="001561E9"/>
    <w:rsid w:val="001562CA"/>
    <w:rsid w:val="001565BB"/>
    <w:rsid w:val="00156625"/>
    <w:rsid w:val="00156BF4"/>
    <w:rsid w:val="00157163"/>
    <w:rsid w:val="00157532"/>
    <w:rsid w:val="00157772"/>
    <w:rsid w:val="001578A8"/>
    <w:rsid w:val="00157C08"/>
    <w:rsid w:val="00157F24"/>
    <w:rsid w:val="0016005F"/>
    <w:rsid w:val="001601C2"/>
    <w:rsid w:val="00160323"/>
    <w:rsid w:val="001603DB"/>
    <w:rsid w:val="0016049F"/>
    <w:rsid w:val="00160717"/>
    <w:rsid w:val="001607F5"/>
    <w:rsid w:val="00160857"/>
    <w:rsid w:val="00160975"/>
    <w:rsid w:val="00160B02"/>
    <w:rsid w:val="00160F47"/>
    <w:rsid w:val="00160F6C"/>
    <w:rsid w:val="00160FB2"/>
    <w:rsid w:val="00161052"/>
    <w:rsid w:val="00161161"/>
    <w:rsid w:val="00161190"/>
    <w:rsid w:val="00161457"/>
    <w:rsid w:val="00161B24"/>
    <w:rsid w:val="00161DB0"/>
    <w:rsid w:val="00161E52"/>
    <w:rsid w:val="001620B6"/>
    <w:rsid w:val="00162193"/>
    <w:rsid w:val="00162466"/>
    <w:rsid w:val="001624C2"/>
    <w:rsid w:val="0016261B"/>
    <w:rsid w:val="001626FB"/>
    <w:rsid w:val="00162855"/>
    <w:rsid w:val="001628F3"/>
    <w:rsid w:val="00162928"/>
    <w:rsid w:val="00162A22"/>
    <w:rsid w:val="00162DB7"/>
    <w:rsid w:val="00162E2B"/>
    <w:rsid w:val="00162F92"/>
    <w:rsid w:val="00163246"/>
    <w:rsid w:val="001634D5"/>
    <w:rsid w:val="0016354F"/>
    <w:rsid w:val="00163782"/>
    <w:rsid w:val="00163AB7"/>
    <w:rsid w:val="00163D97"/>
    <w:rsid w:val="00163F44"/>
    <w:rsid w:val="001640F0"/>
    <w:rsid w:val="001641DE"/>
    <w:rsid w:val="001643FA"/>
    <w:rsid w:val="001643FB"/>
    <w:rsid w:val="00164421"/>
    <w:rsid w:val="001644FE"/>
    <w:rsid w:val="00164602"/>
    <w:rsid w:val="001647A5"/>
    <w:rsid w:val="001647E0"/>
    <w:rsid w:val="0016491B"/>
    <w:rsid w:val="00164ADF"/>
    <w:rsid w:val="001650F0"/>
    <w:rsid w:val="0016540A"/>
    <w:rsid w:val="001655C5"/>
    <w:rsid w:val="00165868"/>
    <w:rsid w:val="00165A17"/>
    <w:rsid w:val="00165A53"/>
    <w:rsid w:val="00165B89"/>
    <w:rsid w:val="00165CB2"/>
    <w:rsid w:val="00165CFF"/>
    <w:rsid w:val="00165DED"/>
    <w:rsid w:val="001661A6"/>
    <w:rsid w:val="00166604"/>
    <w:rsid w:val="0016663A"/>
    <w:rsid w:val="0016693C"/>
    <w:rsid w:val="00166A68"/>
    <w:rsid w:val="00166AF2"/>
    <w:rsid w:val="00166BE5"/>
    <w:rsid w:val="00166CAF"/>
    <w:rsid w:val="00166FA7"/>
    <w:rsid w:val="00167100"/>
    <w:rsid w:val="00167247"/>
    <w:rsid w:val="001675D8"/>
    <w:rsid w:val="00167883"/>
    <w:rsid w:val="00167C81"/>
    <w:rsid w:val="00167EFF"/>
    <w:rsid w:val="001701A7"/>
    <w:rsid w:val="0017020C"/>
    <w:rsid w:val="00170310"/>
    <w:rsid w:val="00170659"/>
    <w:rsid w:val="00170868"/>
    <w:rsid w:val="001709F1"/>
    <w:rsid w:val="00170B0A"/>
    <w:rsid w:val="00170C41"/>
    <w:rsid w:val="00170D28"/>
    <w:rsid w:val="00170FDB"/>
    <w:rsid w:val="00171043"/>
    <w:rsid w:val="001710BB"/>
    <w:rsid w:val="0017110F"/>
    <w:rsid w:val="001712B1"/>
    <w:rsid w:val="001717E5"/>
    <w:rsid w:val="001719F6"/>
    <w:rsid w:val="00171D3A"/>
    <w:rsid w:val="00171E74"/>
    <w:rsid w:val="00171FCE"/>
    <w:rsid w:val="00172059"/>
    <w:rsid w:val="001725C2"/>
    <w:rsid w:val="001726A3"/>
    <w:rsid w:val="001726A8"/>
    <w:rsid w:val="00172947"/>
    <w:rsid w:val="00172A60"/>
    <w:rsid w:val="00172A84"/>
    <w:rsid w:val="001730B1"/>
    <w:rsid w:val="001732C6"/>
    <w:rsid w:val="0017332C"/>
    <w:rsid w:val="001734C4"/>
    <w:rsid w:val="0017373D"/>
    <w:rsid w:val="0017388E"/>
    <w:rsid w:val="00173AC1"/>
    <w:rsid w:val="00173ADC"/>
    <w:rsid w:val="00173C53"/>
    <w:rsid w:val="00173EC1"/>
    <w:rsid w:val="001746BD"/>
    <w:rsid w:val="0017485F"/>
    <w:rsid w:val="00174A1C"/>
    <w:rsid w:val="00174AF2"/>
    <w:rsid w:val="00174B76"/>
    <w:rsid w:val="00174D65"/>
    <w:rsid w:val="00174DB4"/>
    <w:rsid w:val="00175375"/>
    <w:rsid w:val="00175566"/>
    <w:rsid w:val="00175B8F"/>
    <w:rsid w:val="00175CDB"/>
    <w:rsid w:val="00176313"/>
    <w:rsid w:val="00176430"/>
    <w:rsid w:val="00176569"/>
    <w:rsid w:val="001766CF"/>
    <w:rsid w:val="001768E5"/>
    <w:rsid w:val="00176BEB"/>
    <w:rsid w:val="00177097"/>
    <w:rsid w:val="001773EB"/>
    <w:rsid w:val="00177BBE"/>
    <w:rsid w:val="00177E13"/>
    <w:rsid w:val="00180336"/>
    <w:rsid w:val="001804EB"/>
    <w:rsid w:val="00180CC9"/>
    <w:rsid w:val="00180CD3"/>
    <w:rsid w:val="00181628"/>
    <w:rsid w:val="0018167B"/>
    <w:rsid w:val="00181862"/>
    <w:rsid w:val="00181962"/>
    <w:rsid w:val="00181D08"/>
    <w:rsid w:val="00181DCF"/>
    <w:rsid w:val="00182187"/>
    <w:rsid w:val="0018221C"/>
    <w:rsid w:val="00182247"/>
    <w:rsid w:val="0018235A"/>
    <w:rsid w:val="00182631"/>
    <w:rsid w:val="00182855"/>
    <w:rsid w:val="00182A41"/>
    <w:rsid w:val="00182A7C"/>
    <w:rsid w:val="00182BAE"/>
    <w:rsid w:val="00182BFD"/>
    <w:rsid w:val="00182D09"/>
    <w:rsid w:val="00182D68"/>
    <w:rsid w:val="00183326"/>
    <w:rsid w:val="001833FB"/>
    <w:rsid w:val="001835E3"/>
    <w:rsid w:val="001836F2"/>
    <w:rsid w:val="0018387C"/>
    <w:rsid w:val="00183CB7"/>
    <w:rsid w:val="00183DEB"/>
    <w:rsid w:val="00183F67"/>
    <w:rsid w:val="00183FDF"/>
    <w:rsid w:val="00184155"/>
    <w:rsid w:val="001842F5"/>
    <w:rsid w:val="00184420"/>
    <w:rsid w:val="00184455"/>
    <w:rsid w:val="001845EE"/>
    <w:rsid w:val="00184629"/>
    <w:rsid w:val="00184EA7"/>
    <w:rsid w:val="00184F86"/>
    <w:rsid w:val="001851F4"/>
    <w:rsid w:val="001852FD"/>
    <w:rsid w:val="00185713"/>
    <w:rsid w:val="00185801"/>
    <w:rsid w:val="0018599D"/>
    <w:rsid w:val="001859A6"/>
    <w:rsid w:val="00185C74"/>
    <w:rsid w:val="00185CEF"/>
    <w:rsid w:val="00185DE0"/>
    <w:rsid w:val="00185F12"/>
    <w:rsid w:val="00185F4E"/>
    <w:rsid w:val="00186008"/>
    <w:rsid w:val="00186667"/>
    <w:rsid w:val="001869E0"/>
    <w:rsid w:val="00186A9D"/>
    <w:rsid w:val="001871C5"/>
    <w:rsid w:val="001872FB"/>
    <w:rsid w:val="0018750E"/>
    <w:rsid w:val="00187655"/>
    <w:rsid w:val="0018784B"/>
    <w:rsid w:val="00187B8B"/>
    <w:rsid w:val="00187D04"/>
    <w:rsid w:val="00187F4E"/>
    <w:rsid w:val="00190017"/>
    <w:rsid w:val="00190176"/>
    <w:rsid w:val="00190254"/>
    <w:rsid w:val="00190293"/>
    <w:rsid w:val="001903BD"/>
    <w:rsid w:val="0019040D"/>
    <w:rsid w:val="00190594"/>
    <w:rsid w:val="001908F9"/>
    <w:rsid w:val="00190EDC"/>
    <w:rsid w:val="00191056"/>
    <w:rsid w:val="00191232"/>
    <w:rsid w:val="0019123C"/>
    <w:rsid w:val="00191285"/>
    <w:rsid w:val="00191369"/>
    <w:rsid w:val="00191457"/>
    <w:rsid w:val="0019172D"/>
    <w:rsid w:val="0019174C"/>
    <w:rsid w:val="00191782"/>
    <w:rsid w:val="00191974"/>
    <w:rsid w:val="00191A1B"/>
    <w:rsid w:val="00191EA5"/>
    <w:rsid w:val="00192396"/>
    <w:rsid w:val="00192E6E"/>
    <w:rsid w:val="00193050"/>
    <w:rsid w:val="001930D2"/>
    <w:rsid w:val="00193207"/>
    <w:rsid w:val="00193439"/>
    <w:rsid w:val="00193785"/>
    <w:rsid w:val="001937AB"/>
    <w:rsid w:val="001937F3"/>
    <w:rsid w:val="001939C2"/>
    <w:rsid w:val="00193B93"/>
    <w:rsid w:val="00194085"/>
    <w:rsid w:val="001943EF"/>
    <w:rsid w:val="00194761"/>
    <w:rsid w:val="00194E31"/>
    <w:rsid w:val="00195046"/>
    <w:rsid w:val="00195120"/>
    <w:rsid w:val="0019541F"/>
    <w:rsid w:val="0019557D"/>
    <w:rsid w:val="00195A78"/>
    <w:rsid w:val="00195BBD"/>
    <w:rsid w:val="00195BE1"/>
    <w:rsid w:val="00195CCC"/>
    <w:rsid w:val="00195E20"/>
    <w:rsid w:val="00195F29"/>
    <w:rsid w:val="00196347"/>
    <w:rsid w:val="001963A4"/>
    <w:rsid w:val="00196483"/>
    <w:rsid w:val="001965F4"/>
    <w:rsid w:val="00196A35"/>
    <w:rsid w:val="00196CD4"/>
    <w:rsid w:val="00197012"/>
    <w:rsid w:val="001974BA"/>
    <w:rsid w:val="001976C6"/>
    <w:rsid w:val="00197D10"/>
    <w:rsid w:val="00197E8C"/>
    <w:rsid w:val="00197ED3"/>
    <w:rsid w:val="001A02B3"/>
    <w:rsid w:val="001A02FA"/>
    <w:rsid w:val="001A03A9"/>
    <w:rsid w:val="001A03CC"/>
    <w:rsid w:val="001A063B"/>
    <w:rsid w:val="001A09B2"/>
    <w:rsid w:val="001A1133"/>
    <w:rsid w:val="001A1352"/>
    <w:rsid w:val="001A1472"/>
    <w:rsid w:val="001A14B9"/>
    <w:rsid w:val="001A155E"/>
    <w:rsid w:val="001A15FA"/>
    <w:rsid w:val="001A19B3"/>
    <w:rsid w:val="001A20D7"/>
    <w:rsid w:val="001A21C0"/>
    <w:rsid w:val="001A21F5"/>
    <w:rsid w:val="001A25E5"/>
    <w:rsid w:val="001A2D92"/>
    <w:rsid w:val="001A2E11"/>
    <w:rsid w:val="001A3144"/>
    <w:rsid w:val="001A31E2"/>
    <w:rsid w:val="001A32B9"/>
    <w:rsid w:val="001A36FD"/>
    <w:rsid w:val="001A39FA"/>
    <w:rsid w:val="001A3B55"/>
    <w:rsid w:val="001A3E24"/>
    <w:rsid w:val="001A4012"/>
    <w:rsid w:val="001A4192"/>
    <w:rsid w:val="001A4667"/>
    <w:rsid w:val="001A47B5"/>
    <w:rsid w:val="001A4873"/>
    <w:rsid w:val="001A4AE3"/>
    <w:rsid w:val="001A4E7C"/>
    <w:rsid w:val="001A4ED9"/>
    <w:rsid w:val="001A5389"/>
    <w:rsid w:val="001A580F"/>
    <w:rsid w:val="001A59E3"/>
    <w:rsid w:val="001A5A19"/>
    <w:rsid w:val="001A5A35"/>
    <w:rsid w:val="001A5B07"/>
    <w:rsid w:val="001A5B86"/>
    <w:rsid w:val="001A5CDA"/>
    <w:rsid w:val="001A5EBC"/>
    <w:rsid w:val="001A5EF6"/>
    <w:rsid w:val="001A6007"/>
    <w:rsid w:val="001A601C"/>
    <w:rsid w:val="001A6107"/>
    <w:rsid w:val="001A6162"/>
    <w:rsid w:val="001A63D3"/>
    <w:rsid w:val="001A662B"/>
    <w:rsid w:val="001A67BC"/>
    <w:rsid w:val="001A6975"/>
    <w:rsid w:val="001A6D2C"/>
    <w:rsid w:val="001A6DAD"/>
    <w:rsid w:val="001A6E9C"/>
    <w:rsid w:val="001A72D1"/>
    <w:rsid w:val="001A7360"/>
    <w:rsid w:val="001A77AA"/>
    <w:rsid w:val="001A77AF"/>
    <w:rsid w:val="001A799D"/>
    <w:rsid w:val="001A7D42"/>
    <w:rsid w:val="001A7E5E"/>
    <w:rsid w:val="001B0111"/>
    <w:rsid w:val="001B0489"/>
    <w:rsid w:val="001B0944"/>
    <w:rsid w:val="001B1001"/>
    <w:rsid w:val="001B100B"/>
    <w:rsid w:val="001B118D"/>
    <w:rsid w:val="001B11A2"/>
    <w:rsid w:val="001B1212"/>
    <w:rsid w:val="001B1CD5"/>
    <w:rsid w:val="001B1D69"/>
    <w:rsid w:val="001B1E6B"/>
    <w:rsid w:val="001B1EAB"/>
    <w:rsid w:val="001B1EB9"/>
    <w:rsid w:val="001B221F"/>
    <w:rsid w:val="001B2660"/>
    <w:rsid w:val="001B26CD"/>
    <w:rsid w:val="001B2767"/>
    <w:rsid w:val="001B2AB9"/>
    <w:rsid w:val="001B2B63"/>
    <w:rsid w:val="001B2B68"/>
    <w:rsid w:val="001B2C0E"/>
    <w:rsid w:val="001B3123"/>
    <w:rsid w:val="001B32F6"/>
    <w:rsid w:val="001B3728"/>
    <w:rsid w:val="001B37FD"/>
    <w:rsid w:val="001B3C81"/>
    <w:rsid w:val="001B3CB0"/>
    <w:rsid w:val="001B3E57"/>
    <w:rsid w:val="001B4209"/>
    <w:rsid w:val="001B4218"/>
    <w:rsid w:val="001B4400"/>
    <w:rsid w:val="001B46C9"/>
    <w:rsid w:val="001B4797"/>
    <w:rsid w:val="001B4965"/>
    <w:rsid w:val="001B4A37"/>
    <w:rsid w:val="001B4F63"/>
    <w:rsid w:val="001B5104"/>
    <w:rsid w:val="001B5384"/>
    <w:rsid w:val="001B5389"/>
    <w:rsid w:val="001B58CB"/>
    <w:rsid w:val="001B5A6F"/>
    <w:rsid w:val="001B5E44"/>
    <w:rsid w:val="001B5EF4"/>
    <w:rsid w:val="001B600B"/>
    <w:rsid w:val="001B6390"/>
    <w:rsid w:val="001B6491"/>
    <w:rsid w:val="001B64D4"/>
    <w:rsid w:val="001B6882"/>
    <w:rsid w:val="001B6A95"/>
    <w:rsid w:val="001B6FE0"/>
    <w:rsid w:val="001B7219"/>
    <w:rsid w:val="001B73F0"/>
    <w:rsid w:val="001B745B"/>
    <w:rsid w:val="001B77B3"/>
    <w:rsid w:val="001B78D1"/>
    <w:rsid w:val="001B79BA"/>
    <w:rsid w:val="001B7D67"/>
    <w:rsid w:val="001C0055"/>
    <w:rsid w:val="001C0095"/>
    <w:rsid w:val="001C0574"/>
    <w:rsid w:val="001C08A8"/>
    <w:rsid w:val="001C0A37"/>
    <w:rsid w:val="001C0A44"/>
    <w:rsid w:val="001C0BFE"/>
    <w:rsid w:val="001C0E91"/>
    <w:rsid w:val="001C100D"/>
    <w:rsid w:val="001C1037"/>
    <w:rsid w:val="001C1404"/>
    <w:rsid w:val="001C145A"/>
    <w:rsid w:val="001C16A4"/>
    <w:rsid w:val="001C1E00"/>
    <w:rsid w:val="001C2350"/>
    <w:rsid w:val="001C253A"/>
    <w:rsid w:val="001C2834"/>
    <w:rsid w:val="001C2B10"/>
    <w:rsid w:val="001C2B9F"/>
    <w:rsid w:val="001C2DB3"/>
    <w:rsid w:val="001C30BC"/>
    <w:rsid w:val="001C3192"/>
    <w:rsid w:val="001C31EA"/>
    <w:rsid w:val="001C3414"/>
    <w:rsid w:val="001C372B"/>
    <w:rsid w:val="001C389E"/>
    <w:rsid w:val="001C3A32"/>
    <w:rsid w:val="001C3A41"/>
    <w:rsid w:val="001C3E68"/>
    <w:rsid w:val="001C3F28"/>
    <w:rsid w:val="001C3F54"/>
    <w:rsid w:val="001C4279"/>
    <w:rsid w:val="001C4865"/>
    <w:rsid w:val="001C48C8"/>
    <w:rsid w:val="001C4B47"/>
    <w:rsid w:val="001C4D1B"/>
    <w:rsid w:val="001C5037"/>
    <w:rsid w:val="001C515A"/>
    <w:rsid w:val="001C51B1"/>
    <w:rsid w:val="001C540C"/>
    <w:rsid w:val="001C55DD"/>
    <w:rsid w:val="001C566B"/>
    <w:rsid w:val="001C5C01"/>
    <w:rsid w:val="001C5D3F"/>
    <w:rsid w:val="001C5FD5"/>
    <w:rsid w:val="001C64BF"/>
    <w:rsid w:val="001C6871"/>
    <w:rsid w:val="001C6999"/>
    <w:rsid w:val="001C69F5"/>
    <w:rsid w:val="001C6D5B"/>
    <w:rsid w:val="001C6FDE"/>
    <w:rsid w:val="001C7000"/>
    <w:rsid w:val="001C7080"/>
    <w:rsid w:val="001C72A4"/>
    <w:rsid w:val="001C7785"/>
    <w:rsid w:val="001C7EF2"/>
    <w:rsid w:val="001C7F24"/>
    <w:rsid w:val="001C7F61"/>
    <w:rsid w:val="001D02EA"/>
    <w:rsid w:val="001D047D"/>
    <w:rsid w:val="001D06B1"/>
    <w:rsid w:val="001D0E08"/>
    <w:rsid w:val="001D0E3C"/>
    <w:rsid w:val="001D0E59"/>
    <w:rsid w:val="001D10C3"/>
    <w:rsid w:val="001D1228"/>
    <w:rsid w:val="001D127C"/>
    <w:rsid w:val="001D153C"/>
    <w:rsid w:val="001D1672"/>
    <w:rsid w:val="001D187A"/>
    <w:rsid w:val="001D18A4"/>
    <w:rsid w:val="001D1B37"/>
    <w:rsid w:val="001D1B4E"/>
    <w:rsid w:val="001D1B53"/>
    <w:rsid w:val="001D1C38"/>
    <w:rsid w:val="001D1E5B"/>
    <w:rsid w:val="001D1ED8"/>
    <w:rsid w:val="001D2482"/>
    <w:rsid w:val="001D2703"/>
    <w:rsid w:val="001D2725"/>
    <w:rsid w:val="001D277D"/>
    <w:rsid w:val="001D2894"/>
    <w:rsid w:val="001D2902"/>
    <w:rsid w:val="001D2918"/>
    <w:rsid w:val="001D293B"/>
    <w:rsid w:val="001D2CF1"/>
    <w:rsid w:val="001D308F"/>
    <w:rsid w:val="001D30C0"/>
    <w:rsid w:val="001D322D"/>
    <w:rsid w:val="001D3287"/>
    <w:rsid w:val="001D343B"/>
    <w:rsid w:val="001D35E0"/>
    <w:rsid w:val="001D3787"/>
    <w:rsid w:val="001D3906"/>
    <w:rsid w:val="001D3B81"/>
    <w:rsid w:val="001D3C88"/>
    <w:rsid w:val="001D3EF0"/>
    <w:rsid w:val="001D3F4B"/>
    <w:rsid w:val="001D404A"/>
    <w:rsid w:val="001D45DB"/>
    <w:rsid w:val="001D463A"/>
    <w:rsid w:val="001D4B53"/>
    <w:rsid w:val="001D4BDC"/>
    <w:rsid w:val="001D4E3F"/>
    <w:rsid w:val="001D4FA1"/>
    <w:rsid w:val="001D4FBF"/>
    <w:rsid w:val="001D5116"/>
    <w:rsid w:val="001D53A6"/>
    <w:rsid w:val="001D5804"/>
    <w:rsid w:val="001D5B2B"/>
    <w:rsid w:val="001D5D4A"/>
    <w:rsid w:val="001D6008"/>
    <w:rsid w:val="001D60B0"/>
    <w:rsid w:val="001D6210"/>
    <w:rsid w:val="001D6698"/>
    <w:rsid w:val="001D6830"/>
    <w:rsid w:val="001D68EC"/>
    <w:rsid w:val="001D6B06"/>
    <w:rsid w:val="001D6B62"/>
    <w:rsid w:val="001D718F"/>
    <w:rsid w:val="001D7724"/>
    <w:rsid w:val="001D7C8D"/>
    <w:rsid w:val="001D7F3A"/>
    <w:rsid w:val="001D7FD9"/>
    <w:rsid w:val="001E019D"/>
    <w:rsid w:val="001E019F"/>
    <w:rsid w:val="001E053F"/>
    <w:rsid w:val="001E0B92"/>
    <w:rsid w:val="001E0BBA"/>
    <w:rsid w:val="001E0C7F"/>
    <w:rsid w:val="001E10F0"/>
    <w:rsid w:val="001E10F8"/>
    <w:rsid w:val="001E1377"/>
    <w:rsid w:val="001E1662"/>
    <w:rsid w:val="001E179B"/>
    <w:rsid w:val="001E1A98"/>
    <w:rsid w:val="001E1B52"/>
    <w:rsid w:val="001E1BA8"/>
    <w:rsid w:val="001E1ED6"/>
    <w:rsid w:val="001E2079"/>
    <w:rsid w:val="001E2347"/>
    <w:rsid w:val="001E23CB"/>
    <w:rsid w:val="001E26B4"/>
    <w:rsid w:val="001E27DF"/>
    <w:rsid w:val="001E29B9"/>
    <w:rsid w:val="001E2A93"/>
    <w:rsid w:val="001E2B96"/>
    <w:rsid w:val="001E2B9A"/>
    <w:rsid w:val="001E30EF"/>
    <w:rsid w:val="001E31CF"/>
    <w:rsid w:val="001E34C8"/>
    <w:rsid w:val="001E3A3E"/>
    <w:rsid w:val="001E3D22"/>
    <w:rsid w:val="001E3D60"/>
    <w:rsid w:val="001E3D9B"/>
    <w:rsid w:val="001E41BA"/>
    <w:rsid w:val="001E41DA"/>
    <w:rsid w:val="001E4487"/>
    <w:rsid w:val="001E44F2"/>
    <w:rsid w:val="001E4929"/>
    <w:rsid w:val="001E49DF"/>
    <w:rsid w:val="001E49EB"/>
    <w:rsid w:val="001E4A4C"/>
    <w:rsid w:val="001E518D"/>
    <w:rsid w:val="001E53AD"/>
    <w:rsid w:val="001E5727"/>
    <w:rsid w:val="001E57CB"/>
    <w:rsid w:val="001E58C3"/>
    <w:rsid w:val="001E5B3D"/>
    <w:rsid w:val="001E5D69"/>
    <w:rsid w:val="001E5DF0"/>
    <w:rsid w:val="001E5E18"/>
    <w:rsid w:val="001E5F15"/>
    <w:rsid w:val="001E5F25"/>
    <w:rsid w:val="001E5FB2"/>
    <w:rsid w:val="001E5FED"/>
    <w:rsid w:val="001E6218"/>
    <w:rsid w:val="001E6235"/>
    <w:rsid w:val="001E6304"/>
    <w:rsid w:val="001E6667"/>
    <w:rsid w:val="001E6690"/>
    <w:rsid w:val="001E6823"/>
    <w:rsid w:val="001E6C10"/>
    <w:rsid w:val="001E6E13"/>
    <w:rsid w:val="001E7353"/>
    <w:rsid w:val="001E751C"/>
    <w:rsid w:val="001E78CF"/>
    <w:rsid w:val="001E7DAC"/>
    <w:rsid w:val="001E7DB2"/>
    <w:rsid w:val="001F0404"/>
    <w:rsid w:val="001F0432"/>
    <w:rsid w:val="001F048E"/>
    <w:rsid w:val="001F0587"/>
    <w:rsid w:val="001F06D9"/>
    <w:rsid w:val="001F06DE"/>
    <w:rsid w:val="001F0D66"/>
    <w:rsid w:val="001F0DE2"/>
    <w:rsid w:val="001F0E64"/>
    <w:rsid w:val="001F0F74"/>
    <w:rsid w:val="001F0F79"/>
    <w:rsid w:val="001F0FE6"/>
    <w:rsid w:val="001F1126"/>
    <w:rsid w:val="001F15C7"/>
    <w:rsid w:val="001F160A"/>
    <w:rsid w:val="001F1782"/>
    <w:rsid w:val="001F18D4"/>
    <w:rsid w:val="001F1968"/>
    <w:rsid w:val="001F1984"/>
    <w:rsid w:val="001F1B67"/>
    <w:rsid w:val="001F1CE3"/>
    <w:rsid w:val="001F2266"/>
    <w:rsid w:val="001F2292"/>
    <w:rsid w:val="001F2393"/>
    <w:rsid w:val="001F25CA"/>
    <w:rsid w:val="001F2652"/>
    <w:rsid w:val="001F2A2B"/>
    <w:rsid w:val="001F2D29"/>
    <w:rsid w:val="001F2F2C"/>
    <w:rsid w:val="001F2F42"/>
    <w:rsid w:val="001F311A"/>
    <w:rsid w:val="001F316D"/>
    <w:rsid w:val="001F321B"/>
    <w:rsid w:val="001F3324"/>
    <w:rsid w:val="001F3390"/>
    <w:rsid w:val="001F33AF"/>
    <w:rsid w:val="001F3533"/>
    <w:rsid w:val="001F35F4"/>
    <w:rsid w:val="001F3F1D"/>
    <w:rsid w:val="001F3F28"/>
    <w:rsid w:val="001F4092"/>
    <w:rsid w:val="001F411F"/>
    <w:rsid w:val="001F4583"/>
    <w:rsid w:val="001F46BB"/>
    <w:rsid w:val="001F4706"/>
    <w:rsid w:val="001F5123"/>
    <w:rsid w:val="001F5483"/>
    <w:rsid w:val="001F5540"/>
    <w:rsid w:val="001F5595"/>
    <w:rsid w:val="001F56A3"/>
    <w:rsid w:val="001F5960"/>
    <w:rsid w:val="001F5987"/>
    <w:rsid w:val="001F5ED3"/>
    <w:rsid w:val="001F5FDA"/>
    <w:rsid w:val="001F6122"/>
    <w:rsid w:val="001F6403"/>
    <w:rsid w:val="001F69DB"/>
    <w:rsid w:val="001F6B36"/>
    <w:rsid w:val="001F6B65"/>
    <w:rsid w:val="001F6D9F"/>
    <w:rsid w:val="001F6DDF"/>
    <w:rsid w:val="001F7323"/>
    <w:rsid w:val="001F7470"/>
    <w:rsid w:val="001F7549"/>
    <w:rsid w:val="001F7580"/>
    <w:rsid w:val="001F78A0"/>
    <w:rsid w:val="001F7905"/>
    <w:rsid w:val="001F791B"/>
    <w:rsid w:val="001F79DA"/>
    <w:rsid w:val="001F7B54"/>
    <w:rsid w:val="001F7DD1"/>
    <w:rsid w:val="001F7E6E"/>
    <w:rsid w:val="002000FF"/>
    <w:rsid w:val="00200106"/>
    <w:rsid w:val="002007F0"/>
    <w:rsid w:val="0020090D"/>
    <w:rsid w:val="002010F3"/>
    <w:rsid w:val="0020161F"/>
    <w:rsid w:val="002017FC"/>
    <w:rsid w:val="0020181F"/>
    <w:rsid w:val="00201DB8"/>
    <w:rsid w:val="0020221D"/>
    <w:rsid w:val="00202306"/>
    <w:rsid w:val="0020262D"/>
    <w:rsid w:val="0020290D"/>
    <w:rsid w:val="0020295F"/>
    <w:rsid w:val="00202AA2"/>
    <w:rsid w:val="00202E64"/>
    <w:rsid w:val="00202F67"/>
    <w:rsid w:val="00202F6E"/>
    <w:rsid w:val="00202FEE"/>
    <w:rsid w:val="0020321C"/>
    <w:rsid w:val="0020377F"/>
    <w:rsid w:val="00203835"/>
    <w:rsid w:val="0020391F"/>
    <w:rsid w:val="00203BE2"/>
    <w:rsid w:val="00203C64"/>
    <w:rsid w:val="002042F2"/>
    <w:rsid w:val="002049C2"/>
    <w:rsid w:val="00204C1C"/>
    <w:rsid w:val="00204D3C"/>
    <w:rsid w:val="00205012"/>
    <w:rsid w:val="002051A2"/>
    <w:rsid w:val="00205332"/>
    <w:rsid w:val="002054A5"/>
    <w:rsid w:val="002056E6"/>
    <w:rsid w:val="00205C16"/>
    <w:rsid w:val="00205CCA"/>
    <w:rsid w:val="00205DAC"/>
    <w:rsid w:val="00205FF6"/>
    <w:rsid w:val="00206096"/>
    <w:rsid w:val="00206107"/>
    <w:rsid w:val="00206113"/>
    <w:rsid w:val="002062CF"/>
    <w:rsid w:val="00206475"/>
    <w:rsid w:val="00206536"/>
    <w:rsid w:val="002068C1"/>
    <w:rsid w:val="0020702D"/>
    <w:rsid w:val="00207192"/>
    <w:rsid w:val="00207369"/>
    <w:rsid w:val="002078A2"/>
    <w:rsid w:val="00207EDD"/>
    <w:rsid w:val="00207F6A"/>
    <w:rsid w:val="0021018F"/>
    <w:rsid w:val="002101D2"/>
    <w:rsid w:val="002101F9"/>
    <w:rsid w:val="002103EE"/>
    <w:rsid w:val="00210870"/>
    <w:rsid w:val="002109AB"/>
    <w:rsid w:val="00210D23"/>
    <w:rsid w:val="002111F2"/>
    <w:rsid w:val="00211394"/>
    <w:rsid w:val="00211433"/>
    <w:rsid w:val="00211685"/>
    <w:rsid w:val="00211687"/>
    <w:rsid w:val="0021186D"/>
    <w:rsid w:val="00211A86"/>
    <w:rsid w:val="00211D46"/>
    <w:rsid w:val="00211F2D"/>
    <w:rsid w:val="00211F7F"/>
    <w:rsid w:val="002121EF"/>
    <w:rsid w:val="0021222F"/>
    <w:rsid w:val="0021229E"/>
    <w:rsid w:val="00212D18"/>
    <w:rsid w:val="00212F3C"/>
    <w:rsid w:val="002130D5"/>
    <w:rsid w:val="00213485"/>
    <w:rsid w:val="002134A9"/>
    <w:rsid w:val="002136CB"/>
    <w:rsid w:val="0021375E"/>
    <w:rsid w:val="00213894"/>
    <w:rsid w:val="002139C7"/>
    <w:rsid w:val="002139E3"/>
    <w:rsid w:val="00213A62"/>
    <w:rsid w:val="00213AB4"/>
    <w:rsid w:val="00213E08"/>
    <w:rsid w:val="00214192"/>
    <w:rsid w:val="00214499"/>
    <w:rsid w:val="0021464C"/>
    <w:rsid w:val="002146EB"/>
    <w:rsid w:val="002148D6"/>
    <w:rsid w:val="00214A60"/>
    <w:rsid w:val="00214AC6"/>
    <w:rsid w:val="00214AEB"/>
    <w:rsid w:val="00214EFA"/>
    <w:rsid w:val="00214FAE"/>
    <w:rsid w:val="002158E2"/>
    <w:rsid w:val="00215C45"/>
    <w:rsid w:val="00215CB9"/>
    <w:rsid w:val="002167FB"/>
    <w:rsid w:val="00216862"/>
    <w:rsid w:val="00216A6F"/>
    <w:rsid w:val="00216EE2"/>
    <w:rsid w:val="00217258"/>
    <w:rsid w:val="00217284"/>
    <w:rsid w:val="002172FE"/>
    <w:rsid w:val="00217401"/>
    <w:rsid w:val="00217855"/>
    <w:rsid w:val="00217950"/>
    <w:rsid w:val="00217E0B"/>
    <w:rsid w:val="0022017B"/>
    <w:rsid w:val="00220253"/>
    <w:rsid w:val="00220647"/>
    <w:rsid w:val="00220777"/>
    <w:rsid w:val="0022095A"/>
    <w:rsid w:val="00220AD8"/>
    <w:rsid w:val="00220D80"/>
    <w:rsid w:val="00220F7A"/>
    <w:rsid w:val="002210F6"/>
    <w:rsid w:val="002211D6"/>
    <w:rsid w:val="00221584"/>
    <w:rsid w:val="00221678"/>
    <w:rsid w:val="00221754"/>
    <w:rsid w:val="002217FF"/>
    <w:rsid w:val="00221A3E"/>
    <w:rsid w:val="00221BCB"/>
    <w:rsid w:val="00221CD1"/>
    <w:rsid w:val="00221F20"/>
    <w:rsid w:val="00222176"/>
    <w:rsid w:val="0022228B"/>
    <w:rsid w:val="0022257A"/>
    <w:rsid w:val="00222743"/>
    <w:rsid w:val="0022287A"/>
    <w:rsid w:val="002228C2"/>
    <w:rsid w:val="0022296A"/>
    <w:rsid w:val="002229CD"/>
    <w:rsid w:val="00222C5A"/>
    <w:rsid w:val="00223226"/>
    <w:rsid w:val="002232A8"/>
    <w:rsid w:val="002232B6"/>
    <w:rsid w:val="002234FB"/>
    <w:rsid w:val="0022356F"/>
    <w:rsid w:val="002237C2"/>
    <w:rsid w:val="00223A59"/>
    <w:rsid w:val="00224059"/>
    <w:rsid w:val="002240AA"/>
    <w:rsid w:val="002242F5"/>
    <w:rsid w:val="0022445D"/>
    <w:rsid w:val="002247F0"/>
    <w:rsid w:val="00224A51"/>
    <w:rsid w:val="00224A65"/>
    <w:rsid w:val="00224A98"/>
    <w:rsid w:val="00224E4C"/>
    <w:rsid w:val="002253B0"/>
    <w:rsid w:val="002254D5"/>
    <w:rsid w:val="002256A6"/>
    <w:rsid w:val="00225C1A"/>
    <w:rsid w:val="00225C43"/>
    <w:rsid w:val="00225D62"/>
    <w:rsid w:val="0022605F"/>
    <w:rsid w:val="00226360"/>
    <w:rsid w:val="002264FF"/>
    <w:rsid w:val="00226B03"/>
    <w:rsid w:val="00226CCD"/>
    <w:rsid w:val="00226D83"/>
    <w:rsid w:val="00226DEB"/>
    <w:rsid w:val="00226EC4"/>
    <w:rsid w:val="0022705B"/>
    <w:rsid w:val="0022723B"/>
    <w:rsid w:val="002272AC"/>
    <w:rsid w:val="0022746E"/>
    <w:rsid w:val="002274BF"/>
    <w:rsid w:val="00227C5D"/>
    <w:rsid w:val="002301F2"/>
    <w:rsid w:val="002304CB"/>
    <w:rsid w:val="002304E6"/>
    <w:rsid w:val="002305FA"/>
    <w:rsid w:val="00230B67"/>
    <w:rsid w:val="00230DC5"/>
    <w:rsid w:val="0023116B"/>
    <w:rsid w:val="0023192C"/>
    <w:rsid w:val="00231ABF"/>
    <w:rsid w:val="00231B2C"/>
    <w:rsid w:val="002321D8"/>
    <w:rsid w:val="0023236C"/>
    <w:rsid w:val="0023271F"/>
    <w:rsid w:val="002327F5"/>
    <w:rsid w:val="00232B0E"/>
    <w:rsid w:val="00232C22"/>
    <w:rsid w:val="00232DB0"/>
    <w:rsid w:val="00232F34"/>
    <w:rsid w:val="00232FA0"/>
    <w:rsid w:val="0023334B"/>
    <w:rsid w:val="00233579"/>
    <w:rsid w:val="00233A00"/>
    <w:rsid w:val="00233CD4"/>
    <w:rsid w:val="00233EF0"/>
    <w:rsid w:val="002344DC"/>
    <w:rsid w:val="0023497B"/>
    <w:rsid w:val="00234F65"/>
    <w:rsid w:val="00235064"/>
    <w:rsid w:val="00235093"/>
    <w:rsid w:val="00235098"/>
    <w:rsid w:val="00235254"/>
    <w:rsid w:val="0023552C"/>
    <w:rsid w:val="0023572E"/>
    <w:rsid w:val="002357D2"/>
    <w:rsid w:val="00235AB3"/>
    <w:rsid w:val="00235ADF"/>
    <w:rsid w:val="00235AFF"/>
    <w:rsid w:val="00235C15"/>
    <w:rsid w:val="002360D7"/>
    <w:rsid w:val="0023615A"/>
    <w:rsid w:val="00236580"/>
    <w:rsid w:val="00236674"/>
    <w:rsid w:val="002366D4"/>
    <w:rsid w:val="00236823"/>
    <w:rsid w:val="00236952"/>
    <w:rsid w:val="00236A44"/>
    <w:rsid w:val="00236AE9"/>
    <w:rsid w:val="00236CC5"/>
    <w:rsid w:val="0023708E"/>
    <w:rsid w:val="002371B1"/>
    <w:rsid w:val="0023727B"/>
    <w:rsid w:val="002372A8"/>
    <w:rsid w:val="00237488"/>
    <w:rsid w:val="00237A3E"/>
    <w:rsid w:val="00237A41"/>
    <w:rsid w:val="00237A9B"/>
    <w:rsid w:val="00237BE0"/>
    <w:rsid w:val="00237E12"/>
    <w:rsid w:val="0024019F"/>
    <w:rsid w:val="0024067D"/>
    <w:rsid w:val="002406CF"/>
    <w:rsid w:val="002406F5"/>
    <w:rsid w:val="002407E4"/>
    <w:rsid w:val="00240927"/>
    <w:rsid w:val="0024094A"/>
    <w:rsid w:val="002409A4"/>
    <w:rsid w:val="00240F63"/>
    <w:rsid w:val="002410C9"/>
    <w:rsid w:val="002413B0"/>
    <w:rsid w:val="00241AE0"/>
    <w:rsid w:val="00241C40"/>
    <w:rsid w:val="0024209E"/>
    <w:rsid w:val="0024230E"/>
    <w:rsid w:val="002426C4"/>
    <w:rsid w:val="002428F9"/>
    <w:rsid w:val="00242961"/>
    <w:rsid w:val="00242B18"/>
    <w:rsid w:val="00242B5B"/>
    <w:rsid w:val="002432C1"/>
    <w:rsid w:val="0024340A"/>
    <w:rsid w:val="0024366D"/>
    <w:rsid w:val="00243C0D"/>
    <w:rsid w:val="00243D20"/>
    <w:rsid w:val="00243D80"/>
    <w:rsid w:val="00243DF2"/>
    <w:rsid w:val="00243FA0"/>
    <w:rsid w:val="00244126"/>
    <w:rsid w:val="00244355"/>
    <w:rsid w:val="00244390"/>
    <w:rsid w:val="002447CC"/>
    <w:rsid w:val="002448BA"/>
    <w:rsid w:val="002449CD"/>
    <w:rsid w:val="00244CF8"/>
    <w:rsid w:val="002455A8"/>
    <w:rsid w:val="002456D1"/>
    <w:rsid w:val="00245725"/>
    <w:rsid w:val="00245883"/>
    <w:rsid w:val="0024592F"/>
    <w:rsid w:val="00245A7C"/>
    <w:rsid w:val="00245BAD"/>
    <w:rsid w:val="00245CB5"/>
    <w:rsid w:val="002461A6"/>
    <w:rsid w:val="002462FC"/>
    <w:rsid w:val="002464BF"/>
    <w:rsid w:val="00246645"/>
    <w:rsid w:val="00246702"/>
    <w:rsid w:val="00246883"/>
    <w:rsid w:val="00246AC8"/>
    <w:rsid w:val="00246BCC"/>
    <w:rsid w:val="00246DEE"/>
    <w:rsid w:val="0024709B"/>
    <w:rsid w:val="002471A7"/>
    <w:rsid w:val="00247464"/>
    <w:rsid w:val="002478C0"/>
    <w:rsid w:val="00247A1E"/>
    <w:rsid w:val="00247A69"/>
    <w:rsid w:val="00247DB3"/>
    <w:rsid w:val="00247EE3"/>
    <w:rsid w:val="0025042E"/>
    <w:rsid w:val="00250482"/>
    <w:rsid w:val="002505AF"/>
    <w:rsid w:val="00250783"/>
    <w:rsid w:val="002508A8"/>
    <w:rsid w:val="002509CA"/>
    <w:rsid w:val="00250AC3"/>
    <w:rsid w:val="00250DC6"/>
    <w:rsid w:val="00251080"/>
    <w:rsid w:val="002516D6"/>
    <w:rsid w:val="0025170D"/>
    <w:rsid w:val="0025175E"/>
    <w:rsid w:val="00251B0F"/>
    <w:rsid w:val="00252161"/>
    <w:rsid w:val="00252341"/>
    <w:rsid w:val="00252681"/>
    <w:rsid w:val="00252776"/>
    <w:rsid w:val="00252A18"/>
    <w:rsid w:val="00252B71"/>
    <w:rsid w:val="00252CD2"/>
    <w:rsid w:val="00252DC1"/>
    <w:rsid w:val="00252DF0"/>
    <w:rsid w:val="00252EA6"/>
    <w:rsid w:val="00252EEB"/>
    <w:rsid w:val="00252FE7"/>
    <w:rsid w:val="00253284"/>
    <w:rsid w:val="00253369"/>
    <w:rsid w:val="0025342F"/>
    <w:rsid w:val="002535BB"/>
    <w:rsid w:val="002539EA"/>
    <w:rsid w:val="00254018"/>
    <w:rsid w:val="002542A9"/>
    <w:rsid w:val="002545C8"/>
    <w:rsid w:val="0025481D"/>
    <w:rsid w:val="00254846"/>
    <w:rsid w:val="00254870"/>
    <w:rsid w:val="0025497C"/>
    <w:rsid w:val="002550B4"/>
    <w:rsid w:val="002550DA"/>
    <w:rsid w:val="00255120"/>
    <w:rsid w:val="0025549A"/>
    <w:rsid w:val="00255727"/>
    <w:rsid w:val="002557F5"/>
    <w:rsid w:val="00255954"/>
    <w:rsid w:val="00255CC7"/>
    <w:rsid w:val="00255E79"/>
    <w:rsid w:val="0025605F"/>
    <w:rsid w:val="00256188"/>
    <w:rsid w:val="00256561"/>
    <w:rsid w:val="002565A1"/>
    <w:rsid w:val="00256887"/>
    <w:rsid w:val="002568CA"/>
    <w:rsid w:val="002569A5"/>
    <w:rsid w:val="00256A7C"/>
    <w:rsid w:val="00256BC6"/>
    <w:rsid w:val="00256DB1"/>
    <w:rsid w:val="00257297"/>
    <w:rsid w:val="00257ED9"/>
    <w:rsid w:val="0026005F"/>
    <w:rsid w:val="00260610"/>
    <w:rsid w:val="00260689"/>
    <w:rsid w:val="0026083F"/>
    <w:rsid w:val="0026085C"/>
    <w:rsid w:val="00260E3C"/>
    <w:rsid w:val="00260EA6"/>
    <w:rsid w:val="002619F9"/>
    <w:rsid w:val="00261BBF"/>
    <w:rsid w:val="00261D45"/>
    <w:rsid w:val="00261E4C"/>
    <w:rsid w:val="0026246A"/>
    <w:rsid w:val="002627EA"/>
    <w:rsid w:val="00262C21"/>
    <w:rsid w:val="002633F6"/>
    <w:rsid w:val="0026354A"/>
    <w:rsid w:val="00263CE5"/>
    <w:rsid w:val="00263EC7"/>
    <w:rsid w:val="00264432"/>
    <w:rsid w:val="002645BF"/>
    <w:rsid w:val="002647B5"/>
    <w:rsid w:val="002647CA"/>
    <w:rsid w:val="00264C44"/>
    <w:rsid w:val="00264D0D"/>
    <w:rsid w:val="00264FBC"/>
    <w:rsid w:val="00265456"/>
    <w:rsid w:val="002655FE"/>
    <w:rsid w:val="002659FE"/>
    <w:rsid w:val="00265AA5"/>
    <w:rsid w:val="00265AA9"/>
    <w:rsid w:val="00265D36"/>
    <w:rsid w:val="00265D46"/>
    <w:rsid w:val="00265D76"/>
    <w:rsid w:val="00266115"/>
    <w:rsid w:val="00266181"/>
    <w:rsid w:val="002661F7"/>
    <w:rsid w:val="00266465"/>
    <w:rsid w:val="0026656F"/>
    <w:rsid w:val="00266A06"/>
    <w:rsid w:val="00266D2B"/>
    <w:rsid w:val="00266E06"/>
    <w:rsid w:val="00266E25"/>
    <w:rsid w:val="00267017"/>
    <w:rsid w:val="0026708A"/>
    <w:rsid w:val="00267644"/>
    <w:rsid w:val="0026776A"/>
    <w:rsid w:val="002679A3"/>
    <w:rsid w:val="002707C5"/>
    <w:rsid w:val="00270A8C"/>
    <w:rsid w:val="00270AD0"/>
    <w:rsid w:val="00270D76"/>
    <w:rsid w:val="00270DE3"/>
    <w:rsid w:val="00270E1B"/>
    <w:rsid w:val="00270F02"/>
    <w:rsid w:val="00271087"/>
    <w:rsid w:val="00271160"/>
    <w:rsid w:val="0027130C"/>
    <w:rsid w:val="002714C3"/>
    <w:rsid w:val="002714FC"/>
    <w:rsid w:val="00271618"/>
    <w:rsid w:val="00271691"/>
    <w:rsid w:val="0027180C"/>
    <w:rsid w:val="00271953"/>
    <w:rsid w:val="002719AE"/>
    <w:rsid w:val="002719B7"/>
    <w:rsid w:val="00271B19"/>
    <w:rsid w:val="00271CD7"/>
    <w:rsid w:val="00271E18"/>
    <w:rsid w:val="00272440"/>
    <w:rsid w:val="00272970"/>
    <w:rsid w:val="00272ACF"/>
    <w:rsid w:val="00272CD9"/>
    <w:rsid w:val="00272D90"/>
    <w:rsid w:val="002730BC"/>
    <w:rsid w:val="002730D7"/>
    <w:rsid w:val="00273145"/>
    <w:rsid w:val="0027337C"/>
    <w:rsid w:val="002733F7"/>
    <w:rsid w:val="002733FB"/>
    <w:rsid w:val="00273488"/>
    <w:rsid w:val="002734E1"/>
    <w:rsid w:val="00273A4C"/>
    <w:rsid w:val="00273A66"/>
    <w:rsid w:val="00274027"/>
    <w:rsid w:val="002740AB"/>
    <w:rsid w:val="002741AB"/>
    <w:rsid w:val="0027454F"/>
    <w:rsid w:val="00274684"/>
    <w:rsid w:val="00274AAB"/>
    <w:rsid w:val="00274C69"/>
    <w:rsid w:val="00274DD3"/>
    <w:rsid w:val="00274E60"/>
    <w:rsid w:val="00274F38"/>
    <w:rsid w:val="00274FE6"/>
    <w:rsid w:val="00275094"/>
    <w:rsid w:val="0027509C"/>
    <w:rsid w:val="00275164"/>
    <w:rsid w:val="00275190"/>
    <w:rsid w:val="002753A3"/>
    <w:rsid w:val="0027549F"/>
    <w:rsid w:val="002757AF"/>
    <w:rsid w:val="002758E5"/>
    <w:rsid w:val="00275BB7"/>
    <w:rsid w:val="00275C07"/>
    <w:rsid w:val="00275E09"/>
    <w:rsid w:val="00275F5E"/>
    <w:rsid w:val="0027626E"/>
    <w:rsid w:val="00276349"/>
    <w:rsid w:val="002765FA"/>
    <w:rsid w:val="00276721"/>
    <w:rsid w:val="002769ED"/>
    <w:rsid w:val="00276A32"/>
    <w:rsid w:val="00276B9C"/>
    <w:rsid w:val="00276C46"/>
    <w:rsid w:val="00276E06"/>
    <w:rsid w:val="00276F96"/>
    <w:rsid w:val="00277538"/>
    <w:rsid w:val="00277646"/>
    <w:rsid w:val="002778D6"/>
    <w:rsid w:val="00277B12"/>
    <w:rsid w:val="00277BF1"/>
    <w:rsid w:val="00277C64"/>
    <w:rsid w:val="00277CD8"/>
    <w:rsid w:val="00277CF1"/>
    <w:rsid w:val="00277EB0"/>
    <w:rsid w:val="00277F26"/>
    <w:rsid w:val="0028013D"/>
    <w:rsid w:val="00280148"/>
    <w:rsid w:val="002804AB"/>
    <w:rsid w:val="00280535"/>
    <w:rsid w:val="00280623"/>
    <w:rsid w:val="0028080B"/>
    <w:rsid w:val="00280942"/>
    <w:rsid w:val="00280B1B"/>
    <w:rsid w:val="00281008"/>
    <w:rsid w:val="002810E6"/>
    <w:rsid w:val="00281297"/>
    <w:rsid w:val="0028137E"/>
    <w:rsid w:val="00281410"/>
    <w:rsid w:val="00281615"/>
    <w:rsid w:val="00281AAE"/>
    <w:rsid w:val="00281D4D"/>
    <w:rsid w:val="00281ED7"/>
    <w:rsid w:val="00281FFA"/>
    <w:rsid w:val="00282035"/>
    <w:rsid w:val="00282262"/>
    <w:rsid w:val="00283099"/>
    <w:rsid w:val="00283107"/>
    <w:rsid w:val="00283508"/>
    <w:rsid w:val="00283677"/>
    <w:rsid w:val="002836DD"/>
    <w:rsid w:val="002836F7"/>
    <w:rsid w:val="0028376C"/>
    <w:rsid w:val="002838E2"/>
    <w:rsid w:val="00283B69"/>
    <w:rsid w:val="00283CD9"/>
    <w:rsid w:val="00283D4D"/>
    <w:rsid w:val="0028411D"/>
    <w:rsid w:val="0028418A"/>
    <w:rsid w:val="00284368"/>
    <w:rsid w:val="00284389"/>
    <w:rsid w:val="00284730"/>
    <w:rsid w:val="002848F7"/>
    <w:rsid w:val="002849C6"/>
    <w:rsid w:val="00284BCC"/>
    <w:rsid w:val="00284D02"/>
    <w:rsid w:val="00284DC5"/>
    <w:rsid w:val="00284DE1"/>
    <w:rsid w:val="002858A0"/>
    <w:rsid w:val="0028597E"/>
    <w:rsid w:val="00285CC9"/>
    <w:rsid w:val="0028600A"/>
    <w:rsid w:val="00286786"/>
    <w:rsid w:val="00286787"/>
    <w:rsid w:val="002867B9"/>
    <w:rsid w:val="00286AF7"/>
    <w:rsid w:val="00287444"/>
    <w:rsid w:val="0028749D"/>
    <w:rsid w:val="0028754A"/>
    <w:rsid w:val="00287937"/>
    <w:rsid w:val="0028799B"/>
    <w:rsid w:val="00287AE0"/>
    <w:rsid w:val="00287BDF"/>
    <w:rsid w:val="00287C4F"/>
    <w:rsid w:val="00287EB0"/>
    <w:rsid w:val="00290170"/>
    <w:rsid w:val="00290883"/>
    <w:rsid w:val="00290E6D"/>
    <w:rsid w:val="00290EAF"/>
    <w:rsid w:val="00290EEC"/>
    <w:rsid w:val="00290F0E"/>
    <w:rsid w:val="00291707"/>
    <w:rsid w:val="002917C3"/>
    <w:rsid w:val="002919D9"/>
    <w:rsid w:val="0029274C"/>
    <w:rsid w:val="002928E8"/>
    <w:rsid w:val="002929C2"/>
    <w:rsid w:val="00293A78"/>
    <w:rsid w:val="00293B0B"/>
    <w:rsid w:val="0029407F"/>
    <w:rsid w:val="002943CF"/>
    <w:rsid w:val="0029444A"/>
    <w:rsid w:val="0029463D"/>
    <w:rsid w:val="00294B5E"/>
    <w:rsid w:val="00294C00"/>
    <w:rsid w:val="002950CC"/>
    <w:rsid w:val="00295203"/>
    <w:rsid w:val="0029534F"/>
    <w:rsid w:val="002959D2"/>
    <w:rsid w:val="00295ECA"/>
    <w:rsid w:val="0029614B"/>
    <w:rsid w:val="002965A5"/>
    <w:rsid w:val="00296862"/>
    <w:rsid w:val="002968A1"/>
    <w:rsid w:val="002968F8"/>
    <w:rsid w:val="002969B5"/>
    <w:rsid w:val="00296A0E"/>
    <w:rsid w:val="00296F5B"/>
    <w:rsid w:val="00296F68"/>
    <w:rsid w:val="00297169"/>
    <w:rsid w:val="0029725D"/>
    <w:rsid w:val="00297380"/>
    <w:rsid w:val="0029763C"/>
    <w:rsid w:val="00297860"/>
    <w:rsid w:val="00297926"/>
    <w:rsid w:val="00297932"/>
    <w:rsid w:val="00297A81"/>
    <w:rsid w:val="002A0044"/>
    <w:rsid w:val="002A0059"/>
    <w:rsid w:val="002A03B1"/>
    <w:rsid w:val="002A04B1"/>
    <w:rsid w:val="002A04EC"/>
    <w:rsid w:val="002A091D"/>
    <w:rsid w:val="002A0A14"/>
    <w:rsid w:val="002A0B1E"/>
    <w:rsid w:val="002A0E71"/>
    <w:rsid w:val="002A10AF"/>
    <w:rsid w:val="002A1214"/>
    <w:rsid w:val="002A138D"/>
    <w:rsid w:val="002A1932"/>
    <w:rsid w:val="002A1943"/>
    <w:rsid w:val="002A19FE"/>
    <w:rsid w:val="002A1B10"/>
    <w:rsid w:val="002A1BB1"/>
    <w:rsid w:val="002A1CBB"/>
    <w:rsid w:val="002A2253"/>
    <w:rsid w:val="002A227F"/>
    <w:rsid w:val="002A2285"/>
    <w:rsid w:val="002A24A4"/>
    <w:rsid w:val="002A24CC"/>
    <w:rsid w:val="002A27EA"/>
    <w:rsid w:val="002A2A71"/>
    <w:rsid w:val="002A2C45"/>
    <w:rsid w:val="002A2C96"/>
    <w:rsid w:val="002A2E14"/>
    <w:rsid w:val="002A2EF1"/>
    <w:rsid w:val="002A2FA9"/>
    <w:rsid w:val="002A2FD7"/>
    <w:rsid w:val="002A37DE"/>
    <w:rsid w:val="002A3C19"/>
    <w:rsid w:val="002A3C24"/>
    <w:rsid w:val="002A3DF3"/>
    <w:rsid w:val="002A3F6C"/>
    <w:rsid w:val="002A41DB"/>
    <w:rsid w:val="002A482C"/>
    <w:rsid w:val="002A4A03"/>
    <w:rsid w:val="002A4C0C"/>
    <w:rsid w:val="002A4DA8"/>
    <w:rsid w:val="002A4E53"/>
    <w:rsid w:val="002A4E6C"/>
    <w:rsid w:val="002A4ECA"/>
    <w:rsid w:val="002A59AD"/>
    <w:rsid w:val="002A5C1C"/>
    <w:rsid w:val="002A5CF1"/>
    <w:rsid w:val="002A5F93"/>
    <w:rsid w:val="002A5FB9"/>
    <w:rsid w:val="002A6182"/>
    <w:rsid w:val="002A6518"/>
    <w:rsid w:val="002A664E"/>
    <w:rsid w:val="002A672B"/>
    <w:rsid w:val="002A6CCC"/>
    <w:rsid w:val="002A6CF6"/>
    <w:rsid w:val="002A6E84"/>
    <w:rsid w:val="002A729C"/>
    <w:rsid w:val="002A7513"/>
    <w:rsid w:val="002A7588"/>
    <w:rsid w:val="002A784F"/>
    <w:rsid w:val="002A7DB0"/>
    <w:rsid w:val="002B00AC"/>
    <w:rsid w:val="002B0165"/>
    <w:rsid w:val="002B025F"/>
    <w:rsid w:val="002B027A"/>
    <w:rsid w:val="002B05E0"/>
    <w:rsid w:val="002B08E7"/>
    <w:rsid w:val="002B0986"/>
    <w:rsid w:val="002B0A2A"/>
    <w:rsid w:val="002B1236"/>
    <w:rsid w:val="002B127E"/>
    <w:rsid w:val="002B12A9"/>
    <w:rsid w:val="002B1A33"/>
    <w:rsid w:val="002B1B3E"/>
    <w:rsid w:val="002B1CC0"/>
    <w:rsid w:val="002B1CE2"/>
    <w:rsid w:val="002B1CF7"/>
    <w:rsid w:val="002B2190"/>
    <w:rsid w:val="002B224B"/>
    <w:rsid w:val="002B23D3"/>
    <w:rsid w:val="002B2712"/>
    <w:rsid w:val="002B2823"/>
    <w:rsid w:val="002B289A"/>
    <w:rsid w:val="002B28B3"/>
    <w:rsid w:val="002B2A0E"/>
    <w:rsid w:val="002B2A2A"/>
    <w:rsid w:val="002B3270"/>
    <w:rsid w:val="002B3583"/>
    <w:rsid w:val="002B36C7"/>
    <w:rsid w:val="002B3C4E"/>
    <w:rsid w:val="002B3D29"/>
    <w:rsid w:val="002B3F7C"/>
    <w:rsid w:val="002B401D"/>
    <w:rsid w:val="002B4113"/>
    <w:rsid w:val="002B4117"/>
    <w:rsid w:val="002B4225"/>
    <w:rsid w:val="002B43AC"/>
    <w:rsid w:val="002B483C"/>
    <w:rsid w:val="002B4A73"/>
    <w:rsid w:val="002B4D4F"/>
    <w:rsid w:val="002B4D71"/>
    <w:rsid w:val="002B54FD"/>
    <w:rsid w:val="002B58A8"/>
    <w:rsid w:val="002B5FED"/>
    <w:rsid w:val="002B6034"/>
    <w:rsid w:val="002B624F"/>
    <w:rsid w:val="002B65A6"/>
    <w:rsid w:val="002B6745"/>
    <w:rsid w:val="002B6895"/>
    <w:rsid w:val="002B70FA"/>
    <w:rsid w:val="002B71B4"/>
    <w:rsid w:val="002B7357"/>
    <w:rsid w:val="002B73E9"/>
    <w:rsid w:val="002B766E"/>
    <w:rsid w:val="002B799C"/>
    <w:rsid w:val="002B7A0C"/>
    <w:rsid w:val="002B7B46"/>
    <w:rsid w:val="002B7C3F"/>
    <w:rsid w:val="002B7E64"/>
    <w:rsid w:val="002B7F5D"/>
    <w:rsid w:val="002C0711"/>
    <w:rsid w:val="002C09B9"/>
    <w:rsid w:val="002C0B48"/>
    <w:rsid w:val="002C0C55"/>
    <w:rsid w:val="002C0EC4"/>
    <w:rsid w:val="002C0FC5"/>
    <w:rsid w:val="002C123D"/>
    <w:rsid w:val="002C12F3"/>
    <w:rsid w:val="002C18A5"/>
    <w:rsid w:val="002C194B"/>
    <w:rsid w:val="002C198A"/>
    <w:rsid w:val="002C1E66"/>
    <w:rsid w:val="002C21FD"/>
    <w:rsid w:val="002C2432"/>
    <w:rsid w:val="002C2677"/>
    <w:rsid w:val="002C2741"/>
    <w:rsid w:val="002C2851"/>
    <w:rsid w:val="002C286F"/>
    <w:rsid w:val="002C28B8"/>
    <w:rsid w:val="002C2AF5"/>
    <w:rsid w:val="002C2BE3"/>
    <w:rsid w:val="002C2C6B"/>
    <w:rsid w:val="002C309A"/>
    <w:rsid w:val="002C377E"/>
    <w:rsid w:val="002C38C1"/>
    <w:rsid w:val="002C3A1E"/>
    <w:rsid w:val="002C3B62"/>
    <w:rsid w:val="002C3D36"/>
    <w:rsid w:val="002C3DF9"/>
    <w:rsid w:val="002C3EF6"/>
    <w:rsid w:val="002C4584"/>
    <w:rsid w:val="002C4676"/>
    <w:rsid w:val="002C4780"/>
    <w:rsid w:val="002C49F6"/>
    <w:rsid w:val="002C4FB0"/>
    <w:rsid w:val="002C50DC"/>
    <w:rsid w:val="002C512F"/>
    <w:rsid w:val="002C5360"/>
    <w:rsid w:val="002C5570"/>
    <w:rsid w:val="002C5861"/>
    <w:rsid w:val="002C5B03"/>
    <w:rsid w:val="002C5D80"/>
    <w:rsid w:val="002C6205"/>
    <w:rsid w:val="002C64D8"/>
    <w:rsid w:val="002C6892"/>
    <w:rsid w:val="002C69D4"/>
    <w:rsid w:val="002C6C5F"/>
    <w:rsid w:val="002C6D00"/>
    <w:rsid w:val="002C6D2C"/>
    <w:rsid w:val="002C6E3B"/>
    <w:rsid w:val="002C6ECD"/>
    <w:rsid w:val="002C703D"/>
    <w:rsid w:val="002C717B"/>
    <w:rsid w:val="002C71CE"/>
    <w:rsid w:val="002C71FB"/>
    <w:rsid w:val="002C728A"/>
    <w:rsid w:val="002C7386"/>
    <w:rsid w:val="002C7593"/>
    <w:rsid w:val="002C7684"/>
    <w:rsid w:val="002C76B2"/>
    <w:rsid w:val="002C7BC0"/>
    <w:rsid w:val="002C7D29"/>
    <w:rsid w:val="002C7E50"/>
    <w:rsid w:val="002C7EA7"/>
    <w:rsid w:val="002C7F82"/>
    <w:rsid w:val="002D01A9"/>
    <w:rsid w:val="002D0272"/>
    <w:rsid w:val="002D031F"/>
    <w:rsid w:val="002D0349"/>
    <w:rsid w:val="002D0A3E"/>
    <w:rsid w:val="002D14E5"/>
    <w:rsid w:val="002D1640"/>
    <w:rsid w:val="002D1665"/>
    <w:rsid w:val="002D170A"/>
    <w:rsid w:val="002D19D2"/>
    <w:rsid w:val="002D20C8"/>
    <w:rsid w:val="002D2156"/>
    <w:rsid w:val="002D240E"/>
    <w:rsid w:val="002D2423"/>
    <w:rsid w:val="002D2608"/>
    <w:rsid w:val="002D2635"/>
    <w:rsid w:val="002D2707"/>
    <w:rsid w:val="002D2A12"/>
    <w:rsid w:val="002D2CBF"/>
    <w:rsid w:val="002D2D34"/>
    <w:rsid w:val="002D3335"/>
    <w:rsid w:val="002D365E"/>
    <w:rsid w:val="002D36F6"/>
    <w:rsid w:val="002D3863"/>
    <w:rsid w:val="002D3877"/>
    <w:rsid w:val="002D3A04"/>
    <w:rsid w:val="002D3D70"/>
    <w:rsid w:val="002D3E96"/>
    <w:rsid w:val="002D4012"/>
    <w:rsid w:val="002D4454"/>
    <w:rsid w:val="002D449D"/>
    <w:rsid w:val="002D463C"/>
    <w:rsid w:val="002D4745"/>
    <w:rsid w:val="002D4799"/>
    <w:rsid w:val="002D47C7"/>
    <w:rsid w:val="002D48C6"/>
    <w:rsid w:val="002D4974"/>
    <w:rsid w:val="002D4DDC"/>
    <w:rsid w:val="002D4F03"/>
    <w:rsid w:val="002D5319"/>
    <w:rsid w:val="002D598A"/>
    <w:rsid w:val="002D5E33"/>
    <w:rsid w:val="002D5F30"/>
    <w:rsid w:val="002D60ED"/>
    <w:rsid w:val="002D67F9"/>
    <w:rsid w:val="002D6B00"/>
    <w:rsid w:val="002D6B21"/>
    <w:rsid w:val="002D6C39"/>
    <w:rsid w:val="002D6CC1"/>
    <w:rsid w:val="002D6E4C"/>
    <w:rsid w:val="002D76B0"/>
    <w:rsid w:val="002D7750"/>
    <w:rsid w:val="002D7839"/>
    <w:rsid w:val="002D7929"/>
    <w:rsid w:val="002D7B1A"/>
    <w:rsid w:val="002D7FC1"/>
    <w:rsid w:val="002E01F8"/>
    <w:rsid w:val="002E0467"/>
    <w:rsid w:val="002E0476"/>
    <w:rsid w:val="002E05CC"/>
    <w:rsid w:val="002E0633"/>
    <w:rsid w:val="002E074E"/>
    <w:rsid w:val="002E079F"/>
    <w:rsid w:val="002E0815"/>
    <w:rsid w:val="002E09BD"/>
    <w:rsid w:val="002E0AD3"/>
    <w:rsid w:val="002E0D35"/>
    <w:rsid w:val="002E11E3"/>
    <w:rsid w:val="002E12B3"/>
    <w:rsid w:val="002E1317"/>
    <w:rsid w:val="002E1467"/>
    <w:rsid w:val="002E14E7"/>
    <w:rsid w:val="002E1AAA"/>
    <w:rsid w:val="002E1F28"/>
    <w:rsid w:val="002E2027"/>
    <w:rsid w:val="002E20D6"/>
    <w:rsid w:val="002E2205"/>
    <w:rsid w:val="002E2275"/>
    <w:rsid w:val="002E228A"/>
    <w:rsid w:val="002E22E5"/>
    <w:rsid w:val="002E28ED"/>
    <w:rsid w:val="002E2A5C"/>
    <w:rsid w:val="002E2A65"/>
    <w:rsid w:val="002E2D34"/>
    <w:rsid w:val="002E309B"/>
    <w:rsid w:val="002E3196"/>
    <w:rsid w:val="002E31B7"/>
    <w:rsid w:val="002E329F"/>
    <w:rsid w:val="002E32A5"/>
    <w:rsid w:val="002E33EF"/>
    <w:rsid w:val="002E37A1"/>
    <w:rsid w:val="002E3A0F"/>
    <w:rsid w:val="002E3B8A"/>
    <w:rsid w:val="002E401C"/>
    <w:rsid w:val="002E404B"/>
    <w:rsid w:val="002E4433"/>
    <w:rsid w:val="002E44F5"/>
    <w:rsid w:val="002E4F31"/>
    <w:rsid w:val="002E543E"/>
    <w:rsid w:val="002E54D6"/>
    <w:rsid w:val="002E555B"/>
    <w:rsid w:val="002E558A"/>
    <w:rsid w:val="002E558C"/>
    <w:rsid w:val="002E5B72"/>
    <w:rsid w:val="002E646B"/>
    <w:rsid w:val="002E6489"/>
    <w:rsid w:val="002E6581"/>
    <w:rsid w:val="002E6619"/>
    <w:rsid w:val="002E6A7D"/>
    <w:rsid w:val="002E6ADF"/>
    <w:rsid w:val="002E6B3B"/>
    <w:rsid w:val="002E7460"/>
    <w:rsid w:val="002E74CB"/>
    <w:rsid w:val="002E74F8"/>
    <w:rsid w:val="002E7555"/>
    <w:rsid w:val="002E75D0"/>
    <w:rsid w:val="002E7778"/>
    <w:rsid w:val="002E77D5"/>
    <w:rsid w:val="002E78A7"/>
    <w:rsid w:val="002E7B5A"/>
    <w:rsid w:val="002E7E9C"/>
    <w:rsid w:val="002F0048"/>
    <w:rsid w:val="002F0310"/>
    <w:rsid w:val="002F03FB"/>
    <w:rsid w:val="002F0673"/>
    <w:rsid w:val="002F0695"/>
    <w:rsid w:val="002F07BA"/>
    <w:rsid w:val="002F07EE"/>
    <w:rsid w:val="002F08BB"/>
    <w:rsid w:val="002F10D4"/>
    <w:rsid w:val="002F120A"/>
    <w:rsid w:val="002F1591"/>
    <w:rsid w:val="002F162F"/>
    <w:rsid w:val="002F1C93"/>
    <w:rsid w:val="002F1E80"/>
    <w:rsid w:val="002F1EFB"/>
    <w:rsid w:val="002F20ED"/>
    <w:rsid w:val="002F26A2"/>
    <w:rsid w:val="002F27BA"/>
    <w:rsid w:val="002F28C9"/>
    <w:rsid w:val="002F2AE9"/>
    <w:rsid w:val="002F2C7C"/>
    <w:rsid w:val="002F36EC"/>
    <w:rsid w:val="002F37A8"/>
    <w:rsid w:val="002F39EF"/>
    <w:rsid w:val="002F3D9C"/>
    <w:rsid w:val="002F3E5F"/>
    <w:rsid w:val="002F3FE1"/>
    <w:rsid w:val="002F403E"/>
    <w:rsid w:val="002F405E"/>
    <w:rsid w:val="002F40B7"/>
    <w:rsid w:val="002F462A"/>
    <w:rsid w:val="002F4DBA"/>
    <w:rsid w:val="002F5008"/>
    <w:rsid w:val="002F5060"/>
    <w:rsid w:val="002F52B4"/>
    <w:rsid w:val="002F5823"/>
    <w:rsid w:val="002F5AD4"/>
    <w:rsid w:val="002F5B9E"/>
    <w:rsid w:val="002F5DD1"/>
    <w:rsid w:val="002F5F67"/>
    <w:rsid w:val="002F5FF3"/>
    <w:rsid w:val="002F617F"/>
    <w:rsid w:val="002F62DA"/>
    <w:rsid w:val="002F6408"/>
    <w:rsid w:val="002F6A24"/>
    <w:rsid w:val="002F6A76"/>
    <w:rsid w:val="002F6AAE"/>
    <w:rsid w:val="002F6AE7"/>
    <w:rsid w:val="002F6DBB"/>
    <w:rsid w:val="002F6F42"/>
    <w:rsid w:val="002F743D"/>
    <w:rsid w:val="002F778D"/>
    <w:rsid w:val="002F79F4"/>
    <w:rsid w:val="002F7B8F"/>
    <w:rsid w:val="002F7ED0"/>
    <w:rsid w:val="003000C3"/>
    <w:rsid w:val="00300B0C"/>
    <w:rsid w:val="00300D67"/>
    <w:rsid w:val="00300F16"/>
    <w:rsid w:val="00300FC2"/>
    <w:rsid w:val="003011A8"/>
    <w:rsid w:val="0030139B"/>
    <w:rsid w:val="00301B9D"/>
    <w:rsid w:val="00301D9C"/>
    <w:rsid w:val="00301E2B"/>
    <w:rsid w:val="0030215E"/>
    <w:rsid w:val="00302720"/>
    <w:rsid w:val="00302933"/>
    <w:rsid w:val="00302A18"/>
    <w:rsid w:val="00302A32"/>
    <w:rsid w:val="00302A7F"/>
    <w:rsid w:val="00302E11"/>
    <w:rsid w:val="00302EE4"/>
    <w:rsid w:val="00302EF0"/>
    <w:rsid w:val="0030311C"/>
    <w:rsid w:val="003033E4"/>
    <w:rsid w:val="00303589"/>
    <w:rsid w:val="00303603"/>
    <w:rsid w:val="0030365B"/>
    <w:rsid w:val="003039A7"/>
    <w:rsid w:val="00303AB7"/>
    <w:rsid w:val="00303D7A"/>
    <w:rsid w:val="003044B0"/>
    <w:rsid w:val="00304553"/>
    <w:rsid w:val="003048A7"/>
    <w:rsid w:val="00305A6D"/>
    <w:rsid w:val="00305D44"/>
    <w:rsid w:val="00306265"/>
    <w:rsid w:val="003062C9"/>
    <w:rsid w:val="00306AFD"/>
    <w:rsid w:val="00306C28"/>
    <w:rsid w:val="00306C60"/>
    <w:rsid w:val="00306EFA"/>
    <w:rsid w:val="00307017"/>
    <w:rsid w:val="0030720D"/>
    <w:rsid w:val="0030760B"/>
    <w:rsid w:val="00307667"/>
    <w:rsid w:val="003076C9"/>
    <w:rsid w:val="003077C9"/>
    <w:rsid w:val="00307890"/>
    <w:rsid w:val="003078D1"/>
    <w:rsid w:val="00307DB2"/>
    <w:rsid w:val="003100D4"/>
    <w:rsid w:val="00310301"/>
    <w:rsid w:val="003103E5"/>
    <w:rsid w:val="00310404"/>
    <w:rsid w:val="00310D46"/>
    <w:rsid w:val="00310EB5"/>
    <w:rsid w:val="0031109A"/>
    <w:rsid w:val="0031110B"/>
    <w:rsid w:val="00311226"/>
    <w:rsid w:val="00311417"/>
    <w:rsid w:val="00311618"/>
    <w:rsid w:val="003119E0"/>
    <w:rsid w:val="00311A68"/>
    <w:rsid w:val="00311BBD"/>
    <w:rsid w:val="00311C0D"/>
    <w:rsid w:val="00311CB6"/>
    <w:rsid w:val="00311D0F"/>
    <w:rsid w:val="00312076"/>
    <w:rsid w:val="0031207F"/>
    <w:rsid w:val="003120FA"/>
    <w:rsid w:val="00312138"/>
    <w:rsid w:val="00312153"/>
    <w:rsid w:val="003129E1"/>
    <w:rsid w:val="00312A6F"/>
    <w:rsid w:val="00312C75"/>
    <w:rsid w:val="00312D31"/>
    <w:rsid w:val="00312F06"/>
    <w:rsid w:val="003130C3"/>
    <w:rsid w:val="003130EA"/>
    <w:rsid w:val="0031322A"/>
    <w:rsid w:val="00313D66"/>
    <w:rsid w:val="00313DD2"/>
    <w:rsid w:val="0031415F"/>
    <w:rsid w:val="003141C7"/>
    <w:rsid w:val="0031461C"/>
    <w:rsid w:val="00314657"/>
    <w:rsid w:val="003146BB"/>
    <w:rsid w:val="0031486A"/>
    <w:rsid w:val="00314951"/>
    <w:rsid w:val="00314AB2"/>
    <w:rsid w:val="00315317"/>
    <w:rsid w:val="00315410"/>
    <w:rsid w:val="00315504"/>
    <w:rsid w:val="0031553F"/>
    <w:rsid w:val="00315ABB"/>
    <w:rsid w:val="00315E99"/>
    <w:rsid w:val="003161A1"/>
    <w:rsid w:val="003164A0"/>
    <w:rsid w:val="0031650E"/>
    <w:rsid w:val="00316712"/>
    <w:rsid w:val="00316940"/>
    <w:rsid w:val="00316941"/>
    <w:rsid w:val="00316973"/>
    <w:rsid w:val="00316ACC"/>
    <w:rsid w:val="00316B71"/>
    <w:rsid w:val="00316BBE"/>
    <w:rsid w:val="00316CCF"/>
    <w:rsid w:val="00316FC0"/>
    <w:rsid w:val="0031701E"/>
    <w:rsid w:val="00317216"/>
    <w:rsid w:val="00317470"/>
    <w:rsid w:val="00317698"/>
    <w:rsid w:val="00317718"/>
    <w:rsid w:val="00317739"/>
    <w:rsid w:val="00317760"/>
    <w:rsid w:val="00317884"/>
    <w:rsid w:val="00317BD3"/>
    <w:rsid w:val="00317DEC"/>
    <w:rsid w:val="00317E7E"/>
    <w:rsid w:val="00320074"/>
    <w:rsid w:val="00320115"/>
    <w:rsid w:val="00320176"/>
    <w:rsid w:val="00320B13"/>
    <w:rsid w:val="00320C0A"/>
    <w:rsid w:val="00320E4A"/>
    <w:rsid w:val="003210E9"/>
    <w:rsid w:val="0032132C"/>
    <w:rsid w:val="00321514"/>
    <w:rsid w:val="0032198D"/>
    <w:rsid w:val="00321B29"/>
    <w:rsid w:val="00321C2F"/>
    <w:rsid w:val="00321F4A"/>
    <w:rsid w:val="00321F5E"/>
    <w:rsid w:val="00321F5F"/>
    <w:rsid w:val="0032208C"/>
    <w:rsid w:val="00322493"/>
    <w:rsid w:val="0032284F"/>
    <w:rsid w:val="00322E53"/>
    <w:rsid w:val="0032314D"/>
    <w:rsid w:val="00323C94"/>
    <w:rsid w:val="00323E40"/>
    <w:rsid w:val="00323F7A"/>
    <w:rsid w:val="00324074"/>
    <w:rsid w:val="003244DD"/>
    <w:rsid w:val="00324515"/>
    <w:rsid w:val="003247E4"/>
    <w:rsid w:val="003248B7"/>
    <w:rsid w:val="003249D1"/>
    <w:rsid w:val="00324C25"/>
    <w:rsid w:val="00324DBC"/>
    <w:rsid w:val="00324ECC"/>
    <w:rsid w:val="00325007"/>
    <w:rsid w:val="00325075"/>
    <w:rsid w:val="003252C6"/>
    <w:rsid w:val="00325453"/>
    <w:rsid w:val="00325455"/>
    <w:rsid w:val="00325504"/>
    <w:rsid w:val="0032619D"/>
    <w:rsid w:val="003261DF"/>
    <w:rsid w:val="003262E0"/>
    <w:rsid w:val="0032638C"/>
    <w:rsid w:val="003267FD"/>
    <w:rsid w:val="00326A83"/>
    <w:rsid w:val="00326F56"/>
    <w:rsid w:val="00327286"/>
    <w:rsid w:val="00327514"/>
    <w:rsid w:val="00327750"/>
    <w:rsid w:val="0032788E"/>
    <w:rsid w:val="003279BC"/>
    <w:rsid w:val="00327CFE"/>
    <w:rsid w:val="00327FD0"/>
    <w:rsid w:val="00330287"/>
    <w:rsid w:val="00330294"/>
    <w:rsid w:val="003302E6"/>
    <w:rsid w:val="0033053A"/>
    <w:rsid w:val="003306AD"/>
    <w:rsid w:val="00330884"/>
    <w:rsid w:val="003308F9"/>
    <w:rsid w:val="0033101E"/>
    <w:rsid w:val="00331112"/>
    <w:rsid w:val="003312D0"/>
    <w:rsid w:val="00331449"/>
    <w:rsid w:val="00331464"/>
    <w:rsid w:val="00331507"/>
    <w:rsid w:val="0033168D"/>
    <w:rsid w:val="003316BC"/>
    <w:rsid w:val="003316D3"/>
    <w:rsid w:val="00331740"/>
    <w:rsid w:val="00331C9E"/>
    <w:rsid w:val="00331F05"/>
    <w:rsid w:val="00331F2F"/>
    <w:rsid w:val="00332073"/>
    <w:rsid w:val="0033221E"/>
    <w:rsid w:val="003329DA"/>
    <w:rsid w:val="00332A8C"/>
    <w:rsid w:val="00332EC7"/>
    <w:rsid w:val="00332EE7"/>
    <w:rsid w:val="00332F86"/>
    <w:rsid w:val="0033303A"/>
    <w:rsid w:val="00333071"/>
    <w:rsid w:val="0033313B"/>
    <w:rsid w:val="0033313F"/>
    <w:rsid w:val="00333798"/>
    <w:rsid w:val="003337C8"/>
    <w:rsid w:val="00333AC9"/>
    <w:rsid w:val="00333B95"/>
    <w:rsid w:val="00333BCA"/>
    <w:rsid w:val="00333F7D"/>
    <w:rsid w:val="003341E7"/>
    <w:rsid w:val="00334344"/>
    <w:rsid w:val="00334496"/>
    <w:rsid w:val="0033450E"/>
    <w:rsid w:val="00334562"/>
    <w:rsid w:val="00334857"/>
    <w:rsid w:val="003348B2"/>
    <w:rsid w:val="003349E4"/>
    <w:rsid w:val="00334B77"/>
    <w:rsid w:val="00334EDE"/>
    <w:rsid w:val="0033505A"/>
    <w:rsid w:val="00335251"/>
    <w:rsid w:val="00335270"/>
    <w:rsid w:val="00335331"/>
    <w:rsid w:val="00335437"/>
    <w:rsid w:val="00335538"/>
    <w:rsid w:val="003355FC"/>
    <w:rsid w:val="0033565D"/>
    <w:rsid w:val="00335970"/>
    <w:rsid w:val="003359D0"/>
    <w:rsid w:val="00335A45"/>
    <w:rsid w:val="00335A9C"/>
    <w:rsid w:val="00335C76"/>
    <w:rsid w:val="003361A7"/>
    <w:rsid w:val="003362C4"/>
    <w:rsid w:val="0033650F"/>
    <w:rsid w:val="003365BD"/>
    <w:rsid w:val="00336CDC"/>
    <w:rsid w:val="00337395"/>
    <w:rsid w:val="0033779D"/>
    <w:rsid w:val="00337917"/>
    <w:rsid w:val="003379A1"/>
    <w:rsid w:val="00337E7E"/>
    <w:rsid w:val="003401DB"/>
    <w:rsid w:val="00340959"/>
    <w:rsid w:val="00340A38"/>
    <w:rsid w:val="00340B17"/>
    <w:rsid w:val="00340DBD"/>
    <w:rsid w:val="00340F84"/>
    <w:rsid w:val="003410D4"/>
    <w:rsid w:val="003411FB"/>
    <w:rsid w:val="003414B3"/>
    <w:rsid w:val="003414CF"/>
    <w:rsid w:val="00341932"/>
    <w:rsid w:val="00341E9C"/>
    <w:rsid w:val="00341FF7"/>
    <w:rsid w:val="003424AA"/>
    <w:rsid w:val="00342683"/>
    <w:rsid w:val="0034269E"/>
    <w:rsid w:val="003426FE"/>
    <w:rsid w:val="00342952"/>
    <w:rsid w:val="00342AF0"/>
    <w:rsid w:val="00342B84"/>
    <w:rsid w:val="003439D1"/>
    <w:rsid w:val="00343CA7"/>
    <w:rsid w:val="00343FDE"/>
    <w:rsid w:val="003443AD"/>
    <w:rsid w:val="00344443"/>
    <w:rsid w:val="003444E1"/>
    <w:rsid w:val="0034457E"/>
    <w:rsid w:val="0034472D"/>
    <w:rsid w:val="003447A5"/>
    <w:rsid w:val="003447D9"/>
    <w:rsid w:val="003447F1"/>
    <w:rsid w:val="003448C1"/>
    <w:rsid w:val="003448DB"/>
    <w:rsid w:val="00344A7C"/>
    <w:rsid w:val="00344B59"/>
    <w:rsid w:val="00344C87"/>
    <w:rsid w:val="00344DB6"/>
    <w:rsid w:val="00345269"/>
    <w:rsid w:val="003452A8"/>
    <w:rsid w:val="00345533"/>
    <w:rsid w:val="0034588A"/>
    <w:rsid w:val="00345ABD"/>
    <w:rsid w:val="00345E97"/>
    <w:rsid w:val="00345F61"/>
    <w:rsid w:val="003461F5"/>
    <w:rsid w:val="00346334"/>
    <w:rsid w:val="003463D3"/>
    <w:rsid w:val="003466A0"/>
    <w:rsid w:val="003468E2"/>
    <w:rsid w:val="00346B4D"/>
    <w:rsid w:val="00346F4C"/>
    <w:rsid w:val="003472E6"/>
    <w:rsid w:val="003472EE"/>
    <w:rsid w:val="003475B3"/>
    <w:rsid w:val="00347674"/>
    <w:rsid w:val="00347A72"/>
    <w:rsid w:val="00347BB8"/>
    <w:rsid w:val="00347BE3"/>
    <w:rsid w:val="00347C39"/>
    <w:rsid w:val="00347DA0"/>
    <w:rsid w:val="00347DED"/>
    <w:rsid w:val="00347EE4"/>
    <w:rsid w:val="00347F08"/>
    <w:rsid w:val="00347F48"/>
    <w:rsid w:val="00347F57"/>
    <w:rsid w:val="003500B2"/>
    <w:rsid w:val="00350282"/>
    <w:rsid w:val="003506D4"/>
    <w:rsid w:val="003507AF"/>
    <w:rsid w:val="003507B3"/>
    <w:rsid w:val="00350852"/>
    <w:rsid w:val="00350C36"/>
    <w:rsid w:val="00350FD2"/>
    <w:rsid w:val="003511C6"/>
    <w:rsid w:val="00351FBC"/>
    <w:rsid w:val="003520DF"/>
    <w:rsid w:val="0035254B"/>
    <w:rsid w:val="00352584"/>
    <w:rsid w:val="003527CD"/>
    <w:rsid w:val="00352950"/>
    <w:rsid w:val="00352A2C"/>
    <w:rsid w:val="00352D2A"/>
    <w:rsid w:val="00352E96"/>
    <w:rsid w:val="00353503"/>
    <w:rsid w:val="0035359F"/>
    <w:rsid w:val="00353818"/>
    <w:rsid w:val="00353EBA"/>
    <w:rsid w:val="00354020"/>
    <w:rsid w:val="00354060"/>
    <w:rsid w:val="00354179"/>
    <w:rsid w:val="003541E0"/>
    <w:rsid w:val="00354236"/>
    <w:rsid w:val="0035439D"/>
    <w:rsid w:val="00354531"/>
    <w:rsid w:val="0035471B"/>
    <w:rsid w:val="00354C05"/>
    <w:rsid w:val="00354DA2"/>
    <w:rsid w:val="00355292"/>
    <w:rsid w:val="003552DA"/>
    <w:rsid w:val="003557FA"/>
    <w:rsid w:val="0035583E"/>
    <w:rsid w:val="003559A6"/>
    <w:rsid w:val="00355A4A"/>
    <w:rsid w:val="00355D42"/>
    <w:rsid w:val="00355D7F"/>
    <w:rsid w:val="00356087"/>
    <w:rsid w:val="0035609D"/>
    <w:rsid w:val="00356157"/>
    <w:rsid w:val="00356168"/>
    <w:rsid w:val="00356659"/>
    <w:rsid w:val="003568FC"/>
    <w:rsid w:val="00356C41"/>
    <w:rsid w:val="00356D25"/>
    <w:rsid w:val="00356DBD"/>
    <w:rsid w:val="00356FAA"/>
    <w:rsid w:val="0035700B"/>
    <w:rsid w:val="00357563"/>
    <w:rsid w:val="00357C00"/>
    <w:rsid w:val="00357DBA"/>
    <w:rsid w:val="00357FC0"/>
    <w:rsid w:val="00360169"/>
    <w:rsid w:val="0036022E"/>
    <w:rsid w:val="00360398"/>
    <w:rsid w:val="0036073C"/>
    <w:rsid w:val="00360B12"/>
    <w:rsid w:val="00360E82"/>
    <w:rsid w:val="00360E9F"/>
    <w:rsid w:val="00360F25"/>
    <w:rsid w:val="003610B5"/>
    <w:rsid w:val="00361301"/>
    <w:rsid w:val="00361460"/>
    <w:rsid w:val="00361599"/>
    <w:rsid w:val="00361688"/>
    <w:rsid w:val="00361734"/>
    <w:rsid w:val="0036175A"/>
    <w:rsid w:val="003618B1"/>
    <w:rsid w:val="00361D2F"/>
    <w:rsid w:val="00361E76"/>
    <w:rsid w:val="00361F5E"/>
    <w:rsid w:val="00361FAF"/>
    <w:rsid w:val="0036247D"/>
    <w:rsid w:val="003624DC"/>
    <w:rsid w:val="00362593"/>
    <w:rsid w:val="00362945"/>
    <w:rsid w:val="00362FD8"/>
    <w:rsid w:val="00363117"/>
    <w:rsid w:val="0036321D"/>
    <w:rsid w:val="00363346"/>
    <w:rsid w:val="003635D1"/>
    <w:rsid w:val="0036371F"/>
    <w:rsid w:val="003638FF"/>
    <w:rsid w:val="00363924"/>
    <w:rsid w:val="003639B5"/>
    <w:rsid w:val="00363C75"/>
    <w:rsid w:val="00363D33"/>
    <w:rsid w:val="0036450C"/>
    <w:rsid w:val="003646D3"/>
    <w:rsid w:val="00364730"/>
    <w:rsid w:val="00364844"/>
    <w:rsid w:val="00364BE0"/>
    <w:rsid w:val="003651BB"/>
    <w:rsid w:val="003652B8"/>
    <w:rsid w:val="0036558F"/>
    <w:rsid w:val="00365639"/>
    <w:rsid w:val="003656AB"/>
    <w:rsid w:val="003657AD"/>
    <w:rsid w:val="0036583E"/>
    <w:rsid w:val="003658CF"/>
    <w:rsid w:val="00365C23"/>
    <w:rsid w:val="003661F2"/>
    <w:rsid w:val="003661FF"/>
    <w:rsid w:val="003664AE"/>
    <w:rsid w:val="0036650D"/>
    <w:rsid w:val="003667E5"/>
    <w:rsid w:val="00366921"/>
    <w:rsid w:val="00366970"/>
    <w:rsid w:val="00366B2D"/>
    <w:rsid w:val="00366FA8"/>
    <w:rsid w:val="003670D9"/>
    <w:rsid w:val="003672FC"/>
    <w:rsid w:val="00367381"/>
    <w:rsid w:val="003673C3"/>
    <w:rsid w:val="00367462"/>
    <w:rsid w:val="0037032A"/>
    <w:rsid w:val="003704B0"/>
    <w:rsid w:val="003706CA"/>
    <w:rsid w:val="00370709"/>
    <w:rsid w:val="0037082C"/>
    <w:rsid w:val="003708B2"/>
    <w:rsid w:val="003708C2"/>
    <w:rsid w:val="00370AA8"/>
    <w:rsid w:val="00370C15"/>
    <w:rsid w:val="00370D75"/>
    <w:rsid w:val="00370E9A"/>
    <w:rsid w:val="003710FC"/>
    <w:rsid w:val="0037125E"/>
    <w:rsid w:val="00371432"/>
    <w:rsid w:val="0037158C"/>
    <w:rsid w:val="0037160F"/>
    <w:rsid w:val="00371679"/>
    <w:rsid w:val="00371695"/>
    <w:rsid w:val="00371B7E"/>
    <w:rsid w:val="00371B90"/>
    <w:rsid w:val="00371F28"/>
    <w:rsid w:val="00371FDC"/>
    <w:rsid w:val="00372071"/>
    <w:rsid w:val="003724E1"/>
    <w:rsid w:val="0037250F"/>
    <w:rsid w:val="00372831"/>
    <w:rsid w:val="00372836"/>
    <w:rsid w:val="00372902"/>
    <w:rsid w:val="00372BC3"/>
    <w:rsid w:val="00372C6E"/>
    <w:rsid w:val="00373039"/>
    <w:rsid w:val="00373185"/>
    <w:rsid w:val="00373335"/>
    <w:rsid w:val="0037343E"/>
    <w:rsid w:val="0037364D"/>
    <w:rsid w:val="003738AF"/>
    <w:rsid w:val="00374000"/>
    <w:rsid w:val="00374002"/>
    <w:rsid w:val="00374157"/>
    <w:rsid w:val="00374190"/>
    <w:rsid w:val="0037430B"/>
    <w:rsid w:val="003743D3"/>
    <w:rsid w:val="00374411"/>
    <w:rsid w:val="00374645"/>
    <w:rsid w:val="00374922"/>
    <w:rsid w:val="003749C9"/>
    <w:rsid w:val="00374A6E"/>
    <w:rsid w:val="00374ACB"/>
    <w:rsid w:val="00374C02"/>
    <w:rsid w:val="00374D01"/>
    <w:rsid w:val="00374DDE"/>
    <w:rsid w:val="003753C5"/>
    <w:rsid w:val="0037564A"/>
    <w:rsid w:val="00375A51"/>
    <w:rsid w:val="00375B0D"/>
    <w:rsid w:val="00375BCE"/>
    <w:rsid w:val="00375BD3"/>
    <w:rsid w:val="00375C76"/>
    <w:rsid w:val="00375D26"/>
    <w:rsid w:val="00375D86"/>
    <w:rsid w:val="00375E90"/>
    <w:rsid w:val="00375F41"/>
    <w:rsid w:val="00376045"/>
    <w:rsid w:val="00376230"/>
    <w:rsid w:val="0037647D"/>
    <w:rsid w:val="003765F3"/>
    <w:rsid w:val="0037678E"/>
    <w:rsid w:val="00376833"/>
    <w:rsid w:val="00376890"/>
    <w:rsid w:val="003768CE"/>
    <w:rsid w:val="00376A15"/>
    <w:rsid w:val="00376B16"/>
    <w:rsid w:val="00376CF9"/>
    <w:rsid w:val="00376DC1"/>
    <w:rsid w:val="00377225"/>
    <w:rsid w:val="0037777F"/>
    <w:rsid w:val="00377ACB"/>
    <w:rsid w:val="00377FF7"/>
    <w:rsid w:val="003800C0"/>
    <w:rsid w:val="00380151"/>
    <w:rsid w:val="003801D4"/>
    <w:rsid w:val="00380298"/>
    <w:rsid w:val="0038034C"/>
    <w:rsid w:val="003806B4"/>
    <w:rsid w:val="00380DA5"/>
    <w:rsid w:val="00380E24"/>
    <w:rsid w:val="00380FD6"/>
    <w:rsid w:val="00381364"/>
    <w:rsid w:val="00381744"/>
    <w:rsid w:val="003819BA"/>
    <w:rsid w:val="00381EC9"/>
    <w:rsid w:val="00381F33"/>
    <w:rsid w:val="00381FFB"/>
    <w:rsid w:val="00382171"/>
    <w:rsid w:val="00382239"/>
    <w:rsid w:val="003825E9"/>
    <w:rsid w:val="0038265C"/>
    <w:rsid w:val="00382722"/>
    <w:rsid w:val="00382821"/>
    <w:rsid w:val="00382847"/>
    <w:rsid w:val="00382A2F"/>
    <w:rsid w:val="00382BE5"/>
    <w:rsid w:val="00382F9B"/>
    <w:rsid w:val="00382FD0"/>
    <w:rsid w:val="00383027"/>
    <w:rsid w:val="003830A9"/>
    <w:rsid w:val="003831AC"/>
    <w:rsid w:val="00383B37"/>
    <w:rsid w:val="00383E02"/>
    <w:rsid w:val="00383F80"/>
    <w:rsid w:val="00383F87"/>
    <w:rsid w:val="0038470B"/>
    <w:rsid w:val="00384941"/>
    <w:rsid w:val="00384B28"/>
    <w:rsid w:val="00384B84"/>
    <w:rsid w:val="00384CA1"/>
    <w:rsid w:val="00384D1F"/>
    <w:rsid w:val="0038521B"/>
    <w:rsid w:val="003854CD"/>
    <w:rsid w:val="0038564E"/>
    <w:rsid w:val="0038588E"/>
    <w:rsid w:val="00385C21"/>
    <w:rsid w:val="00385C2C"/>
    <w:rsid w:val="00385EFC"/>
    <w:rsid w:val="00385F0B"/>
    <w:rsid w:val="00386016"/>
    <w:rsid w:val="0038603C"/>
    <w:rsid w:val="003862CF"/>
    <w:rsid w:val="00386422"/>
    <w:rsid w:val="00386433"/>
    <w:rsid w:val="0038689B"/>
    <w:rsid w:val="00386F80"/>
    <w:rsid w:val="00386FAB"/>
    <w:rsid w:val="0038700C"/>
    <w:rsid w:val="00387077"/>
    <w:rsid w:val="00387345"/>
    <w:rsid w:val="003876C8"/>
    <w:rsid w:val="00387B71"/>
    <w:rsid w:val="00387BA2"/>
    <w:rsid w:val="00390334"/>
    <w:rsid w:val="00390458"/>
    <w:rsid w:val="003905A8"/>
    <w:rsid w:val="003905EC"/>
    <w:rsid w:val="00390721"/>
    <w:rsid w:val="00390804"/>
    <w:rsid w:val="00390845"/>
    <w:rsid w:val="003908F5"/>
    <w:rsid w:val="00390B11"/>
    <w:rsid w:val="00390D0D"/>
    <w:rsid w:val="00390ED0"/>
    <w:rsid w:val="00391020"/>
    <w:rsid w:val="00391424"/>
    <w:rsid w:val="003914BA"/>
    <w:rsid w:val="003916B4"/>
    <w:rsid w:val="00391875"/>
    <w:rsid w:val="003918E3"/>
    <w:rsid w:val="00391BDC"/>
    <w:rsid w:val="00391D37"/>
    <w:rsid w:val="003924C0"/>
    <w:rsid w:val="0039250B"/>
    <w:rsid w:val="00392521"/>
    <w:rsid w:val="003926AF"/>
    <w:rsid w:val="003927F4"/>
    <w:rsid w:val="00392845"/>
    <w:rsid w:val="003929D3"/>
    <w:rsid w:val="00392E30"/>
    <w:rsid w:val="00392E80"/>
    <w:rsid w:val="00392FA8"/>
    <w:rsid w:val="00393168"/>
    <w:rsid w:val="00393686"/>
    <w:rsid w:val="00393973"/>
    <w:rsid w:val="00393AEC"/>
    <w:rsid w:val="00393BDE"/>
    <w:rsid w:val="00393FFE"/>
    <w:rsid w:val="003942A3"/>
    <w:rsid w:val="00394368"/>
    <w:rsid w:val="00394B11"/>
    <w:rsid w:val="00394CB0"/>
    <w:rsid w:val="00394DB5"/>
    <w:rsid w:val="00394EDA"/>
    <w:rsid w:val="00394EFC"/>
    <w:rsid w:val="00394F8C"/>
    <w:rsid w:val="00395162"/>
    <w:rsid w:val="00395164"/>
    <w:rsid w:val="00395435"/>
    <w:rsid w:val="003954DA"/>
    <w:rsid w:val="00395777"/>
    <w:rsid w:val="003957C3"/>
    <w:rsid w:val="00395ABD"/>
    <w:rsid w:val="00395E3E"/>
    <w:rsid w:val="00395F71"/>
    <w:rsid w:val="00396238"/>
    <w:rsid w:val="0039650B"/>
    <w:rsid w:val="00396859"/>
    <w:rsid w:val="0039688A"/>
    <w:rsid w:val="00396949"/>
    <w:rsid w:val="003969A4"/>
    <w:rsid w:val="00396A51"/>
    <w:rsid w:val="00396B0C"/>
    <w:rsid w:val="00396B4B"/>
    <w:rsid w:val="00396F40"/>
    <w:rsid w:val="00397007"/>
    <w:rsid w:val="00397365"/>
    <w:rsid w:val="00397829"/>
    <w:rsid w:val="00397872"/>
    <w:rsid w:val="003A024A"/>
    <w:rsid w:val="003A03EA"/>
    <w:rsid w:val="003A0453"/>
    <w:rsid w:val="003A0581"/>
    <w:rsid w:val="003A05B8"/>
    <w:rsid w:val="003A08EA"/>
    <w:rsid w:val="003A0ACE"/>
    <w:rsid w:val="003A0D10"/>
    <w:rsid w:val="003A0DE7"/>
    <w:rsid w:val="003A11BD"/>
    <w:rsid w:val="003A1431"/>
    <w:rsid w:val="003A149D"/>
    <w:rsid w:val="003A16AF"/>
    <w:rsid w:val="003A1856"/>
    <w:rsid w:val="003A1A78"/>
    <w:rsid w:val="003A21E0"/>
    <w:rsid w:val="003A2269"/>
    <w:rsid w:val="003A2575"/>
    <w:rsid w:val="003A2772"/>
    <w:rsid w:val="003A27E6"/>
    <w:rsid w:val="003A2859"/>
    <w:rsid w:val="003A2A44"/>
    <w:rsid w:val="003A2CFD"/>
    <w:rsid w:val="003A303B"/>
    <w:rsid w:val="003A344E"/>
    <w:rsid w:val="003A3AFE"/>
    <w:rsid w:val="003A3B4A"/>
    <w:rsid w:val="003A3BA4"/>
    <w:rsid w:val="003A3CAD"/>
    <w:rsid w:val="003A3F7A"/>
    <w:rsid w:val="003A4293"/>
    <w:rsid w:val="003A4461"/>
    <w:rsid w:val="003A454D"/>
    <w:rsid w:val="003A455D"/>
    <w:rsid w:val="003A4686"/>
    <w:rsid w:val="003A472B"/>
    <w:rsid w:val="003A4858"/>
    <w:rsid w:val="003A4DF4"/>
    <w:rsid w:val="003A4E50"/>
    <w:rsid w:val="003A4F65"/>
    <w:rsid w:val="003A52E7"/>
    <w:rsid w:val="003A5361"/>
    <w:rsid w:val="003A53B2"/>
    <w:rsid w:val="003A53D5"/>
    <w:rsid w:val="003A5446"/>
    <w:rsid w:val="003A5691"/>
    <w:rsid w:val="003A58D4"/>
    <w:rsid w:val="003A58F0"/>
    <w:rsid w:val="003A5B50"/>
    <w:rsid w:val="003A5F39"/>
    <w:rsid w:val="003A6123"/>
    <w:rsid w:val="003A619F"/>
    <w:rsid w:val="003A6707"/>
    <w:rsid w:val="003A688D"/>
    <w:rsid w:val="003A6C4B"/>
    <w:rsid w:val="003A6F63"/>
    <w:rsid w:val="003A7440"/>
    <w:rsid w:val="003A7572"/>
    <w:rsid w:val="003A75F7"/>
    <w:rsid w:val="003B008F"/>
    <w:rsid w:val="003B060B"/>
    <w:rsid w:val="003B0C45"/>
    <w:rsid w:val="003B0D1C"/>
    <w:rsid w:val="003B0E76"/>
    <w:rsid w:val="003B10D3"/>
    <w:rsid w:val="003B1186"/>
    <w:rsid w:val="003B1383"/>
    <w:rsid w:val="003B13DE"/>
    <w:rsid w:val="003B17BE"/>
    <w:rsid w:val="003B19C6"/>
    <w:rsid w:val="003B1E56"/>
    <w:rsid w:val="003B24FD"/>
    <w:rsid w:val="003B289E"/>
    <w:rsid w:val="003B2918"/>
    <w:rsid w:val="003B2945"/>
    <w:rsid w:val="003B2C81"/>
    <w:rsid w:val="003B2E15"/>
    <w:rsid w:val="003B2E47"/>
    <w:rsid w:val="003B2F7A"/>
    <w:rsid w:val="003B2FCF"/>
    <w:rsid w:val="003B2FDF"/>
    <w:rsid w:val="003B309F"/>
    <w:rsid w:val="003B32C7"/>
    <w:rsid w:val="003B34DA"/>
    <w:rsid w:val="003B3710"/>
    <w:rsid w:val="003B3A58"/>
    <w:rsid w:val="003B3CF5"/>
    <w:rsid w:val="003B3DB5"/>
    <w:rsid w:val="003B3F05"/>
    <w:rsid w:val="003B3F73"/>
    <w:rsid w:val="003B4659"/>
    <w:rsid w:val="003B4858"/>
    <w:rsid w:val="003B49B0"/>
    <w:rsid w:val="003B4C0B"/>
    <w:rsid w:val="003B4D44"/>
    <w:rsid w:val="003B5353"/>
    <w:rsid w:val="003B5582"/>
    <w:rsid w:val="003B56D4"/>
    <w:rsid w:val="003B5DF6"/>
    <w:rsid w:val="003B627F"/>
    <w:rsid w:val="003B62DA"/>
    <w:rsid w:val="003B646B"/>
    <w:rsid w:val="003B64AB"/>
    <w:rsid w:val="003B66AF"/>
    <w:rsid w:val="003B6DF3"/>
    <w:rsid w:val="003B6E54"/>
    <w:rsid w:val="003B7665"/>
    <w:rsid w:val="003B795B"/>
    <w:rsid w:val="003B7A53"/>
    <w:rsid w:val="003B7DE3"/>
    <w:rsid w:val="003B7F10"/>
    <w:rsid w:val="003B7F79"/>
    <w:rsid w:val="003C0323"/>
    <w:rsid w:val="003C037C"/>
    <w:rsid w:val="003C0D42"/>
    <w:rsid w:val="003C14B6"/>
    <w:rsid w:val="003C14E0"/>
    <w:rsid w:val="003C166F"/>
    <w:rsid w:val="003C178C"/>
    <w:rsid w:val="003C18D2"/>
    <w:rsid w:val="003C19F0"/>
    <w:rsid w:val="003C1D55"/>
    <w:rsid w:val="003C2067"/>
    <w:rsid w:val="003C21D0"/>
    <w:rsid w:val="003C22AA"/>
    <w:rsid w:val="003C258D"/>
    <w:rsid w:val="003C2595"/>
    <w:rsid w:val="003C2AA0"/>
    <w:rsid w:val="003C2CE9"/>
    <w:rsid w:val="003C2EBF"/>
    <w:rsid w:val="003C304D"/>
    <w:rsid w:val="003C30F5"/>
    <w:rsid w:val="003C3124"/>
    <w:rsid w:val="003C31F9"/>
    <w:rsid w:val="003C3340"/>
    <w:rsid w:val="003C340C"/>
    <w:rsid w:val="003C341E"/>
    <w:rsid w:val="003C34FE"/>
    <w:rsid w:val="003C3ADB"/>
    <w:rsid w:val="003C3B31"/>
    <w:rsid w:val="003C3EAA"/>
    <w:rsid w:val="003C3EF4"/>
    <w:rsid w:val="003C3F90"/>
    <w:rsid w:val="003C411D"/>
    <w:rsid w:val="003C41BD"/>
    <w:rsid w:val="003C460B"/>
    <w:rsid w:val="003C468F"/>
    <w:rsid w:val="003C4769"/>
    <w:rsid w:val="003C494F"/>
    <w:rsid w:val="003C4BA7"/>
    <w:rsid w:val="003C4D26"/>
    <w:rsid w:val="003C4DB7"/>
    <w:rsid w:val="003C50C7"/>
    <w:rsid w:val="003C531C"/>
    <w:rsid w:val="003C5734"/>
    <w:rsid w:val="003C5BD3"/>
    <w:rsid w:val="003C5FFF"/>
    <w:rsid w:val="003C6308"/>
    <w:rsid w:val="003C6354"/>
    <w:rsid w:val="003C644B"/>
    <w:rsid w:val="003C64E7"/>
    <w:rsid w:val="003C679D"/>
    <w:rsid w:val="003C6819"/>
    <w:rsid w:val="003C69B9"/>
    <w:rsid w:val="003C6B81"/>
    <w:rsid w:val="003C6BF9"/>
    <w:rsid w:val="003C6D90"/>
    <w:rsid w:val="003C6DE8"/>
    <w:rsid w:val="003C726F"/>
    <w:rsid w:val="003C7382"/>
    <w:rsid w:val="003C7672"/>
    <w:rsid w:val="003C76D7"/>
    <w:rsid w:val="003C7787"/>
    <w:rsid w:val="003C779E"/>
    <w:rsid w:val="003C782A"/>
    <w:rsid w:val="003C7875"/>
    <w:rsid w:val="003C798C"/>
    <w:rsid w:val="003C7FCA"/>
    <w:rsid w:val="003D002B"/>
    <w:rsid w:val="003D033D"/>
    <w:rsid w:val="003D03A5"/>
    <w:rsid w:val="003D05BE"/>
    <w:rsid w:val="003D06C6"/>
    <w:rsid w:val="003D0C21"/>
    <w:rsid w:val="003D0D9F"/>
    <w:rsid w:val="003D0EB4"/>
    <w:rsid w:val="003D104F"/>
    <w:rsid w:val="003D122D"/>
    <w:rsid w:val="003D13BB"/>
    <w:rsid w:val="003D13CF"/>
    <w:rsid w:val="003D16E4"/>
    <w:rsid w:val="003D1ED3"/>
    <w:rsid w:val="003D22A7"/>
    <w:rsid w:val="003D23C0"/>
    <w:rsid w:val="003D24C8"/>
    <w:rsid w:val="003D2621"/>
    <w:rsid w:val="003D28BA"/>
    <w:rsid w:val="003D2A09"/>
    <w:rsid w:val="003D2A19"/>
    <w:rsid w:val="003D2A8B"/>
    <w:rsid w:val="003D2BD9"/>
    <w:rsid w:val="003D3001"/>
    <w:rsid w:val="003D3396"/>
    <w:rsid w:val="003D35B7"/>
    <w:rsid w:val="003D35CE"/>
    <w:rsid w:val="003D3645"/>
    <w:rsid w:val="003D3672"/>
    <w:rsid w:val="003D3BA7"/>
    <w:rsid w:val="003D3E02"/>
    <w:rsid w:val="003D4030"/>
    <w:rsid w:val="003D4043"/>
    <w:rsid w:val="003D424D"/>
    <w:rsid w:val="003D42EC"/>
    <w:rsid w:val="003D44A1"/>
    <w:rsid w:val="003D4F66"/>
    <w:rsid w:val="003D50B8"/>
    <w:rsid w:val="003D5107"/>
    <w:rsid w:val="003D51D5"/>
    <w:rsid w:val="003D5399"/>
    <w:rsid w:val="003D57B9"/>
    <w:rsid w:val="003D5C52"/>
    <w:rsid w:val="003D5D01"/>
    <w:rsid w:val="003D5EA1"/>
    <w:rsid w:val="003D60AA"/>
    <w:rsid w:val="003D659D"/>
    <w:rsid w:val="003D6733"/>
    <w:rsid w:val="003D67F4"/>
    <w:rsid w:val="003D6B45"/>
    <w:rsid w:val="003D6D1F"/>
    <w:rsid w:val="003D73BE"/>
    <w:rsid w:val="003D768E"/>
    <w:rsid w:val="003D7699"/>
    <w:rsid w:val="003D77EC"/>
    <w:rsid w:val="003D781F"/>
    <w:rsid w:val="003D7902"/>
    <w:rsid w:val="003D7B94"/>
    <w:rsid w:val="003D7E02"/>
    <w:rsid w:val="003E02B1"/>
    <w:rsid w:val="003E0337"/>
    <w:rsid w:val="003E05FE"/>
    <w:rsid w:val="003E08F6"/>
    <w:rsid w:val="003E09BB"/>
    <w:rsid w:val="003E0BDF"/>
    <w:rsid w:val="003E0DBE"/>
    <w:rsid w:val="003E0DEB"/>
    <w:rsid w:val="003E0ED6"/>
    <w:rsid w:val="003E105D"/>
    <w:rsid w:val="003E10A9"/>
    <w:rsid w:val="003E13A2"/>
    <w:rsid w:val="003E1502"/>
    <w:rsid w:val="003E1716"/>
    <w:rsid w:val="003E1C67"/>
    <w:rsid w:val="003E1F30"/>
    <w:rsid w:val="003E2397"/>
    <w:rsid w:val="003E290D"/>
    <w:rsid w:val="003E295C"/>
    <w:rsid w:val="003E29E0"/>
    <w:rsid w:val="003E2C48"/>
    <w:rsid w:val="003E2CFA"/>
    <w:rsid w:val="003E2D6D"/>
    <w:rsid w:val="003E2E4E"/>
    <w:rsid w:val="003E2E57"/>
    <w:rsid w:val="003E2FF4"/>
    <w:rsid w:val="003E31A6"/>
    <w:rsid w:val="003E32CA"/>
    <w:rsid w:val="003E3364"/>
    <w:rsid w:val="003E33F6"/>
    <w:rsid w:val="003E350E"/>
    <w:rsid w:val="003E380C"/>
    <w:rsid w:val="003E3912"/>
    <w:rsid w:val="003E3960"/>
    <w:rsid w:val="003E3A88"/>
    <w:rsid w:val="003E3C9C"/>
    <w:rsid w:val="003E3CC6"/>
    <w:rsid w:val="003E3FDA"/>
    <w:rsid w:val="003E4014"/>
    <w:rsid w:val="003E4332"/>
    <w:rsid w:val="003E433C"/>
    <w:rsid w:val="003E43D0"/>
    <w:rsid w:val="003E44B1"/>
    <w:rsid w:val="003E45F1"/>
    <w:rsid w:val="003E46DE"/>
    <w:rsid w:val="003E4AC6"/>
    <w:rsid w:val="003E54C8"/>
    <w:rsid w:val="003E560E"/>
    <w:rsid w:val="003E5672"/>
    <w:rsid w:val="003E5CDC"/>
    <w:rsid w:val="003E5E3B"/>
    <w:rsid w:val="003E5EF8"/>
    <w:rsid w:val="003E617D"/>
    <w:rsid w:val="003E61A2"/>
    <w:rsid w:val="003E61D8"/>
    <w:rsid w:val="003E6261"/>
    <w:rsid w:val="003E636D"/>
    <w:rsid w:val="003E64DB"/>
    <w:rsid w:val="003E6942"/>
    <w:rsid w:val="003E69E0"/>
    <w:rsid w:val="003E7208"/>
    <w:rsid w:val="003E72DC"/>
    <w:rsid w:val="003E7340"/>
    <w:rsid w:val="003E756F"/>
    <w:rsid w:val="003E75B0"/>
    <w:rsid w:val="003E798E"/>
    <w:rsid w:val="003E7A09"/>
    <w:rsid w:val="003E7C04"/>
    <w:rsid w:val="003F0239"/>
    <w:rsid w:val="003F0729"/>
    <w:rsid w:val="003F0770"/>
    <w:rsid w:val="003F084E"/>
    <w:rsid w:val="003F097D"/>
    <w:rsid w:val="003F0CEC"/>
    <w:rsid w:val="003F0E53"/>
    <w:rsid w:val="003F1089"/>
    <w:rsid w:val="003F1193"/>
    <w:rsid w:val="003F1323"/>
    <w:rsid w:val="003F1655"/>
    <w:rsid w:val="003F1974"/>
    <w:rsid w:val="003F1A58"/>
    <w:rsid w:val="003F2174"/>
    <w:rsid w:val="003F2318"/>
    <w:rsid w:val="003F236A"/>
    <w:rsid w:val="003F28A6"/>
    <w:rsid w:val="003F2C3D"/>
    <w:rsid w:val="003F2F76"/>
    <w:rsid w:val="003F2FE4"/>
    <w:rsid w:val="003F316F"/>
    <w:rsid w:val="003F32DC"/>
    <w:rsid w:val="003F377B"/>
    <w:rsid w:val="003F3AFB"/>
    <w:rsid w:val="003F417C"/>
    <w:rsid w:val="003F425A"/>
    <w:rsid w:val="003F42B8"/>
    <w:rsid w:val="003F4771"/>
    <w:rsid w:val="003F4A3F"/>
    <w:rsid w:val="003F4B50"/>
    <w:rsid w:val="003F4DC6"/>
    <w:rsid w:val="003F4E23"/>
    <w:rsid w:val="003F4E26"/>
    <w:rsid w:val="003F506C"/>
    <w:rsid w:val="003F5DC4"/>
    <w:rsid w:val="003F611E"/>
    <w:rsid w:val="003F613F"/>
    <w:rsid w:val="003F61DE"/>
    <w:rsid w:val="003F6311"/>
    <w:rsid w:val="003F6319"/>
    <w:rsid w:val="003F651C"/>
    <w:rsid w:val="003F66AB"/>
    <w:rsid w:val="003F6C75"/>
    <w:rsid w:val="003F6F9F"/>
    <w:rsid w:val="003F71A0"/>
    <w:rsid w:val="003F7649"/>
    <w:rsid w:val="003F7698"/>
    <w:rsid w:val="003F776A"/>
    <w:rsid w:val="003F7966"/>
    <w:rsid w:val="003F7C4B"/>
    <w:rsid w:val="003F7E38"/>
    <w:rsid w:val="003F7E44"/>
    <w:rsid w:val="003F7FD5"/>
    <w:rsid w:val="004001A6"/>
    <w:rsid w:val="004002EB"/>
    <w:rsid w:val="0040038B"/>
    <w:rsid w:val="004004BE"/>
    <w:rsid w:val="0040060F"/>
    <w:rsid w:val="0040069C"/>
    <w:rsid w:val="0040096C"/>
    <w:rsid w:val="00400DFE"/>
    <w:rsid w:val="0040130B"/>
    <w:rsid w:val="004013BA"/>
    <w:rsid w:val="00401511"/>
    <w:rsid w:val="00401658"/>
    <w:rsid w:val="004016AD"/>
    <w:rsid w:val="004016FE"/>
    <w:rsid w:val="00401C2B"/>
    <w:rsid w:val="00401E29"/>
    <w:rsid w:val="00401E7D"/>
    <w:rsid w:val="00401EAF"/>
    <w:rsid w:val="0040203C"/>
    <w:rsid w:val="0040206D"/>
    <w:rsid w:val="00402202"/>
    <w:rsid w:val="004022C5"/>
    <w:rsid w:val="0040238F"/>
    <w:rsid w:val="004025A2"/>
    <w:rsid w:val="004025FE"/>
    <w:rsid w:val="00402853"/>
    <w:rsid w:val="00402B64"/>
    <w:rsid w:val="00402BFA"/>
    <w:rsid w:val="00402E90"/>
    <w:rsid w:val="00403154"/>
    <w:rsid w:val="004034FF"/>
    <w:rsid w:val="00403570"/>
    <w:rsid w:val="004038E5"/>
    <w:rsid w:val="00403921"/>
    <w:rsid w:val="00403A31"/>
    <w:rsid w:val="00403AC9"/>
    <w:rsid w:val="00403D1E"/>
    <w:rsid w:val="00403D99"/>
    <w:rsid w:val="00403ED1"/>
    <w:rsid w:val="004041C8"/>
    <w:rsid w:val="004043AC"/>
    <w:rsid w:val="004043FC"/>
    <w:rsid w:val="00404469"/>
    <w:rsid w:val="0040449C"/>
    <w:rsid w:val="004045BA"/>
    <w:rsid w:val="0040474F"/>
    <w:rsid w:val="004047D6"/>
    <w:rsid w:val="00404822"/>
    <w:rsid w:val="004049A7"/>
    <w:rsid w:val="00404B6B"/>
    <w:rsid w:val="0040522B"/>
    <w:rsid w:val="004052AC"/>
    <w:rsid w:val="0040563F"/>
    <w:rsid w:val="00405870"/>
    <w:rsid w:val="00405920"/>
    <w:rsid w:val="00405992"/>
    <w:rsid w:val="00405AF5"/>
    <w:rsid w:val="00405C63"/>
    <w:rsid w:val="00405FC9"/>
    <w:rsid w:val="00406266"/>
    <w:rsid w:val="00406278"/>
    <w:rsid w:val="0040723C"/>
    <w:rsid w:val="004076ED"/>
    <w:rsid w:val="004078C0"/>
    <w:rsid w:val="00407929"/>
    <w:rsid w:val="004079D6"/>
    <w:rsid w:val="00407AE9"/>
    <w:rsid w:val="00407C7C"/>
    <w:rsid w:val="00407E40"/>
    <w:rsid w:val="00407E51"/>
    <w:rsid w:val="00407EEC"/>
    <w:rsid w:val="00407F4D"/>
    <w:rsid w:val="0041047E"/>
    <w:rsid w:val="0041055F"/>
    <w:rsid w:val="0041068A"/>
    <w:rsid w:val="0041079F"/>
    <w:rsid w:val="00410875"/>
    <w:rsid w:val="00410922"/>
    <w:rsid w:val="00410A4D"/>
    <w:rsid w:val="00410A5D"/>
    <w:rsid w:val="00410B03"/>
    <w:rsid w:val="00410ECD"/>
    <w:rsid w:val="00410ED5"/>
    <w:rsid w:val="00410FAB"/>
    <w:rsid w:val="004113F7"/>
    <w:rsid w:val="0041157E"/>
    <w:rsid w:val="004116B6"/>
    <w:rsid w:val="00411CC8"/>
    <w:rsid w:val="00411D45"/>
    <w:rsid w:val="00411F21"/>
    <w:rsid w:val="0041209E"/>
    <w:rsid w:val="004120F4"/>
    <w:rsid w:val="0041224D"/>
    <w:rsid w:val="0041299B"/>
    <w:rsid w:val="00412AF5"/>
    <w:rsid w:val="00412B2A"/>
    <w:rsid w:val="00412BA7"/>
    <w:rsid w:val="00412F0E"/>
    <w:rsid w:val="0041318B"/>
    <w:rsid w:val="00413246"/>
    <w:rsid w:val="00413251"/>
    <w:rsid w:val="004133A7"/>
    <w:rsid w:val="004137C7"/>
    <w:rsid w:val="004138CC"/>
    <w:rsid w:val="00413B48"/>
    <w:rsid w:val="00413F06"/>
    <w:rsid w:val="00414057"/>
    <w:rsid w:val="00414698"/>
    <w:rsid w:val="00414BA1"/>
    <w:rsid w:val="00414C4F"/>
    <w:rsid w:val="00414DA2"/>
    <w:rsid w:val="00414DF1"/>
    <w:rsid w:val="00414F59"/>
    <w:rsid w:val="0041511B"/>
    <w:rsid w:val="00415479"/>
    <w:rsid w:val="00415862"/>
    <w:rsid w:val="00415E32"/>
    <w:rsid w:val="00416468"/>
    <w:rsid w:val="004164A7"/>
    <w:rsid w:val="004164CC"/>
    <w:rsid w:val="00416A3B"/>
    <w:rsid w:val="00416A87"/>
    <w:rsid w:val="00416B82"/>
    <w:rsid w:val="00416C6D"/>
    <w:rsid w:val="00416D0A"/>
    <w:rsid w:val="00416DAE"/>
    <w:rsid w:val="00417101"/>
    <w:rsid w:val="00417212"/>
    <w:rsid w:val="00417577"/>
    <w:rsid w:val="004175C0"/>
    <w:rsid w:val="00417B4A"/>
    <w:rsid w:val="00417BCB"/>
    <w:rsid w:val="00417DEE"/>
    <w:rsid w:val="00417E6C"/>
    <w:rsid w:val="00420A2A"/>
    <w:rsid w:val="00420B14"/>
    <w:rsid w:val="00420BE5"/>
    <w:rsid w:val="00420FD6"/>
    <w:rsid w:val="00420FEE"/>
    <w:rsid w:val="0042114C"/>
    <w:rsid w:val="0042135D"/>
    <w:rsid w:val="00421795"/>
    <w:rsid w:val="0042195E"/>
    <w:rsid w:val="00421BC4"/>
    <w:rsid w:val="00421CA9"/>
    <w:rsid w:val="00421CF7"/>
    <w:rsid w:val="00421D57"/>
    <w:rsid w:val="00421E66"/>
    <w:rsid w:val="004229A1"/>
    <w:rsid w:val="00422A37"/>
    <w:rsid w:val="0042313A"/>
    <w:rsid w:val="004235C5"/>
    <w:rsid w:val="00423895"/>
    <w:rsid w:val="00423C3C"/>
    <w:rsid w:val="00424021"/>
    <w:rsid w:val="00424906"/>
    <w:rsid w:val="00424A8C"/>
    <w:rsid w:val="00424C3F"/>
    <w:rsid w:val="00424E4B"/>
    <w:rsid w:val="004251C0"/>
    <w:rsid w:val="004251E2"/>
    <w:rsid w:val="00425983"/>
    <w:rsid w:val="004259F4"/>
    <w:rsid w:val="00425BAB"/>
    <w:rsid w:val="00425D96"/>
    <w:rsid w:val="00425E35"/>
    <w:rsid w:val="00426087"/>
    <w:rsid w:val="004260A3"/>
    <w:rsid w:val="00426228"/>
    <w:rsid w:val="004267FB"/>
    <w:rsid w:val="0042684D"/>
    <w:rsid w:val="0042686E"/>
    <w:rsid w:val="004268F4"/>
    <w:rsid w:val="00426A23"/>
    <w:rsid w:val="00426D6E"/>
    <w:rsid w:val="00426D87"/>
    <w:rsid w:val="00426EC1"/>
    <w:rsid w:val="00426ED9"/>
    <w:rsid w:val="00426FB1"/>
    <w:rsid w:val="00427149"/>
    <w:rsid w:val="00427193"/>
    <w:rsid w:val="00427391"/>
    <w:rsid w:val="004274A3"/>
    <w:rsid w:val="004276F7"/>
    <w:rsid w:val="0042776E"/>
    <w:rsid w:val="00427B04"/>
    <w:rsid w:val="00427B16"/>
    <w:rsid w:val="00427BF3"/>
    <w:rsid w:val="00427C33"/>
    <w:rsid w:val="00427D3C"/>
    <w:rsid w:val="00427E0A"/>
    <w:rsid w:val="0043000A"/>
    <w:rsid w:val="00430322"/>
    <w:rsid w:val="00430752"/>
    <w:rsid w:val="004307FE"/>
    <w:rsid w:val="00430816"/>
    <w:rsid w:val="004309E4"/>
    <w:rsid w:val="00430DAF"/>
    <w:rsid w:val="00430FAB"/>
    <w:rsid w:val="00430FB7"/>
    <w:rsid w:val="00431574"/>
    <w:rsid w:val="004316ED"/>
    <w:rsid w:val="0043173D"/>
    <w:rsid w:val="0043176E"/>
    <w:rsid w:val="004317F9"/>
    <w:rsid w:val="004317FD"/>
    <w:rsid w:val="00431934"/>
    <w:rsid w:val="004324D3"/>
    <w:rsid w:val="00432794"/>
    <w:rsid w:val="00432EBB"/>
    <w:rsid w:val="00432EDE"/>
    <w:rsid w:val="00433116"/>
    <w:rsid w:val="00433244"/>
    <w:rsid w:val="004335C6"/>
    <w:rsid w:val="004336D0"/>
    <w:rsid w:val="004336EF"/>
    <w:rsid w:val="00433A01"/>
    <w:rsid w:val="00433AD5"/>
    <w:rsid w:val="00434094"/>
    <w:rsid w:val="00434282"/>
    <w:rsid w:val="004342F8"/>
    <w:rsid w:val="00434443"/>
    <w:rsid w:val="00434674"/>
    <w:rsid w:val="00434704"/>
    <w:rsid w:val="00434B68"/>
    <w:rsid w:val="00434D7F"/>
    <w:rsid w:val="00434E48"/>
    <w:rsid w:val="00434EA9"/>
    <w:rsid w:val="004350CA"/>
    <w:rsid w:val="0043520A"/>
    <w:rsid w:val="0043537E"/>
    <w:rsid w:val="004354B9"/>
    <w:rsid w:val="00435AE8"/>
    <w:rsid w:val="00435D89"/>
    <w:rsid w:val="00435ED8"/>
    <w:rsid w:val="00436064"/>
    <w:rsid w:val="00436455"/>
    <w:rsid w:val="004364F4"/>
    <w:rsid w:val="004369FD"/>
    <w:rsid w:val="00436BA4"/>
    <w:rsid w:val="00436DD0"/>
    <w:rsid w:val="00437054"/>
    <w:rsid w:val="0043713A"/>
    <w:rsid w:val="00437149"/>
    <w:rsid w:val="00437241"/>
    <w:rsid w:val="00437326"/>
    <w:rsid w:val="0043743D"/>
    <w:rsid w:val="00437664"/>
    <w:rsid w:val="00437761"/>
    <w:rsid w:val="004377EF"/>
    <w:rsid w:val="0043789E"/>
    <w:rsid w:val="00437C9A"/>
    <w:rsid w:val="00437E6D"/>
    <w:rsid w:val="00437EB7"/>
    <w:rsid w:val="00437EC4"/>
    <w:rsid w:val="00440003"/>
    <w:rsid w:val="004400E3"/>
    <w:rsid w:val="004400ED"/>
    <w:rsid w:val="0044018F"/>
    <w:rsid w:val="0044046D"/>
    <w:rsid w:val="00440903"/>
    <w:rsid w:val="0044090E"/>
    <w:rsid w:val="00440DA2"/>
    <w:rsid w:val="00440FE0"/>
    <w:rsid w:val="0044102E"/>
    <w:rsid w:val="004410F5"/>
    <w:rsid w:val="0044137C"/>
    <w:rsid w:val="004413DF"/>
    <w:rsid w:val="004414E9"/>
    <w:rsid w:val="00441634"/>
    <w:rsid w:val="00441A89"/>
    <w:rsid w:val="00441AF1"/>
    <w:rsid w:val="00441B9E"/>
    <w:rsid w:val="00441BE9"/>
    <w:rsid w:val="00441C3C"/>
    <w:rsid w:val="00441F14"/>
    <w:rsid w:val="004420D2"/>
    <w:rsid w:val="004423E1"/>
    <w:rsid w:val="004424D7"/>
    <w:rsid w:val="0044257A"/>
    <w:rsid w:val="00442807"/>
    <w:rsid w:val="00442BF9"/>
    <w:rsid w:val="00442D55"/>
    <w:rsid w:val="004431B4"/>
    <w:rsid w:val="004432B5"/>
    <w:rsid w:val="00443529"/>
    <w:rsid w:val="00443BBC"/>
    <w:rsid w:val="00443C5C"/>
    <w:rsid w:val="00443E73"/>
    <w:rsid w:val="0044440C"/>
    <w:rsid w:val="00444DCD"/>
    <w:rsid w:val="00445010"/>
    <w:rsid w:val="0044504B"/>
    <w:rsid w:val="0044505F"/>
    <w:rsid w:val="00445482"/>
    <w:rsid w:val="004454EB"/>
    <w:rsid w:val="004455EF"/>
    <w:rsid w:val="0044562B"/>
    <w:rsid w:val="0044585E"/>
    <w:rsid w:val="00445D9A"/>
    <w:rsid w:val="00445E01"/>
    <w:rsid w:val="00446A0E"/>
    <w:rsid w:val="00446A90"/>
    <w:rsid w:val="00446C1F"/>
    <w:rsid w:val="00446D6D"/>
    <w:rsid w:val="00446D77"/>
    <w:rsid w:val="0044778C"/>
    <w:rsid w:val="0044785D"/>
    <w:rsid w:val="0044794F"/>
    <w:rsid w:val="00447BD1"/>
    <w:rsid w:val="00450205"/>
    <w:rsid w:val="004505D9"/>
    <w:rsid w:val="00450617"/>
    <w:rsid w:val="00450713"/>
    <w:rsid w:val="00450772"/>
    <w:rsid w:val="00450867"/>
    <w:rsid w:val="004509DA"/>
    <w:rsid w:val="00450A57"/>
    <w:rsid w:val="00450E37"/>
    <w:rsid w:val="00450E4D"/>
    <w:rsid w:val="00450E90"/>
    <w:rsid w:val="00450F2D"/>
    <w:rsid w:val="0045135E"/>
    <w:rsid w:val="00451383"/>
    <w:rsid w:val="0045192C"/>
    <w:rsid w:val="00451C50"/>
    <w:rsid w:val="00451D8E"/>
    <w:rsid w:val="00451F13"/>
    <w:rsid w:val="00452199"/>
    <w:rsid w:val="00452683"/>
    <w:rsid w:val="00452B1F"/>
    <w:rsid w:val="00452F51"/>
    <w:rsid w:val="004530E7"/>
    <w:rsid w:val="004532F5"/>
    <w:rsid w:val="004533A7"/>
    <w:rsid w:val="004537EA"/>
    <w:rsid w:val="0045383E"/>
    <w:rsid w:val="004538B2"/>
    <w:rsid w:val="004539EF"/>
    <w:rsid w:val="00453B3D"/>
    <w:rsid w:val="00453C47"/>
    <w:rsid w:val="00453CFB"/>
    <w:rsid w:val="00453D59"/>
    <w:rsid w:val="00453E10"/>
    <w:rsid w:val="00453E4A"/>
    <w:rsid w:val="00453F39"/>
    <w:rsid w:val="0045419C"/>
    <w:rsid w:val="00454289"/>
    <w:rsid w:val="0045434C"/>
    <w:rsid w:val="00454401"/>
    <w:rsid w:val="0045448C"/>
    <w:rsid w:val="00454577"/>
    <w:rsid w:val="00454698"/>
    <w:rsid w:val="004546FC"/>
    <w:rsid w:val="0045486B"/>
    <w:rsid w:val="004548C4"/>
    <w:rsid w:val="00454967"/>
    <w:rsid w:val="004549CC"/>
    <w:rsid w:val="00454AA7"/>
    <w:rsid w:val="00454AE3"/>
    <w:rsid w:val="00454DBC"/>
    <w:rsid w:val="00454E6C"/>
    <w:rsid w:val="00454FC6"/>
    <w:rsid w:val="0045532C"/>
    <w:rsid w:val="0045573A"/>
    <w:rsid w:val="00455938"/>
    <w:rsid w:val="00455CA6"/>
    <w:rsid w:val="00455CB2"/>
    <w:rsid w:val="00455FE6"/>
    <w:rsid w:val="00456014"/>
    <w:rsid w:val="00456076"/>
    <w:rsid w:val="004562B6"/>
    <w:rsid w:val="004564C3"/>
    <w:rsid w:val="004565DF"/>
    <w:rsid w:val="0045665C"/>
    <w:rsid w:val="004568AF"/>
    <w:rsid w:val="00456947"/>
    <w:rsid w:val="00456B31"/>
    <w:rsid w:val="00456CC0"/>
    <w:rsid w:val="00456DAE"/>
    <w:rsid w:val="00456EFA"/>
    <w:rsid w:val="00457381"/>
    <w:rsid w:val="0045738E"/>
    <w:rsid w:val="004579E4"/>
    <w:rsid w:val="00457B14"/>
    <w:rsid w:val="00457BF7"/>
    <w:rsid w:val="00457C93"/>
    <w:rsid w:val="00460351"/>
    <w:rsid w:val="004603BB"/>
    <w:rsid w:val="00460593"/>
    <w:rsid w:val="004605D8"/>
    <w:rsid w:val="004608D7"/>
    <w:rsid w:val="00460A25"/>
    <w:rsid w:val="00460C7A"/>
    <w:rsid w:val="004610F3"/>
    <w:rsid w:val="0046120F"/>
    <w:rsid w:val="004615BC"/>
    <w:rsid w:val="00461C71"/>
    <w:rsid w:val="00461EB5"/>
    <w:rsid w:val="004621A3"/>
    <w:rsid w:val="00462920"/>
    <w:rsid w:val="00462AFC"/>
    <w:rsid w:val="00462B23"/>
    <w:rsid w:val="00462B60"/>
    <w:rsid w:val="004630C8"/>
    <w:rsid w:val="004631EF"/>
    <w:rsid w:val="004635A0"/>
    <w:rsid w:val="004635AA"/>
    <w:rsid w:val="00463BAE"/>
    <w:rsid w:val="00463CBB"/>
    <w:rsid w:val="00464088"/>
    <w:rsid w:val="004642FA"/>
    <w:rsid w:val="0046432C"/>
    <w:rsid w:val="0046437D"/>
    <w:rsid w:val="00464471"/>
    <w:rsid w:val="0046469A"/>
    <w:rsid w:val="004647AF"/>
    <w:rsid w:val="0046484A"/>
    <w:rsid w:val="00464886"/>
    <w:rsid w:val="00464D4A"/>
    <w:rsid w:val="00464E96"/>
    <w:rsid w:val="004657E1"/>
    <w:rsid w:val="00465C7D"/>
    <w:rsid w:val="0046650A"/>
    <w:rsid w:val="004665E7"/>
    <w:rsid w:val="004667F6"/>
    <w:rsid w:val="00466B24"/>
    <w:rsid w:val="00466FEB"/>
    <w:rsid w:val="00467224"/>
    <w:rsid w:val="004673BD"/>
    <w:rsid w:val="0046755C"/>
    <w:rsid w:val="00467758"/>
    <w:rsid w:val="0046796E"/>
    <w:rsid w:val="00467EC0"/>
    <w:rsid w:val="004701F1"/>
    <w:rsid w:val="004708AF"/>
    <w:rsid w:val="00470A5A"/>
    <w:rsid w:val="00470A86"/>
    <w:rsid w:val="00470C19"/>
    <w:rsid w:val="00470F85"/>
    <w:rsid w:val="004713E9"/>
    <w:rsid w:val="004713F5"/>
    <w:rsid w:val="00471493"/>
    <w:rsid w:val="004716E9"/>
    <w:rsid w:val="004718B5"/>
    <w:rsid w:val="004719D4"/>
    <w:rsid w:val="00471A75"/>
    <w:rsid w:val="00471B88"/>
    <w:rsid w:val="00471BFA"/>
    <w:rsid w:val="00471DF8"/>
    <w:rsid w:val="00471F31"/>
    <w:rsid w:val="00472284"/>
    <w:rsid w:val="004729C8"/>
    <w:rsid w:val="00472B56"/>
    <w:rsid w:val="00472D9B"/>
    <w:rsid w:val="004732B5"/>
    <w:rsid w:val="004733DA"/>
    <w:rsid w:val="00473459"/>
    <w:rsid w:val="00473FDA"/>
    <w:rsid w:val="0047400B"/>
    <w:rsid w:val="00474166"/>
    <w:rsid w:val="0047427A"/>
    <w:rsid w:val="004743B5"/>
    <w:rsid w:val="004747FD"/>
    <w:rsid w:val="00474971"/>
    <w:rsid w:val="00474A98"/>
    <w:rsid w:val="00474D17"/>
    <w:rsid w:val="00474D4B"/>
    <w:rsid w:val="00474E98"/>
    <w:rsid w:val="004750ED"/>
    <w:rsid w:val="00475102"/>
    <w:rsid w:val="00475200"/>
    <w:rsid w:val="00475266"/>
    <w:rsid w:val="0047533A"/>
    <w:rsid w:val="00475792"/>
    <w:rsid w:val="00475BFB"/>
    <w:rsid w:val="00475C2E"/>
    <w:rsid w:val="00475DEB"/>
    <w:rsid w:val="0047619B"/>
    <w:rsid w:val="004767DC"/>
    <w:rsid w:val="00476B4F"/>
    <w:rsid w:val="00476C66"/>
    <w:rsid w:val="00476CC1"/>
    <w:rsid w:val="00476D43"/>
    <w:rsid w:val="00476E7B"/>
    <w:rsid w:val="00477278"/>
    <w:rsid w:val="004774D7"/>
    <w:rsid w:val="004779B5"/>
    <w:rsid w:val="00477A0C"/>
    <w:rsid w:val="004800D0"/>
    <w:rsid w:val="004803F7"/>
    <w:rsid w:val="00480BE4"/>
    <w:rsid w:val="00480EA8"/>
    <w:rsid w:val="00480F63"/>
    <w:rsid w:val="004812B1"/>
    <w:rsid w:val="004812B3"/>
    <w:rsid w:val="0048144D"/>
    <w:rsid w:val="004814DE"/>
    <w:rsid w:val="00481814"/>
    <w:rsid w:val="00481900"/>
    <w:rsid w:val="004819ED"/>
    <w:rsid w:val="00481A40"/>
    <w:rsid w:val="00481BBB"/>
    <w:rsid w:val="00481C4C"/>
    <w:rsid w:val="00482A82"/>
    <w:rsid w:val="00482BEF"/>
    <w:rsid w:val="00482D22"/>
    <w:rsid w:val="004830E6"/>
    <w:rsid w:val="004831DE"/>
    <w:rsid w:val="004832C0"/>
    <w:rsid w:val="004834D5"/>
    <w:rsid w:val="004835AD"/>
    <w:rsid w:val="004835CA"/>
    <w:rsid w:val="00483842"/>
    <w:rsid w:val="00483B08"/>
    <w:rsid w:val="00483DD1"/>
    <w:rsid w:val="00483EBD"/>
    <w:rsid w:val="0048408D"/>
    <w:rsid w:val="00484152"/>
    <w:rsid w:val="0048451C"/>
    <w:rsid w:val="00484842"/>
    <w:rsid w:val="00484898"/>
    <w:rsid w:val="00484D49"/>
    <w:rsid w:val="00484D64"/>
    <w:rsid w:val="00485035"/>
    <w:rsid w:val="004850D1"/>
    <w:rsid w:val="004851C8"/>
    <w:rsid w:val="00485508"/>
    <w:rsid w:val="0048574E"/>
    <w:rsid w:val="0048576B"/>
    <w:rsid w:val="00485BFC"/>
    <w:rsid w:val="00485C4A"/>
    <w:rsid w:val="00486294"/>
    <w:rsid w:val="0048629C"/>
    <w:rsid w:val="00486832"/>
    <w:rsid w:val="004868BB"/>
    <w:rsid w:val="00486911"/>
    <w:rsid w:val="00486A66"/>
    <w:rsid w:val="00486C45"/>
    <w:rsid w:val="00486F8D"/>
    <w:rsid w:val="0048714D"/>
    <w:rsid w:val="004876F1"/>
    <w:rsid w:val="0048772E"/>
    <w:rsid w:val="0048782F"/>
    <w:rsid w:val="00487AFA"/>
    <w:rsid w:val="00487E5A"/>
    <w:rsid w:val="004901DD"/>
    <w:rsid w:val="004903C6"/>
    <w:rsid w:val="004903DF"/>
    <w:rsid w:val="004908AD"/>
    <w:rsid w:val="004908CC"/>
    <w:rsid w:val="00490A70"/>
    <w:rsid w:val="00490BC8"/>
    <w:rsid w:val="00490CE0"/>
    <w:rsid w:val="00491317"/>
    <w:rsid w:val="0049138A"/>
    <w:rsid w:val="004919DD"/>
    <w:rsid w:val="00491A0D"/>
    <w:rsid w:val="00491BBF"/>
    <w:rsid w:val="00491E22"/>
    <w:rsid w:val="00492172"/>
    <w:rsid w:val="004924D9"/>
    <w:rsid w:val="00492644"/>
    <w:rsid w:val="0049268F"/>
    <w:rsid w:val="0049285E"/>
    <w:rsid w:val="004928F3"/>
    <w:rsid w:val="00492A2D"/>
    <w:rsid w:val="00492B34"/>
    <w:rsid w:val="00492E92"/>
    <w:rsid w:val="004930B6"/>
    <w:rsid w:val="0049313C"/>
    <w:rsid w:val="004931C7"/>
    <w:rsid w:val="0049322E"/>
    <w:rsid w:val="00493A19"/>
    <w:rsid w:val="00493CD4"/>
    <w:rsid w:val="0049418D"/>
    <w:rsid w:val="004941DA"/>
    <w:rsid w:val="004942C7"/>
    <w:rsid w:val="00494387"/>
    <w:rsid w:val="00494501"/>
    <w:rsid w:val="00494A03"/>
    <w:rsid w:val="00494A0C"/>
    <w:rsid w:val="00494AED"/>
    <w:rsid w:val="00494D38"/>
    <w:rsid w:val="00494D6F"/>
    <w:rsid w:val="0049581A"/>
    <w:rsid w:val="004958EB"/>
    <w:rsid w:val="00495972"/>
    <w:rsid w:val="00495B93"/>
    <w:rsid w:val="00495F51"/>
    <w:rsid w:val="00496209"/>
    <w:rsid w:val="00496833"/>
    <w:rsid w:val="004968EA"/>
    <w:rsid w:val="00496BB5"/>
    <w:rsid w:val="00496BCB"/>
    <w:rsid w:val="00496BE3"/>
    <w:rsid w:val="00496D23"/>
    <w:rsid w:val="004970BC"/>
    <w:rsid w:val="004972FE"/>
    <w:rsid w:val="0049730E"/>
    <w:rsid w:val="004973BB"/>
    <w:rsid w:val="00497551"/>
    <w:rsid w:val="00497788"/>
    <w:rsid w:val="00497804"/>
    <w:rsid w:val="00497A1B"/>
    <w:rsid w:val="00497E2D"/>
    <w:rsid w:val="004A01B3"/>
    <w:rsid w:val="004A0559"/>
    <w:rsid w:val="004A062C"/>
    <w:rsid w:val="004A06DF"/>
    <w:rsid w:val="004A0C4B"/>
    <w:rsid w:val="004A0E3B"/>
    <w:rsid w:val="004A0E53"/>
    <w:rsid w:val="004A12AA"/>
    <w:rsid w:val="004A1343"/>
    <w:rsid w:val="004A14D8"/>
    <w:rsid w:val="004A17E7"/>
    <w:rsid w:val="004A18FA"/>
    <w:rsid w:val="004A1A83"/>
    <w:rsid w:val="004A2204"/>
    <w:rsid w:val="004A2473"/>
    <w:rsid w:val="004A24DC"/>
    <w:rsid w:val="004A25A2"/>
    <w:rsid w:val="004A2748"/>
    <w:rsid w:val="004A27C1"/>
    <w:rsid w:val="004A2935"/>
    <w:rsid w:val="004A293B"/>
    <w:rsid w:val="004A29D9"/>
    <w:rsid w:val="004A2C82"/>
    <w:rsid w:val="004A2E49"/>
    <w:rsid w:val="004A2F8D"/>
    <w:rsid w:val="004A2FE3"/>
    <w:rsid w:val="004A31C5"/>
    <w:rsid w:val="004A323F"/>
    <w:rsid w:val="004A35C5"/>
    <w:rsid w:val="004A3637"/>
    <w:rsid w:val="004A3673"/>
    <w:rsid w:val="004A3862"/>
    <w:rsid w:val="004A3F2C"/>
    <w:rsid w:val="004A4469"/>
    <w:rsid w:val="004A45EE"/>
    <w:rsid w:val="004A46D8"/>
    <w:rsid w:val="004A4812"/>
    <w:rsid w:val="004A482E"/>
    <w:rsid w:val="004A48F6"/>
    <w:rsid w:val="004A4AED"/>
    <w:rsid w:val="004A4DFC"/>
    <w:rsid w:val="004A5124"/>
    <w:rsid w:val="004A5B71"/>
    <w:rsid w:val="004A5EF9"/>
    <w:rsid w:val="004A6026"/>
    <w:rsid w:val="004A603E"/>
    <w:rsid w:val="004A61FA"/>
    <w:rsid w:val="004A6366"/>
    <w:rsid w:val="004A64E7"/>
    <w:rsid w:val="004A6740"/>
    <w:rsid w:val="004A67B3"/>
    <w:rsid w:val="004A691A"/>
    <w:rsid w:val="004A6BE1"/>
    <w:rsid w:val="004A6C5E"/>
    <w:rsid w:val="004A6CA8"/>
    <w:rsid w:val="004A700C"/>
    <w:rsid w:val="004A71D0"/>
    <w:rsid w:val="004A72F2"/>
    <w:rsid w:val="004A7300"/>
    <w:rsid w:val="004A7308"/>
    <w:rsid w:val="004A7364"/>
    <w:rsid w:val="004A7D4C"/>
    <w:rsid w:val="004A7E0E"/>
    <w:rsid w:val="004A7EB0"/>
    <w:rsid w:val="004B00BC"/>
    <w:rsid w:val="004B02BB"/>
    <w:rsid w:val="004B036A"/>
    <w:rsid w:val="004B04CD"/>
    <w:rsid w:val="004B0581"/>
    <w:rsid w:val="004B07B3"/>
    <w:rsid w:val="004B07F8"/>
    <w:rsid w:val="004B0857"/>
    <w:rsid w:val="004B0ABA"/>
    <w:rsid w:val="004B0F8C"/>
    <w:rsid w:val="004B0FB1"/>
    <w:rsid w:val="004B10E6"/>
    <w:rsid w:val="004B17C3"/>
    <w:rsid w:val="004B1803"/>
    <w:rsid w:val="004B1963"/>
    <w:rsid w:val="004B19FD"/>
    <w:rsid w:val="004B2227"/>
    <w:rsid w:val="004B2344"/>
    <w:rsid w:val="004B24B9"/>
    <w:rsid w:val="004B259D"/>
    <w:rsid w:val="004B267A"/>
    <w:rsid w:val="004B283D"/>
    <w:rsid w:val="004B2A73"/>
    <w:rsid w:val="004B2AF8"/>
    <w:rsid w:val="004B2B3B"/>
    <w:rsid w:val="004B2F11"/>
    <w:rsid w:val="004B2F6B"/>
    <w:rsid w:val="004B357B"/>
    <w:rsid w:val="004B369B"/>
    <w:rsid w:val="004B378C"/>
    <w:rsid w:val="004B37BA"/>
    <w:rsid w:val="004B3946"/>
    <w:rsid w:val="004B3B1E"/>
    <w:rsid w:val="004B3B2B"/>
    <w:rsid w:val="004B3B79"/>
    <w:rsid w:val="004B3C05"/>
    <w:rsid w:val="004B4256"/>
    <w:rsid w:val="004B425C"/>
    <w:rsid w:val="004B430E"/>
    <w:rsid w:val="004B4322"/>
    <w:rsid w:val="004B43EF"/>
    <w:rsid w:val="004B45F7"/>
    <w:rsid w:val="004B4702"/>
    <w:rsid w:val="004B49C7"/>
    <w:rsid w:val="004B4CE5"/>
    <w:rsid w:val="004B4F66"/>
    <w:rsid w:val="004B5066"/>
    <w:rsid w:val="004B5197"/>
    <w:rsid w:val="004B520C"/>
    <w:rsid w:val="004B5344"/>
    <w:rsid w:val="004B53B2"/>
    <w:rsid w:val="004B53B6"/>
    <w:rsid w:val="004B57C8"/>
    <w:rsid w:val="004B57CF"/>
    <w:rsid w:val="004B5FE3"/>
    <w:rsid w:val="004B61B8"/>
    <w:rsid w:val="004B6369"/>
    <w:rsid w:val="004B644A"/>
    <w:rsid w:val="004B64B8"/>
    <w:rsid w:val="004B652B"/>
    <w:rsid w:val="004B6622"/>
    <w:rsid w:val="004B67F2"/>
    <w:rsid w:val="004B6ADF"/>
    <w:rsid w:val="004B7090"/>
    <w:rsid w:val="004B7191"/>
    <w:rsid w:val="004B7279"/>
    <w:rsid w:val="004B730E"/>
    <w:rsid w:val="004B74AC"/>
    <w:rsid w:val="004B76F4"/>
    <w:rsid w:val="004B774F"/>
    <w:rsid w:val="004B7B9A"/>
    <w:rsid w:val="004B7FF2"/>
    <w:rsid w:val="004C00ED"/>
    <w:rsid w:val="004C018E"/>
    <w:rsid w:val="004C022E"/>
    <w:rsid w:val="004C0390"/>
    <w:rsid w:val="004C0586"/>
    <w:rsid w:val="004C0861"/>
    <w:rsid w:val="004C0B62"/>
    <w:rsid w:val="004C0BF7"/>
    <w:rsid w:val="004C0C52"/>
    <w:rsid w:val="004C0E8C"/>
    <w:rsid w:val="004C0F51"/>
    <w:rsid w:val="004C0F91"/>
    <w:rsid w:val="004C0FE7"/>
    <w:rsid w:val="004C1020"/>
    <w:rsid w:val="004C1057"/>
    <w:rsid w:val="004C11BD"/>
    <w:rsid w:val="004C154B"/>
    <w:rsid w:val="004C162F"/>
    <w:rsid w:val="004C1879"/>
    <w:rsid w:val="004C1A7E"/>
    <w:rsid w:val="004C1FF5"/>
    <w:rsid w:val="004C24EE"/>
    <w:rsid w:val="004C251D"/>
    <w:rsid w:val="004C2565"/>
    <w:rsid w:val="004C26D3"/>
    <w:rsid w:val="004C28CD"/>
    <w:rsid w:val="004C3488"/>
    <w:rsid w:val="004C3B7C"/>
    <w:rsid w:val="004C3CFC"/>
    <w:rsid w:val="004C3E29"/>
    <w:rsid w:val="004C42DC"/>
    <w:rsid w:val="004C4628"/>
    <w:rsid w:val="004C4917"/>
    <w:rsid w:val="004C5034"/>
    <w:rsid w:val="004C5046"/>
    <w:rsid w:val="004C5577"/>
    <w:rsid w:val="004C584F"/>
    <w:rsid w:val="004C5BFD"/>
    <w:rsid w:val="004C5F53"/>
    <w:rsid w:val="004C6208"/>
    <w:rsid w:val="004C6383"/>
    <w:rsid w:val="004C645E"/>
    <w:rsid w:val="004C6624"/>
    <w:rsid w:val="004C66DB"/>
    <w:rsid w:val="004C6CB2"/>
    <w:rsid w:val="004C6CBA"/>
    <w:rsid w:val="004C7105"/>
    <w:rsid w:val="004C74F0"/>
    <w:rsid w:val="004C765D"/>
    <w:rsid w:val="004C7A48"/>
    <w:rsid w:val="004C7E05"/>
    <w:rsid w:val="004C7EF9"/>
    <w:rsid w:val="004D03E3"/>
    <w:rsid w:val="004D0586"/>
    <w:rsid w:val="004D0B66"/>
    <w:rsid w:val="004D0C42"/>
    <w:rsid w:val="004D127E"/>
    <w:rsid w:val="004D14F8"/>
    <w:rsid w:val="004D1650"/>
    <w:rsid w:val="004D1BCA"/>
    <w:rsid w:val="004D1E1C"/>
    <w:rsid w:val="004D1EC0"/>
    <w:rsid w:val="004D1F8A"/>
    <w:rsid w:val="004D2061"/>
    <w:rsid w:val="004D2569"/>
    <w:rsid w:val="004D25BC"/>
    <w:rsid w:val="004D2821"/>
    <w:rsid w:val="004D2947"/>
    <w:rsid w:val="004D2A09"/>
    <w:rsid w:val="004D2BFF"/>
    <w:rsid w:val="004D2CCC"/>
    <w:rsid w:val="004D2E88"/>
    <w:rsid w:val="004D320B"/>
    <w:rsid w:val="004D32C3"/>
    <w:rsid w:val="004D3579"/>
    <w:rsid w:val="004D3592"/>
    <w:rsid w:val="004D36A7"/>
    <w:rsid w:val="004D3C67"/>
    <w:rsid w:val="004D3CA2"/>
    <w:rsid w:val="004D3EF7"/>
    <w:rsid w:val="004D41B5"/>
    <w:rsid w:val="004D4415"/>
    <w:rsid w:val="004D44A3"/>
    <w:rsid w:val="004D4AA9"/>
    <w:rsid w:val="004D4BDD"/>
    <w:rsid w:val="004D4C37"/>
    <w:rsid w:val="004D50A8"/>
    <w:rsid w:val="004D557B"/>
    <w:rsid w:val="004D592A"/>
    <w:rsid w:val="004D5956"/>
    <w:rsid w:val="004D5A61"/>
    <w:rsid w:val="004D5AA5"/>
    <w:rsid w:val="004D604C"/>
    <w:rsid w:val="004D6289"/>
    <w:rsid w:val="004D64CC"/>
    <w:rsid w:val="004D67C5"/>
    <w:rsid w:val="004D67E6"/>
    <w:rsid w:val="004D6986"/>
    <w:rsid w:val="004D6AA2"/>
    <w:rsid w:val="004D6BCB"/>
    <w:rsid w:val="004D6D25"/>
    <w:rsid w:val="004D6FF1"/>
    <w:rsid w:val="004D71A5"/>
    <w:rsid w:val="004D71B5"/>
    <w:rsid w:val="004D7373"/>
    <w:rsid w:val="004D742C"/>
    <w:rsid w:val="004D7595"/>
    <w:rsid w:val="004D75A8"/>
    <w:rsid w:val="004D7654"/>
    <w:rsid w:val="004D77EA"/>
    <w:rsid w:val="004D7A21"/>
    <w:rsid w:val="004D7A50"/>
    <w:rsid w:val="004D7C29"/>
    <w:rsid w:val="004D7D52"/>
    <w:rsid w:val="004E05DF"/>
    <w:rsid w:val="004E0658"/>
    <w:rsid w:val="004E07F2"/>
    <w:rsid w:val="004E08A8"/>
    <w:rsid w:val="004E0927"/>
    <w:rsid w:val="004E0972"/>
    <w:rsid w:val="004E0A94"/>
    <w:rsid w:val="004E0C2C"/>
    <w:rsid w:val="004E107A"/>
    <w:rsid w:val="004E16C8"/>
    <w:rsid w:val="004E172C"/>
    <w:rsid w:val="004E1E95"/>
    <w:rsid w:val="004E1FDF"/>
    <w:rsid w:val="004E2029"/>
    <w:rsid w:val="004E2246"/>
    <w:rsid w:val="004E22D1"/>
    <w:rsid w:val="004E23FE"/>
    <w:rsid w:val="004E27C7"/>
    <w:rsid w:val="004E2D5C"/>
    <w:rsid w:val="004E2FAB"/>
    <w:rsid w:val="004E3355"/>
    <w:rsid w:val="004E34A2"/>
    <w:rsid w:val="004E366B"/>
    <w:rsid w:val="004E387F"/>
    <w:rsid w:val="004E3999"/>
    <w:rsid w:val="004E3A2D"/>
    <w:rsid w:val="004E3B64"/>
    <w:rsid w:val="004E3CE1"/>
    <w:rsid w:val="004E3D0F"/>
    <w:rsid w:val="004E3F48"/>
    <w:rsid w:val="004E3FA3"/>
    <w:rsid w:val="004E431D"/>
    <w:rsid w:val="004E4547"/>
    <w:rsid w:val="004E45D9"/>
    <w:rsid w:val="004E46C6"/>
    <w:rsid w:val="004E4718"/>
    <w:rsid w:val="004E4AC2"/>
    <w:rsid w:val="004E4B64"/>
    <w:rsid w:val="004E4FE6"/>
    <w:rsid w:val="004E50D1"/>
    <w:rsid w:val="004E51D9"/>
    <w:rsid w:val="004E53B7"/>
    <w:rsid w:val="004E55CE"/>
    <w:rsid w:val="004E581B"/>
    <w:rsid w:val="004E5A91"/>
    <w:rsid w:val="004E5B1E"/>
    <w:rsid w:val="004E5CC5"/>
    <w:rsid w:val="004E5D6E"/>
    <w:rsid w:val="004E5DE6"/>
    <w:rsid w:val="004E62C0"/>
    <w:rsid w:val="004E66B5"/>
    <w:rsid w:val="004E6B7E"/>
    <w:rsid w:val="004E7599"/>
    <w:rsid w:val="004E795F"/>
    <w:rsid w:val="004E7C1F"/>
    <w:rsid w:val="004E7E72"/>
    <w:rsid w:val="004E7EFE"/>
    <w:rsid w:val="004F00A9"/>
    <w:rsid w:val="004F03E1"/>
    <w:rsid w:val="004F053E"/>
    <w:rsid w:val="004F082E"/>
    <w:rsid w:val="004F0B13"/>
    <w:rsid w:val="004F0B39"/>
    <w:rsid w:val="004F0B8E"/>
    <w:rsid w:val="004F12C4"/>
    <w:rsid w:val="004F16D8"/>
    <w:rsid w:val="004F1733"/>
    <w:rsid w:val="004F1856"/>
    <w:rsid w:val="004F1DE2"/>
    <w:rsid w:val="004F1E60"/>
    <w:rsid w:val="004F2338"/>
    <w:rsid w:val="004F2408"/>
    <w:rsid w:val="004F2413"/>
    <w:rsid w:val="004F2688"/>
    <w:rsid w:val="004F26AB"/>
    <w:rsid w:val="004F2FD7"/>
    <w:rsid w:val="004F3036"/>
    <w:rsid w:val="004F3456"/>
    <w:rsid w:val="004F35EF"/>
    <w:rsid w:val="004F3738"/>
    <w:rsid w:val="004F3B31"/>
    <w:rsid w:val="004F3BE1"/>
    <w:rsid w:val="004F3D20"/>
    <w:rsid w:val="004F3F1F"/>
    <w:rsid w:val="004F45B9"/>
    <w:rsid w:val="004F45F0"/>
    <w:rsid w:val="004F4838"/>
    <w:rsid w:val="004F4910"/>
    <w:rsid w:val="004F4B22"/>
    <w:rsid w:val="004F4E40"/>
    <w:rsid w:val="004F4F2D"/>
    <w:rsid w:val="004F505F"/>
    <w:rsid w:val="004F507A"/>
    <w:rsid w:val="004F50E9"/>
    <w:rsid w:val="004F5199"/>
    <w:rsid w:val="004F527E"/>
    <w:rsid w:val="004F5614"/>
    <w:rsid w:val="004F5FF5"/>
    <w:rsid w:val="004F6788"/>
    <w:rsid w:val="004F692F"/>
    <w:rsid w:val="004F6A46"/>
    <w:rsid w:val="004F6C3E"/>
    <w:rsid w:val="004F726B"/>
    <w:rsid w:val="004F7875"/>
    <w:rsid w:val="0050014E"/>
    <w:rsid w:val="005002DA"/>
    <w:rsid w:val="00500314"/>
    <w:rsid w:val="005003B1"/>
    <w:rsid w:val="00500674"/>
    <w:rsid w:val="00500907"/>
    <w:rsid w:val="00501396"/>
    <w:rsid w:val="0050156B"/>
    <w:rsid w:val="00501979"/>
    <w:rsid w:val="00501C61"/>
    <w:rsid w:val="00501C8D"/>
    <w:rsid w:val="00501E25"/>
    <w:rsid w:val="00501E90"/>
    <w:rsid w:val="005022E4"/>
    <w:rsid w:val="0050231C"/>
    <w:rsid w:val="00502360"/>
    <w:rsid w:val="0050264C"/>
    <w:rsid w:val="005029C3"/>
    <w:rsid w:val="00502B55"/>
    <w:rsid w:val="00502FA8"/>
    <w:rsid w:val="00503190"/>
    <w:rsid w:val="005031A2"/>
    <w:rsid w:val="005033CC"/>
    <w:rsid w:val="005036D4"/>
    <w:rsid w:val="00503904"/>
    <w:rsid w:val="00503DA1"/>
    <w:rsid w:val="00503F8C"/>
    <w:rsid w:val="00504259"/>
    <w:rsid w:val="005043B2"/>
    <w:rsid w:val="005045D5"/>
    <w:rsid w:val="00504A61"/>
    <w:rsid w:val="00504C66"/>
    <w:rsid w:val="00504E39"/>
    <w:rsid w:val="00504EB7"/>
    <w:rsid w:val="00504F1A"/>
    <w:rsid w:val="0050518B"/>
    <w:rsid w:val="0050552F"/>
    <w:rsid w:val="0050557A"/>
    <w:rsid w:val="00505592"/>
    <w:rsid w:val="0050559A"/>
    <w:rsid w:val="00505A9D"/>
    <w:rsid w:val="00505E3D"/>
    <w:rsid w:val="00506120"/>
    <w:rsid w:val="005062D3"/>
    <w:rsid w:val="00506614"/>
    <w:rsid w:val="0050673F"/>
    <w:rsid w:val="0050690D"/>
    <w:rsid w:val="00506C42"/>
    <w:rsid w:val="00506D46"/>
    <w:rsid w:val="00506FBA"/>
    <w:rsid w:val="00507103"/>
    <w:rsid w:val="0050718D"/>
    <w:rsid w:val="0050719B"/>
    <w:rsid w:val="00507221"/>
    <w:rsid w:val="005073D5"/>
    <w:rsid w:val="005079B2"/>
    <w:rsid w:val="00507BC8"/>
    <w:rsid w:val="005101BF"/>
    <w:rsid w:val="005103E4"/>
    <w:rsid w:val="00511112"/>
    <w:rsid w:val="005114A8"/>
    <w:rsid w:val="00511600"/>
    <w:rsid w:val="005116BB"/>
    <w:rsid w:val="005116F7"/>
    <w:rsid w:val="005116FA"/>
    <w:rsid w:val="00511A12"/>
    <w:rsid w:val="00511B7A"/>
    <w:rsid w:val="00511D7F"/>
    <w:rsid w:val="00511E9D"/>
    <w:rsid w:val="0051200E"/>
    <w:rsid w:val="005125DE"/>
    <w:rsid w:val="005126B0"/>
    <w:rsid w:val="00512A88"/>
    <w:rsid w:val="00512DB9"/>
    <w:rsid w:val="00513004"/>
    <w:rsid w:val="005131CD"/>
    <w:rsid w:val="00513348"/>
    <w:rsid w:val="0051367B"/>
    <w:rsid w:val="005136EC"/>
    <w:rsid w:val="00513812"/>
    <w:rsid w:val="00513C61"/>
    <w:rsid w:val="00513F13"/>
    <w:rsid w:val="005140AF"/>
    <w:rsid w:val="0051411C"/>
    <w:rsid w:val="00514403"/>
    <w:rsid w:val="005144FE"/>
    <w:rsid w:val="0051471A"/>
    <w:rsid w:val="00514EA0"/>
    <w:rsid w:val="005151BC"/>
    <w:rsid w:val="005152DE"/>
    <w:rsid w:val="00515665"/>
    <w:rsid w:val="0051576F"/>
    <w:rsid w:val="005157BF"/>
    <w:rsid w:val="00515A6E"/>
    <w:rsid w:val="00515A71"/>
    <w:rsid w:val="00515F35"/>
    <w:rsid w:val="00515F3B"/>
    <w:rsid w:val="00516071"/>
    <w:rsid w:val="005160BA"/>
    <w:rsid w:val="005165A2"/>
    <w:rsid w:val="005167B8"/>
    <w:rsid w:val="00516B14"/>
    <w:rsid w:val="00516CEA"/>
    <w:rsid w:val="0051703D"/>
    <w:rsid w:val="00517158"/>
    <w:rsid w:val="005179E1"/>
    <w:rsid w:val="00517A63"/>
    <w:rsid w:val="00517A77"/>
    <w:rsid w:val="0052000D"/>
    <w:rsid w:val="00520255"/>
    <w:rsid w:val="00520392"/>
    <w:rsid w:val="005204D6"/>
    <w:rsid w:val="0052059E"/>
    <w:rsid w:val="0052063B"/>
    <w:rsid w:val="00520802"/>
    <w:rsid w:val="0052084A"/>
    <w:rsid w:val="00521240"/>
    <w:rsid w:val="00521285"/>
    <w:rsid w:val="0052149E"/>
    <w:rsid w:val="005214A0"/>
    <w:rsid w:val="005214D9"/>
    <w:rsid w:val="005217E0"/>
    <w:rsid w:val="00521B90"/>
    <w:rsid w:val="00521C64"/>
    <w:rsid w:val="00521EA3"/>
    <w:rsid w:val="00521F66"/>
    <w:rsid w:val="00522281"/>
    <w:rsid w:val="0052259C"/>
    <w:rsid w:val="005225DB"/>
    <w:rsid w:val="0052262E"/>
    <w:rsid w:val="005229A5"/>
    <w:rsid w:val="005229D0"/>
    <w:rsid w:val="00522B92"/>
    <w:rsid w:val="00522BD9"/>
    <w:rsid w:val="00522DD8"/>
    <w:rsid w:val="00522E1D"/>
    <w:rsid w:val="00522FB8"/>
    <w:rsid w:val="005232B8"/>
    <w:rsid w:val="00523305"/>
    <w:rsid w:val="005234A2"/>
    <w:rsid w:val="0052351D"/>
    <w:rsid w:val="00523688"/>
    <w:rsid w:val="005238E8"/>
    <w:rsid w:val="00523AF6"/>
    <w:rsid w:val="00523C94"/>
    <w:rsid w:val="00523D26"/>
    <w:rsid w:val="00523DCE"/>
    <w:rsid w:val="00524208"/>
    <w:rsid w:val="0052458C"/>
    <w:rsid w:val="00524628"/>
    <w:rsid w:val="005246B3"/>
    <w:rsid w:val="005247A2"/>
    <w:rsid w:val="00524822"/>
    <w:rsid w:val="00524A22"/>
    <w:rsid w:val="00524B3B"/>
    <w:rsid w:val="00524CC7"/>
    <w:rsid w:val="00524F64"/>
    <w:rsid w:val="00524FE9"/>
    <w:rsid w:val="005251BC"/>
    <w:rsid w:val="005253E2"/>
    <w:rsid w:val="005254FC"/>
    <w:rsid w:val="005256B2"/>
    <w:rsid w:val="00525C2E"/>
    <w:rsid w:val="00525D45"/>
    <w:rsid w:val="00525D54"/>
    <w:rsid w:val="00525E8D"/>
    <w:rsid w:val="005261A4"/>
    <w:rsid w:val="005267EA"/>
    <w:rsid w:val="00526849"/>
    <w:rsid w:val="00526BF7"/>
    <w:rsid w:val="00526E50"/>
    <w:rsid w:val="00526F2A"/>
    <w:rsid w:val="0052790E"/>
    <w:rsid w:val="00527C62"/>
    <w:rsid w:val="00530000"/>
    <w:rsid w:val="0053009B"/>
    <w:rsid w:val="005300E0"/>
    <w:rsid w:val="00530393"/>
    <w:rsid w:val="0053080C"/>
    <w:rsid w:val="00531340"/>
    <w:rsid w:val="0053142D"/>
    <w:rsid w:val="0053149F"/>
    <w:rsid w:val="00531585"/>
    <w:rsid w:val="00531655"/>
    <w:rsid w:val="0053169E"/>
    <w:rsid w:val="005316F9"/>
    <w:rsid w:val="005318B4"/>
    <w:rsid w:val="00531CCB"/>
    <w:rsid w:val="00531D88"/>
    <w:rsid w:val="00531E43"/>
    <w:rsid w:val="00531FC5"/>
    <w:rsid w:val="0053249E"/>
    <w:rsid w:val="00532746"/>
    <w:rsid w:val="00532903"/>
    <w:rsid w:val="00532E53"/>
    <w:rsid w:val="00532E58"/>
    <w:rsid w:val="00532ECD"/>
    <w:rsid w:val="00533026"/>
    <w:rsid w:val="005331A9"/>
    <w:rsid w:val="0053328A"/>
    <w:rsid w:val="005333B6"/>
    <w:rsid w:val="0053346B"/>
    <w:rsid w:val="00533620"/>
    <w:rsid w:val="0053369B"/>
    <w:rsid w:val="0053372F"/>
    <w:rsid w:val="00533A71"/>
    <w:rsid w:val="00533CA5"/>
    <w:rsid w:val="00533F84"/>
    <w:rsid w:val="00533FF3"/>
    <w:rsid w:val="0053415F"/>
    <w:rsid w:val="0053451B"/>
    <w:rsid w:val="0053463B"/>
    <w:rsid w:val="005349BA"/>
    <w:rsid w:val="005349DC"/>
    <w:rsid w:val="00534B0C"/>
    <w:rsid w:val="00534C75"/>
    <w:rsid w:val="00534E6F"/>
    <w:rsid w:val="00534FF7"/>
    <w:rsid w:val="0053509A"/>
    <w:rsid w:val="00535A94"/>
    <w:rsid w:val="00535EB4"/>
    <w:rsid w:val="005363E8"/>
    <w:rsid w:val="005364A7"/>
    <w:rsid w:val="00536763"/>
    <w:rsid w:val="0053693B"/>
    <w:rsid w:val="00537384"/>
    <w:rsid w:val="005378F3"/>
    <w:rsid w:val="00537A7D"/>
    <w:rsid w:val="00537C1C"/>
    <w:rsid w:val="005404E6"/>
    <w:rsid w:val="00540761"/>
    <w:rsid w:val="005407D7"/>
    <w:rsid w:val="00540815"/>
    <w:rsid w:val="0054097C"/>
    <w:rsid w:val="005409BB"/>
    <w:rsid w:val="00540F97"/>
    <w:rsid w:val="00540FCC"/>
    <w:rsid w:val="0054103D"/>
    <w:rsid w:val="0054157F"/>
    <w:rsid w:val="00541707"/>
    <w:rsid w:val="00541ADA"/>
    <w:rsid w:val="00541FFA"/>
    <w:rsid w:val="00542496"/>
    <w:rsid w:val="005426DA"/>
    <w:rsid w:val="00542809"/>
    <w:rsid w:val="00542925"/>
    <w:rsid w:val="00542981"/>
    <w:rsid w:val="005429C9"/>
    <w:rsid w:val="005429DC"/>
    <w:rsid w:val="00542D82"/>
    <w:rsid w:val="00542E02"/>
    <w:rsid w:val="00542F47"/>
    <w:rsid w:val="00543225"/>
    <w:rsid w:val="00543516"/>
    <w:rsid w:val="005437D5"/>
    <w:rsid w:val="005438AD"/>
    <w:rsid w:val="00543D79"/>
    <w:rsid w:val="00543E9F"/>
    <w:rsid w:val="005442DB"/>
    <w:rsid w:val="005442F1"/>
    <w:rsid w:val="00544305"/>
    <w:rsid w:val="00544729"/>
    <w:rsid w:val="005447B2"/>
    <w:rsid w:val="00544914"/>
    <w:rsid w:val="00544DC0"/>
    <w:rsid w:val="005452A7"/>
    <w:rsid w:val="00545303"/>
    <w:rsid w:val="005454C4"/>
    <w:rsid w:val="005454EE"/>
    <w:rsid w:val="005454F0"/>
    <w:rsid w:val="005458C2"/>
    <w:rsid w:val="00545AC2"/>
    <w:rsid w:val="00546227"/>
    <w:rsid w:val="00546312"/>
    <w:rsid w:val="00546486"/>
    <w:rsid w:val="00546583"/>
    <w:rsid w:val="00546703"/>
    <w:rsid w:val="0054675B"/>
    <w:rsid w:val="005467E3"/>
    <w:rsid w:val="00546811"/>
    <w:rsid w:val="00546988"/>
    <w:rsid w:val="005469AA"/>
    <w:rsid w:val="005469EB"/>
    <w:rsid w:val="00546D2B"/>
    <w:rsid w:val="00546E1A"/>
    <w:rsid w:val="00546E7D"/>
    <w:rsid w:val="0054720A"/>
    <w:rsid w:val="0054756A"/>
    <w:rsid w:val="00547742"/>
    <w:rsid w:val="00547943"/>
    <w:rsid w:val="005506C9"/>
    <w:rsid w:val="005509B3"/>
    <w:rsid w:val="00550B85"/>
    <w:rsid w:val="00550BAD"/>
    <w:rsid w:val="00550DF0"/>
    <w:rsid w:val="00550E23"/>
    <w:rsid w:val="005510F1"/>
    <w:rsid w:val="00551AB6"/>
    <w:rsid w:val="00551AC9"/>
    <w:rsid w:val="00551CD9"/>
    <w:rsid w:val="0055234E"/>
    <w:rsid w:val="00552668"/>
    <w:rsid w:val="00552959"/>
    <w:rsid w:val="00552C4C"/>
    <w:rsid w:val="00552C59"/>
    <w:rsid w:val="00552CA2"/>
    <w:rsid w:val="00552ECF"/>
    <w:rsid w:val="005530DD"/>
    <w:rsid w:val="005530FA"/>
    <w:rsid w:val="005531F3"/>
    <w:rsid w:val="00553241"/>
    <w:rsid w:val="00553375"/>
    <w:rsid w:val="005533EC"/>
    <w:rsid w:val="00553684"/>
    <w:rsid w:val="00553796"/>
    <w:rsid w:val="005538FC"/>
    <w:rsid w:val="00553A2E"/>
    <w:rsid w:val="00553B2B"/>
    <w:rsid w:val="00553DB7"/>
    <w:rsid w:val="00553F71"/>
    <w:rsid w:val="005542EF"/>
    <w:rsid w:val="005546AF"/>
    <w:rsid w:val="00554941"/>
    <w:rsid w:val="00554A8C"/>
    <w:rsid w:val="00554AB3"/>
    <w:rsid w:val="00554EDE"/>
    <w:rsid w:val="00555175"/>
    <w:rsid w:val="00555376"/>
    <w:rsid w:val="00555728"/>
    <w:rsid w:val="005559A4"/>
    <w:rsid w:val="00555A8F"/>
    <w:rsid w:val="00555B25"/>
    <w:rsid w:val="00555C23"/>
    <w:rsid w:val="00555D0B"/>
    <w:rsid w:val="00555DFD"/>
    <w:rsid w:val="005560D2"/>
    <w:rsid w:val="005568B1"/>
    <w:rsid w:val="00556C68"/>
    <w:rsid w:val="00556F2A"/>
    <w:rsid w:val="0055707C"/>
    <w:rsid w:val="005570F1"/>
    <w:rsid w:val="005573F4"/>
    <w:rsid w:val="005574CD"/>
    <w:rsid w:val="00557713"/>
    <w:rsid w:val="005579CD"/>
    <w:rsid w:val="00557DDF"/>
    <w:rsid w:val="00557E31"/>
    <w:rsid w:val="00560307"/>
    <w:rsid w:val="0056033E"/>
    <w:rsid w:val="005607A1"/>
    <w:rsid w:val="005608B8"/>
    <w:rsid w:val="005608F2"/>
    <w:rsid w:val="00560923"/>
    <w:rsid w:val="00560C23"/>
    <w:rsid w:val="00560FC8"/>
    <w:rsid w:val="00560FD5"/>
    <w:rsid w:val="005611D1"/>
    <w:rsid w:val="00561390"/>
    <w:rsid w:val="005613AD"/>
    <w:rsid w:val="00561430"/>
    <w:rsid w:val="00561444"/>
    <w:rsid w:val="0056155F"/>
    <w:rsid w:val="005616DD"/>
    <w:rsid w:val="00561987"/>
    <w:rsid w:val="00561FB4"/>
    <w:rsid w:val="0056217C"/>
    <w:rsid w:val="0056217D"/>
    <w:rsid w:val="0056222F"/>
    <w:rsid w:val="005624B5"/>
    <w:rsid w:val="00562524"/>
    <w:rsid w:val="005626DB"/>
    <w:rsid w:val="00562A73"/>
    <w:rsid w:val="00562BFC"/>
    <w:rsid w:val="00562C95"/>
    <w:rsid w:val="00562E07"/>
    <w:rsid w:val="00562FAA"/>
    <w:rsid w:val="005631A0"/>
    <w:rsid w:val="005631C4"/>
    <w:rsid w:val="00563380"/>
    <w:rsid w:val="00563896"/>
    <w:rsid w:val="0056395E"/>
    <w:rsid w:val="00563B15"/>
    <w:rsid w:val="00563C75"/>
    <w:rsid w:val="00563C9C"/>
    <w:rsid w:val="00563D4E"/>
    <w:rsid w:val="00563F7E"/>
    <w:rsid w:val="00563F87"/>
    <w:rsid w:val="00563FAF"/>
    <w:rsid w:val="005640BD"/>
    <w:rsid w:val="005644C5"/>
    <w:rsid w:val="0056450A"/>
    <w:rsid w:val="00564554"/>
    <w:rsid w:val="005647D3"/>
    <w:rsid w:val="0056481E"/>
    <w:rsid w:val="005648F0"/>
    <w:rsid w:val="005649FF"/>
    <w:rsid w:val="00564BA1"/>
    <w:rsid w:val="00564C01"/>
    <w:rsid w:val="00564CA1"/>
    <w:rsid w:val="00564D2C"/>
    <w:rsid w:val="00564E58"/>
    <w:rsid w:val="00564F61"/>
    <w:rsid w:val="005653C1"/>
    <w:rsid w:val="00565425"/>
    <w:rsid w:val="00565494"/>
    <w:rsid w:val="0056559E"/>
    <w:rsid w:val="00565630"/>
    <w:rsid w:val="00565669"/>
    <w:rsid w:val="00565700"/>
    <w:rsid w:val="005658B8"/>
    <w:rsid w:val="00565B1D"/>
    <w:rsid w:val="00565D9E"/>
    <w:rsid w:val="00565DDE"/>
    <w:rsid w:val="00566072"/>
    <w:rsid w:val="00566436"/>
    <w:rsid w:val="00566459"/>
    <w:rsid w:val="005664F7"/>
    <w:rsid w:val="0056667B"/>
    <w:rsid w:val="005667BA"/>
    <w:rsid w:val="00566B7A"/>
    <w:rsid w:val="00566B94"/>
    <w:rsid w:val="00566F1C"/>
    <w:rsid w:val="00567227"/>
    <w:rsid w:val="005673E4"/>
    <w:rsid w:val="00567581"/>
    <w:rsid w:val="00567670"/>
    <w:rsid w:val="00567806"/>
    <w:rsid w:val="005679F8"/>
    <w:rsid w:val="00567A2B"/>
    <w:rsid w:val="00567A4D"/>
    <w:rsid w:val="00567A77"/>
    <w:rsid w:val="00567A99"/>
    <w:rsid w:val="00567E9F"/>
    <w:rsid w:val="00567FBD"/>
    <w:rsid w:val="00570209"/>
    <w:rsid w:val="0057044D"/>
    <w:rsid w:val="00570573"/>
    <w:rsid w:val="005705AD"/>
    <w:rsid w:val="00570698"/>
    <w:rsid w:val="00570A83"/>
    <w:rsid w:val="00570BBC"/>
    <w:rsid w:val="00570E1C"/>
    <w:rsid w:val="00570ED9"/>
    <w:rsid w:val="00570F0C"/>
    <w:rsid w:val="00570F56"/>
    <w:rsid w:val="005711DB"/>
    <w:rsid w:val="005711DD"/>
    <w:rsid w:val="0057131A"/>
    <w:rsid w:val="00571338"/>
    <w:rsid w:val="005716A6"/>
    <w:rsid w:val="0057186A"/>
    <w:rsid w:val="00571A57"/>
    <w:rsid w:val="00571C02"/>
    <w:rsid w:val="00571D3D"/>
    <w:rsid w:val="005721A4"/>
    <w:rsid w:val="00572581"/>
    <w:rsid w:val="00572CC4"/>
    <w:rsid w:val="00572EFF"/>
    <w:rsid w:val="00573344"/>
    <w:rsid w:val="005737DE"/>
    <w:rsid w:val="005739D2"/>
    <w:rsid w:val="00573AE1"/>
    <w:rsid w:val="00573C35"/>
    <w:rsid w:val="00573C5A"/>
    <w:rsid w:val="00573DC5"/>
    <w:rsid w:val="00573DEF"/>
    <w:rsid w:val="00573E23"/>
    <w:rsid w:val="00573F96"/>
    <w:rsid w:val="005740B1"/>
    <w:rsid w:val="00574113"/>
    <w:rsid w:val="00574439"/>
    <w:rsid w:val="005744ED"/>
    <w:rsid w:val="00574688"/>
    <w:rsid w:val="0057485F"/>
    <w:rsid w:val="0057494A"/>
    <w:rsid w:val="00574A0D"/>
    <w:rsid w:val="00574E6E"/>
    <w:rsid w:val="00574F67"/>
    <w:rsid w:val="005750E2"/>
    <w:rsid w:val="0057543B"/>
    <w:rsid w:val="00575442"/>
    <w:rsid w:val="005759A8"/>
    <w:rsid w:val="00575B40"/>
    <w:rsid w:val="00576078"/>
    <w:rsid w:val="00576227"/>
    <w:rsid w:val="00576657"/>
    <w:rsid w:val="005766B5"/>
    <w:rsid w:val="00576730"/>
    <w:rsid w:val="00576895"/>
    <w:rsid w:val="005768B8"/>
    <w:rsid w:val="00576990"/>
    <w:rsid w:val="00576C14"/>
    <w:rsid w:val="00576FAB"/>
    <w:rsid w:val="0057799E"/>
    <w:rsid w:val="00577A69"/>
    <w:rsid w:val="00577E7F"/>
    <w:rsid w:val="005800DB"/>
    <w:rsid w:val="00580174"/>
    <w:rsid w:val="005803F9"/>
    <w:rsid w:val="005809FF"/>
    <w:rsid w:val="00580A45"/>
    <w:rsid w:val="00580F3E"/>
    <w:rsid w:val="00580FA6"/>
    <w:rsid w:val="005812BA"/>
    <w:rsid w:val="00581453"/>
    <w:rsid w:val="0058146A"/>
    <w:rsid w:val="005814D5"/>
    <w:rsid w:val="00581866"/>
    <w:rsid w:val="00581A6E"/>
    <w:rsid w:val="00581B10"/>
    <w:rsid w:val="00581C6E"/>
    <w:rsid w:val="00581D2B"/>
    <w:rsid w:val="00582011"/>
    <w:rsid w:val="00582014"/>
    <w:rsid w:val="00582164"/>
    <w:rsid w:val="0058229B"/>
    <w:rsid w:val="00582348"/>
    <w:rsid w:val="0058243C"/>
    <w:rsid w:val="005825C3"/>
    <w:rsid w:val="0058267A"/>
    <w:rsid w:val="005826D6"/>
    <w:rsid w:val="00582894"/>
    <w:rsid w:val="00582DA4"/>
    <w:rsid w:val="00583014"/>
    <w:rsid w:val="00583088"/>
    <w:rsid w:val="00583122"/>
    <w:rsid w:val="0058333C"/>
    <w:rsid w:val="00583623"/>
    <w:rsid w:val="0058396E"/>
    <w:rsid w:val="00583A1C"/>
    <w:rsid w:val="00584217"/>
    <w:rsid w:val="00584320"/>
    <w:rsid w:val="005847BE"/>
    <w:rsid w:val="00584AA5"/>
    <w:rsid w:val="00584C5B"/>
    <w:rsid w:val="00585010"/>
    <w:rsid w:val="0058510C"/>
    <w:rsid w:val="005852E2"/>
    <w:rsid w:val="005854BC"/>
    <w:rsid w:val="00585EE6"/>
    <w:rsid w:val="00585F76"/>
    <w:rsid w:val="0058638A"/>
    <w:rsid w:val="005865B7"/>
    <w:rsid w:val="0058668B"/>
    <w:rsid w:val="0058670C"/>
    <w:rsid w:val="00586747"/>
    <w:rsid w:val="005870CD"/>
    <w:rsid w:val="00587171"/>
    <w:rsid w:val="005872A4"/>
    <w:rsid w:val="00587486"/>
    <w:rsid w:val="0058781B"/>
    <w:rsid w:val="00587CFA"/>
    <w:rsid w:val="00587EEC"/>
    <w:rsid w:val="00587EF6"/>
    <w:rsid w:val="005900BB"/>
    <w:rsid w:val="005900F3"/>
    <w:rsid w:val="0059018A"/>
    <w:rsid w:val="00590233"/>
    <w:rsid w:val="00590305"/>
    <w:rsid w:val="005905A1"/>
    <w:rsid w:val="005905FB"/>
    <w:rsid w:val="00590661"/>
    <w:rsid w:val="0059072F"/>
    <w:rsid w:val="00590EAB"/>
    <w:rsid w:val="00590F0A"/>
    <w:rsid w:val="00591139"/>
    <w:rsid w:val="005913E6"/>
    <w:rsid w:val="005915CF"/>
    <w:rsid w:val="00591904"/>
    <w:rsid w:val="0059199C"/>
    <w:rsid w:val="00591A9B"/>
    <w:rsid w:val="00591C35"/>
    <w:rsid w:val="00591C8E"/>
    <w:rsid w:val="00591C96"/>
    <w:rsid w:val="00591CC1"/>
    <w:rsid w:val="00591CEC"/>
    <w:rsid w:val="00591E0A"/>
    <w:rsid w:val="00592122"/>
    <w:rsid w:val="0059212D"/>
    <w:rsid w:val="00592250"/>
    <w:rsid w:val="0059252F"/>
    <w:rsid w:val="00592942"/>
    <w:rsid w:val="00592955"/>
    <w:rsid w:val="00592964"/>
    <w:rsid w:val="00592A99"/>
    <w:rsid w:val="00593015"/>
    <w:rsid w:val="0059353C"/>
    <w:rsid w:val="00593678"/>
    <w:rsid w:val="0059372A"/>
    <w:rsid w:val="005937B9"/>
    <w:rsid w:val="00593AD7"/>
    <w:rsid w:val="00593C4B"/>
    <w:rsid w:val="00593E29"/>
    <w:rsid w:val="00593F82"/>
    <w:rsid w:val="0059409F"/>
    <w:rsid w:val="005941B9"/>
    <w:rsid w:val="00594398"/>
    <w:rsid w:val="0059451E"/>
    <w:rsid w:val="005945D2"/>
    <w:rsid w:val="00594790"/>
    <w:rsid w:val="00594997"/>
    <w:rsid w:val="00594B7B"/>
    <w:rsid w:val="00594BD6"/>
    <w:rsid w:val="00594CD1"/>
    <w:rsid w:val="00594EC4"/>
    <w:rsid w:val="00594EE3"/>
    <w:rsid w:val="00594F16"/>
    <w:rsid w:val="00594FCF"/>
    <w:rsid w:val="00595494"/>
    <w:rsid w:val="00595593"/>
    <w:rsid w:val="00595CBF"/>
    <w:rsid w:val="00595F39"/>
    <w:rsid w:val="00596183"/>
    <w:rsid w:val="005964FF"/>
    <w:rsid w:val="00596789"/>
    <w:rsid w:val="00596856"/>
    <w:rsid w:val="00596988"/>
    <w:rsid w:val="005969EA"/>
    <w:rsid w:val="00596B9A"/>
    <w:rsid w:val="00596D43"/>
    <w:rsid w:val="0059718B"/>
    <w:rsid w:val="005972B9"/>
    <w:rsid w:val="0059734F"/>
    <w:rsid w:val="00597562"/>
    <w:rsid w:val="005976EA"/>
    <w:rsid w:val="005979C9"/>
    <w:rsid w:val="00597A53"/>
    <w:rsid w:val="00597B78"/>
    <w:rsid w:val="00597E93"/>
    <w:rsid w:val="00597F6C"/>
    <w:rsid w:val="005A0263"/>
    <w:rsid w:val="005A0591"/>
    <w:rsid w:val="005A05F5"/>
    <w:rsid w:val="005A0E0F"/>
    <w:rsid w:val="005A10C6"/>
    <w:rsid w:val="005A120D"/>
    <w:rsid w:val="005A128F"/>
    <w:rsid w:val="005A166C"/>
    <w:rsid w:val="005A1868"/>
    <w:rsid w:val="005A1942"/>
    <w:rsid w:val="005A1A3F"/>
    <w:rsid w:val="005A1A82"/>
    <w:rsid w:val="005A1B4A"/>
    <w:rsid w:val="005A1D8C"/>
    <w:rsid w:val="005A1DD3"/>
    <w:rsid w:val="005A22DE"/>
    <w:rsid w:val="005A233A"/>
    <w:rsid w:val="005A281B"/>
    <w:rsid w:val="005A2A03"/>
    <w:rsid w:val="005A2B83"/>
    <w:rsid w:val="005A2BE7"/>
    <w:rsid w:val="005A2C3C"/>
    <w:rsid w:val="005A2EF6"/>
    <w:rsid w:val="005A305F"/>
    <w:rsid w:val="005A30DF"/>
    <w:rsid w:val="005A32F9"/>
    <w:rsid w:val="005A33FC"/>
    <w:rsid w:val="005A35E7"/>
    <w:rsid w:val="005A3AB7"/>
    <w:rsid w:val="005A43EF"/>
    <w:rsid w:val="005A4A4A"/>
    <w:rsid w:val="005A4AFD"/>
    <w:rsid w:val="005A4B50"/>
    <w:rsid w:val="005A5110"/>
    <w:rsid w:val="005A5188"/>
    <w:rsid w:val="005A55FF"/>
    <w:rsid w:val="005A5705"/>
    <w:rsid w:val="005A578C"/>
    <w:rsid w:val="005A5805"/>
    <w:rsid w:val="005A5C46"/>
    <w:rsid w:val="005A6242"/>
    <w:rsid w:val="005A66CE"/>
    <w:rsid w:val="005A67A0"/>
    <w:rsid w:val="005A691F"/>
    <w:rsid w:val="005A6EC8"/>
    <w:rsid w:val="005A721B"/>
    <w:rsid w:val="005A721F"/>
    <w:rsid w:val="005A723A"/>
    <w:rsid w:val="005A7298"/>
    <w:rsid w:val="005A73D0"/>
    <w:rsid w:val="005A74A0"/>
    <w:rsid w:val="005A7533"/>
    <w:rsid w:val="005A75E5"/>
    <w:rsid w:val="005A7F1B"/>
    <w:rsid w:val="005B008A"/>
    <w:rsid w:val="005B018D"/>
    <w:rsid w:val="005B042D"/>
    <w:rsid w:val="005B0836"/>
    <w:rsid w:val="005B0BF0"/>
    <w:rsid w:val="005B0F4D"/>
    <w:rsid w:val="005B0F8A"/>
    <w:rsid w:val="005B111A"/>
    <w:rsid w:val="005B1180"/>
    <w:rsid w:val="005B1181"/>
    <w:rsid w:val="005B12C1"/>
    <w:rsid w:val="005B1DB9"/>
    <w:rsid w:val="005B1E27"/>
    <w:rsid w:val="005B1EF0"/>
    <w:rsid w:val="005B209C"/>
    <w:rsid w:val="005B20C3"/>
    <w:rsid w:val="005B24CC"/>
    <w:rsid w:val="005B279B"/>
    <w:rsid w:val="005B2812"/>
    <w:rsid w:val="005B297E"/>
    <w:rsid w:val="005B2B2E"/>
    <w:rsid w:val="005B2CF0"/>
    <w:rsid w:val="005B2E1E"/>
    <w:rsid w:val="005B3076"/>
    <w:rsid w:val="005B37BD"/>
    <w:rsid w:val="005B38B6"/>
    <w:rsid w:val="005B390E"/>
    <w:rsid w:val="005B3AA0"/>
    <w:rsid w:val="005B3AB7"/>
    <w:rsid w:val="005B3D3E"/>
    <w:rsid w:val="005B4448"/>
    <w:rsid w:val="005B4472"/>
    <w:rsid w:val="005B449D"/>
    <w:rsid w:val="005B4712"/>
    <w:rsid w:val="005B47DB"/>
    <w:rsid w:val="005B4917"/>
    <w:rsid w:val="005B499B"/>
    <w:rsid w:val="005B4C5A"/>
    <w:rsid w:val="005B4CBC"/>
    <w:rsid w:val="005B4DC8"/>
    <w:rsid w:val="005B4E48"/>
    <w:rsid w:val="005B4FB6"/>
    <w:rsid w:val="005B5056"/>
    <w:rsid w:val="005B522A"/>
    <w:rsid w:val="005B54FB"/>
    <w:rsid w:val="005B5A38"/>
    <w:rsid w:val="005B5B0C"/>
    <w:rsid w:val="005B5BF5"/>
    <w:rsid w:val="005B5C84"/>
    <w:rsid w:val="005B5DEA"/>
    <w:rsid w:val="005B61AE"/>
    <w:rsid w:val="005B61D0"/>
    <w:rsid w:val="005B6689"/>
    <w:rsid w:val="005B6890"/>
    <w:rsid w:val="005B696A"/>
    <w:rsid w:val="005B6B86"/>
    <w:rsid w:val="005B7069"/>
    <w:rsid w:val="005B70A7"/>
    <w:rsid w:val="005B723F"/>
    <w:rsid w:val="005B72D5"/>
    <w:rsid w:val="005B7457"/>
    <w:rsid w:val="005B74D1"/>
    <w:rsid w:val="005B77A8"/>
    <w:rsid w:val="005B7835"/>
    <w:rsid w:val="005B7AE4"/>
    <w:rsid w:val="005B7C24"/>
    <w:rsid w:val="005B7C97"/>
    <w:rsid w:val="005B7E09"/>
    <w:rsid w:val="005B7E38"/>
    <w:rsid w:val="005B7E8E"/>
    <w:rsid w:val="005C0039"/>
    <w:rsid w:val="005C0150"/>
    <w:rsid w:val="005C0379"/>
    <w:rsid w:val="005C038D"/>
    <w:rsid w:val="005C03C0"/>
    <w:rsid w:val="005C03DF"/>
    <w:rsid w:val="005C05F3"/>
    <w:rsid w:val="005C07D0"/>
    <w:rsid w:val="005C0B32"/>
    <w:rsid w:val="005C0B95"/>
    <w:rsid w:val="005C0CB9"/>
    <w:rsid w:val="005C0D5D"/>
    <w:rsid w:val="005C0EC7"/>
    <w:rsid w:val="005C10E6"/>
    <w:rsid w:val="005C11E4"/>
    <w:rsid w:val="005C1343"/>
    <w:rsid w:val="005C139B"/>
    <w:rsid w:val="005C1549"/>
    <w:rsid w:val="005C1931"/>
    <w:rsid w:val="005C1A3C"/>
    <w:rsid w:val="005C1ACE"/>
    <w:rsid w:val="005C1E39"/>
    <w:rsid w:val="005C2100"/>
    <w:rsid w:val="005C2464"/>
    <w:rsid w:val="005C2484"/>
    <w:rsid w:val="005C2528"/>
    <w:rsid w:val="005C252E"/>
    <w:rsid w:val="005C2A60"/>
    <w:rsid w:val="005C2B40"/>
    <w:rsid w:val="005C2C5B"/>
    <w:rsid w:val="005C2E57"/>
    <w:rsid w:val="005C2F48"/>
    <w:rsid w:val="005C3142"/>
    <w:rsid w:val="005C32D0"/>
    <w:rsid w:val="005C37BE"/>
    <w:rsid w:val="005C3B41"/>
    <w:rsid w:val="005C3D5D"/>
    <w:rsid w:val="005C3D87"/>
    <w:rsid w:val="005C3EC0"/>
    <w:rsid w:val="005C4309"/>
    <w:rsid w:val="005C4365"/>
    <w:rsid w:val="005C453C"/>
    <w:rsid w:val="005C4883"/>
    <w:rsid w:val="005C490D"/>
    <w:rsid w:val="005C4B5E"/>
    <w:rsid w:val="005C4CE5"/>
    <w:rsid w:val="005C4D5C"/>
    <w:rsid w:val="005C4E63"/>
    <w:rsid w:val="005C4F47"/>
    <w:rsid w:val="005C5508"/>
    <w:rsid w:val="005C553C"/>
    <w:rsid w:val="005C55CA"/>
    <w:rsid w:val="005C58BE"/>
    <w:rsid w:val="005C595A"/>
    <w:rsid w:val="005C5B5D"/>
    <w:rsid w:val="005C5F03"/>
    <w:rsid w:val="005C5F38"/>
    <w:rsid w:val="005C6660"/>
    <w:rsid w:val="005C66B1"/>
    <w:rsid w:val="005C6B9D"/>
    <w:rsid w:val="005C6D19"/>
    <w:rsid w:val="005C7054"/>
    <w:rsid w:val="005C7177"/>
    <w:rsid w:val="005C71C3"/>
    <w:rsid w:val="005C7523"/>
    <w:rsid w:val="005C772A"/>
    <w:rsid w:val="005C7820"/>
    <w:rsid w:val="005C7955"/>
    <w:rsid w:val="005C7A52"/>
    <w:rsid w:val="005C7DED"/>
    <w:rsid w:val="005C7F24"/>
    <w:rsid w:val="005D0029"/>
    <w:rsid w:val="005D003E"/>
    <w:rsid w:val="005D027A"/>
    <w:rsid w:val="005D0344"/>
    <w:rsid w:val="005D05AA"/>
    <w:rsid w:val="005D07C6"/>
    <w:rsid w:val="005D0B49"/>
    <w:rsid w:val="005D0B59"/>
    <w:rsid w:val="005D0D6A"/>
    <w:rsid w:val="005D10BF"/>
    <w:rsid w:val="005D1381"/>
    <w:rsid w:val="005D1488"/>
    <w:rsid w:val="005D1B40"/>
    <w:rsid w:val="005D1B5E"/>
    <w:rsid w:val="005D1DB5"/>
    <w:rsid w:val="005D1E07"/>
    <w:rsid w:val="005D200F"/>
    <w:rsid w:val="005D2049"/>
    <w:rsid w:val="005D2066"/>
    <w:rsid w:val="005D2084"/>
    <w:rsid w:val="005D20F5"/>
    <w:rsid w:val="005D2198"/>
    <w:rsid w:val="005D22F5"/>
    <w:rsid w:val="005D25F6"/>
    <w:rsid w:val="005D27ED"/>
    <w:rsid w:val="005D2D85"/>
    <w:rsid w:val="005D2E60"/>
    <w:rsid w:val="005D2EC2"/>
    <w:rsid w:val="005D2FF2"/>
    <w:rsid w:val="005D36F0"/>
    <w:rsid w:val="005D372A"/>
    <w:rsid w:val="005D3733"/>
    <w:rsid w:val="005D3D30"/>
    <w:rsid w:val="005D3DFF"/>
    <w:rsid w:val="005D3F7D"/>
    <w:rsid w:val="005D40A6"/>
    <w:rsid w:val="005D40F2"/>
    <w:rsid w:val="005D4713"/>
    <w:rsid w:val="005D49FF"/>
    <w:rsid w:val="005D4A34"/>
    <w:rsid w:val="005D4C1A"/>
    <w:rsid w:val="005D4FFA"/>
    <w:rsid w:val="005D51BD"/>
    <w:rsid w:val="005D51DE"/>
    <w:rsid w:val="005D51EA"/>
    <w:rsid w:val="005D557E"/>
    <w:rsid w:val="005D5677"/>
    <w:rsid w:val="005D5704"/>
    <w:rsid w:val="005D585E"/>
    <w:rsid w:val="005D59AD"/>
    <w:rsid w:val="005D5CEE"/>
    <w:rsid w:val="005D602F"/>
    <w:rsid w:val="005D634A"/>
    <w:rsid w:val="005D641F"/>
    <w:rsid w:val="005D6438"/>
    <w:rsid w:val="005D68A4"/>
    <w:rsid w:val="005D68EE"/>
    <w:rsid w:val="005D6B2F"/>
    <w:rsid w:val="005D6DB9"/>
    <w:rsid w:val="005D6F73"/>
    <w:rsid w:val="005D70DE"/>
    <w:rsid w:val="005D7354"/>
    <w:rsid w:val="005D798E"/>
    <w:rsid w:val="005D7A17"/>
    <w:rsid w:val="005D7F4C"/>
    <w:rsid w:val="005D7F63"/>
    <w:rsid w:val="005D7F79"/>
    <w:rsid w:val="005D7F8F"/>
    <w:rsid w:val="005E020D"/>
    <w:rsid w:val="005E04C0"/>
    <w:rsid w:val="005E057C"/>
    <w:rsid w:val="005E05B7"/>
    <w:rsid w:val="005E05D7"/>
    <w:rsid w:val="005E0717"/>
    <w:rsid w:val="005E0747"/>
    <w:rsid w:val="005E07F5"/>
    <w:rsid w:val="005E0BFE"/>
    <w:rsid w:val="005E0CD1"/>
    <w:rsid w:val="005E12CB"/>
    <w:rsid w:val="005E1434"/>
    <w:rsid w:val="005E14EE"/>
    <w:rsid w:val="005E150A"/>
    <w:rsid w:val="005E1590"/>
    <w:rsid w:val="005E1D33"/>
    <w:rsid w:val="005E20C4"/>
    <w:rsid w:val="005E2657"/>
    <w:rsid w:val="005E2733"/>
    <w:rsid w:val="005E32A3"/>
    <w:rsid w:val="005E331E"/>
    <w:rsid w:val="005E33D8"/>
    <w:rsid w:val="005E351F"/>
    <w:rsid w:val="005E3539"/>
    <w:rsid w:val="005E358A"/>
    <w:rsid w:val="005E3600"/>
    <w:rsid w:val="005E367E"/>
    <w:rsid w:val="005E3F37"/>
    <w:rsid w:val="005E4494"/>
    <w:rsid w:val="005E44AA"/>
    <w:rsid w:val="005E4587"/>
    <w:rsid w:val="005E45A5"/>
    <w:rsid w:val="005E45EA"/>
    <w:rsid w:val="005E477C"/>
    <w:rsid w:val="005E4D82"/>
    <w:rsid w:val="005E4FAF"/>
    <w:rsid w:val="005E54A5"/>
    <w:rsid w:val="005E5A52"/>
    <w:rsid w:val="005E6005"/>
    <w:rsid w:val="005E6044"/>
    <w:rsid w:val="005E66C8"/>
    <w:rsid w:val="005E68AD"/>
    <w:rsid w:val="005E6BB9"/>
    <w:rsid w:val="005E6C78"/>
    <w:rsid w:val="005E6D53"/>
    <w:rsid w:val="005E6D8C"/>
    <w:rsid w:val="005E6FEB"/>
    <w:rsid w:val="005E722B"/>
    <w:rsid w:val="005E796A"/>
    <w:rsid w:val="005E7992"/>
    <w:rsid w:val="005E7A52"/>
    <w:rsid w:val="005E7B62"/>
    <w:rsid w:val="005E7DCC"/>
    <w:rsid w:val="005E7E73"/>
    <w:rsid w:val="005F007A"/>
    <w:rsid w:val="005F01AE"/>
    <w:rsid w:val="005F022B"/>
    <w:rsid w:val="005F0417"/>
    <w:rsid w:val="005F0A09"/>
    <w:rsid w:val="005F0AB2"/>
    <w:rsid w:val="005F0DA5"/>
    <w:rsid w:val="005F0E22"/>
    <w:rsid w:val="005F1050"/>
    <w:rsid w:val="005F10EB"/>
    <w:rsid w:val="005F115A"/>
    <w:rsid w:val="005F12E8"/>
    <w:rsid w:val="005F1358"/>
    <w:rsid w:val="005F1521"/>
    <w:rsid w:val="005F1665"/>
    <w:rsid w:val="005F1943"/>
    <w:rsid w:val="005F1944"/>
    <w:rsid w:val="005F19CF"/>
    <w:rsid w:val="005F1A24"/>
    <w:rsid w:val="005F1B6D"/>
    <w:rsid w:val="005F1BEF"/>
    <w:rsid w:val="005F1C99"/>
    <w:rsid w:val="005F1D9D"/>
    <w:rsid w:val="005F1DE4"/>
    <w:rsid w:val="005F1EA7"/>
    <w:rsid w:val="005F2096"/>
    <w:rsid w:val="005F20B3"/>
    <w:rsid w:val="005F23B7"/>
    <w:rsid w:val="005F24AC"/>
    <w:rsid w:val="005F25B6"/>
    <w:rsid w:val="005F299A"/>
    <w:rsid w:val="005F2ADC"/>
    <w:rsid w:val="005F3131"/>
    <w:rsid w:val="005F32AC"/>
    <w:rsid w:val="005F32F7"/>
    <w:rsid w:val="005F339C"/>
    <w:rsid w:val="005F38DD"/>
    <w:rsid w:val="005F3901"/>
    <w:rsid w:val="005F39BF"/>
    <w:rsid w:val="005F39DA"/>
    <w:rsid w:val="005F3DD1"/>
    <w:rsid w:val="005F3EDF"/>
    <w:rsid w:val="005F3F65"/>
    <w:rsid w:val="005F3F69"/>
    <w:rsid w:val="005F419C"/>
    <w:rsid w:val="005F433C"/>
    <w:rsid w:val="005F4473"/>
    <w:rsid w:val="005F45B3"/>
    <w:rsid w:val="005F462E"/>
    <w:rsid w:val="005F463E"/>
    <w:rsid w:val="005F49D5"/>
    <w:rsid w:val="005F4A19"/>
    <w:rsid w:val="005F4D9E"/>
    <w:rsid w:val="005F5696"/>
    <w:rsid w:val="005F56F6"/>
    <w:rsid w:val="005F5D12"/>
    <w:rsid w:val="005F5DEE"/>
    <w:rsid w:val="005F5EDB"/>
    <w:rsid w:val="005F60B9"/>
    <w:rsid w:val="005F6115"/>
    <w:rsid w:val="005F623F"/>
    <w:rsid w:val="005F62AC"/>
    <w:rsid w:val="005F6B4D"/>
    <w:rsid w:val="005F6B61"/>
    <w:rsid w:val="005F6D6D"/>
    <w:rsid w:val="005F6E55"/>
    <w:rsid w:val="005F6EC9"/>
    <w:rsid w:val="005F6EF4"/>
    <w:rsid w:val="005F6F43"/>
    <w:rsid w:val="005F7093"/>
    <w:rsid w:val="005F721B"/>
    <w:rsid w:val="005F769D"/>
    <w:rsid w:val="005F7763"/>
    <w:rsid w:val="005F7CAD"/>
    <w:rsid w:val="005F7DE0"/>
    <w:rsid w:val="005F7E45"/>
    <w:rsid w:val="005F7FB1"/>
    <w:rsid w:val="0060006D"/>
    <w:rsid w:val="0060016A"/>
    <w:rsid w:val="00600358"/>
    <w:rsid w:val="00600376"/>
    <w:rsid w:val="0060069C"/>
    <w:rsid w:val="006008CD"/>
    <w:rsid w:val="006009D4"/>
    <w:rsid w:val="00600D89"/>
    <w:rsid w:val="00600E5F"/>
    <w:rsid w:val="00600FA5"/>
    <w:rsid w:val="00600FE4"/>
    <w:rsid w:val="00601308"/>
    <w:rsid w:val="006013FA"/>
    <w:rsid w:val="00601493"/>
    <w:rsid w:val="006014A6"/>
    <w:rsid w:val="006017B8"/>
    <w:rsid w:val="00601916"/>
    <w:rsid w:val="0060196A"/>
    <w:rsid w:val="00601B72"/>
    <w:rsid w:val="00601FD1"/>
    <w:rsid w:val="006020CB"/>
    <w:rsid w:val="006020F4"/>
    <w:rsid w:val="006021BB"/>
    <w:rsid w:val="0060234C"/>
    <w:rsid w:val="006023D4"/>
    <w:rsid w:val="006027BC"/>
    <w:rsid w:val="00602B46"/>
    <w:rsid w:val="00602E62"/>
    <w:rsid w:val="00602FD8"/>
    <w:rsid w:val="00603082"/>
    <w:rsid w:val="006030FE"/>
    <w:rsid w:val="00603165"/>
    <w:rsid w:val="006038A2"/>
    <w:rsid w:val="00603AED"/>
    <w:rsid w:val="00603C9D"/>
    <w:rsid w:val="00603D4A"/>
    <w:rsid w:val="00603D66"/>
    <w:rsid w:val="00603F21"/>
    <w:rsid w:val="00603F66"/>
    <w:rsid w:val="006047A6"/>
    <w:rsid w:val="00604A9E"/>
    <w:rsid w:val="00604BF7"/>
    <w:rsid w:val="00604C07"/>
    <w:rsid w:val="00604CC5"/>
    <w:rsid w:val="00604D27"/>
    <w:rsid w:val="00604D5F"/>
    <w:rsid w:val="00604DC1"/>
    <w:rsid w:val="00605133"/>
    <w:rsid w:val="006052BF"/>
    <w:rsid w:val="006055F7"/>
    <w:rsid w:val="00605661"/>
    <w:rsid w:val="00605900"/>
    <w:rsid w:val="00605D0B"/>
    <w:rsid w:val="00605FF9"/>
    <w:rsid w:val="00606320"/>
    <w:rsid w:val="00606518"/>
    <w:rsid w:val="00606CA5"/>
    <w:rsid w:val="00606CFF"/>
    <w:rsid w:val="00606D27"/>
    <w:rsid w:val="00606E83"/>
    <w:rsid w:val="006070FD"/>
    <w:rsid w:val="006072E6"/>
    <w:rsid w:val="00607504"/>
    <w:rsid w:val="006075C0"/>
    <w:rsid w:val="00607636"/>
    <w:rsid w:val="0060763B"/>
    <w:rsid w:val="00607688"/>
    <w:rsid w:val="00607AB3"/>
    <w:rsid w:val="00607E69"/>
    <w:rsid w:val="00607F35"/>
    <w:rsid w:val="00607FF5"/>
    <w:rsid w:val="006103F0"/>
    <w:rsid w:val="0061054E"/>
    <w:rsid w:val="006106AC"/>
    <w:rsid w:val="00610864"/>
    <w:rsid w:val="00610AD2"/>
    <w:rsid w:val="00610B4C"/>
    <w:rsid w:val="00610C5D"/>
    <w:rsid w:val="00610CB1"/>
    <w:rsid w:val="00610D56"/>
    <w:rsid w:val="00610E81"/>
    <w:rsid w:val="00610F87"/>
    <w:rsid w:val="006110C9"/>
    <w:rsid w:val="006112A0"/>
    <w:rsid w:val="0061145E"/>
    <w:rsid w:val="00611497"/>
    <w:rsid w:val="006114B8"/>
    <w:rsid w:val="00611858"/>
    <w:rsid w:val="00611BE5"/>
    <w:rsid w:val="00611D3C"/>
    <w:rsid w:val="00611E07"/>
    <w:rsid w:val="006120B0"/>
    <w:rsid w:val="00612196"/>
    <w:rsid w:val="00612463"/>
    <w:rsid w:val="006127A0"/>
    <w:rsid w:val="006128F3"/>
    <w:rsid w:val="00612B9B"/>
    <w:rsid w:val="00613083"/>
    <w:rsid w:val="00613AB6"/>
    <w:rsid w:val="00613ED3"/>
    <w:rsid w:val="0061419D"/>
    <w:rsid w:val="00614557"/>
    <w:rsid w:val="00614584"/>
    <w:rsid w:val="00614705"/>
    <w:rsid w:val="00614724"/>
    <w:rsid w:val="006148CE"/>
    <w:rsid w:val="00614A8A"/>
    <w:rsid w:val="00614AB7"/>
    <w:rsid w:val="00614ED1"/>
    <w:rsid w:val="0061512C"/>
    <w:rsid w:val="0061543A"/>
    <w:rsid w:val="00615742"/>
    <w:rsid w:val="00615781"/>
    <w:rsid w:val="0061579A"/>
    <w:rsid w:val="00615F9F"/>
    <w:rsid w:val="006161A5"/>
    <w:rsid w:val="00616455"/>
    <w:rsid w:val="0061659A"/>
    <w:rsid w:val="006165F5"/>
    <w:rsid w:val="006167AE"/>
    <w:rsid w:val="00616911"/>
    <w:rsid w:val="00616948"/>
    <w:rsid w:val="00616A26"/>
    <w:rsid w:val="00616B1C"/>
    <w:rsid w:val="00616C1D"/>
    <w:rsid w:val="00616C38"/>
    <w:rsid w:val="00616C85"/>
    <w:rsid w:val="00616D62"/>
    <w:rsid w:val="00616E1C"/>
    <w:rsid w:val="00616F71"/>
    <w:rsid w:val="006175A5"/>
    <w:rsid w:val="00617662"/>
    <w:rsid w:val="006177B6"/>
    <w:rsid w:val="00617ADE"/>
    <w:rsid w:val="00617C5A"/>
    <w:rsid w:val="0062019D"/>
    <w:rsid w:val="006201A5"/>
    <w:rsid w:val="006201B9"/>
    <w:rsid w:val="00620371"/>
    <w:rsid w:val="00620555"/>
    <w:rsid w:val="00620588"/>
    <w:rsid w:val="0062060E"/>
    <w:rsid w:val="0062077C"/>
    <w:rsid w:val="00620865"/>
    <w:rsid w:val="00620A9A"/>
    <w:rsid w:val="00620B21"/>
    <w:rsid w:val="00621366"/>
    <w:rsid w:val="00621495"/>
    <w:rsid w:val="006215BA"/>
    <w:rsid w:val="00621A41"/>
    <w:rsid w:val="00621AF8"/>
    <w:rsid w:val="00621B0B"/>
    <w:rsid w:val="006221DA"/>
    <w:rsid w:val="006223CC"/>
    <w:rsid w:val="006225E7"/>
    <w:rsid w:val="0062261C"/>
    <w:rsid w:val="006226F8"/>
    <w:rsid w:val="006227DF"/>
    <w:rsid w:val="00622825"/>
    <w:rsid w:val="0062285A"/>
    <w:rsid w:val="0062288F"/>
    <w:rsid w:val="00622C6E"/>
    <w:rsid w:val="0062333D"/>
    <w:rsid w:val="00623374"/>
    <w:rsid w:val="00623751"/>
    <w:rsid w:val="00623AB3"/>
    <w:rsid w:val="00623DE1"/>
    <w:rsid w:val="00624339"/>
    <w:rsid w:val="006244D0"/>
    <w:rsid w:val="0062473D"/>
    <w:rsid w:val="006247B7"/>
    <w:rsid w:val="00624AB4"/>
    <w:rsid w:val="00624B21"/>
    <w:rsid w:val="00624F05"/>
    <w:rsid w:val="00625158"/>
    <w:rsid w:val="00625405"/>
    <w:rsid w:val="00625813"/>
    <w:rsid w:val="006258E5"/>
    <w:rsid w:val="006261E1"/>
    <w:rsid w:val="0062623A"/>
    <w:rsid w:val="0062643E"/>
    <w:rsid w:val="006264C1"/>
    <w:rsid w:val="006265DC"/>
    <w:rsid w:val="006267BD"/>
    <w:rsid w:val="00626AF5"/>
    <w:rsid w:val="00626BD4"/>
    <w:rsid w:val="00626BF2"/>
    <w:rsid w:val="00626C61"/>
    <w:rsid w:val="00626D90"/>
    <w:rsid w:val="00626FA3"/>
    <w:rsid w:val="00627109"/>
    <w:rsid w:val="006271DD"/>
    <w:rsid w:val="0062747F"/>
    <w:rsid w:val="0062775E"/>
    <w:rsid w:val="00627A16"/>
    <w:rsid w:val="00627C00"/>
    <w:rsid w:val="00627EF5"/>
    <w:rsid w:val="006300DC"/>
    <w:rsid w:val="006301C0"/>
    <w:rsid w:val="00630AF7"/>
    <w:rsid w:val="00630C4E"/>
    <w:rsid w:val="00630D22"/>
    <w:rsid w:val="00630DDA"/>
    <w:rsid w:val="0063120F"/>
    <w:rsid w:val="0063141A"/>
    <w:rsid w:val="006314C1"/>
    <w:rsid w:val="00631775"/>
    <w:rsid w:val="006317B8"/>
    <w:rsid w:val="0063185B"/>
    <w:rsid w:val="00631883"/>
    <w:rsid w:val="006319EB"/>
    <w:rsid w:val="00631B1C"/>
    <w:rsid w:val="00632024"/>
    <w:rsid w:val="0063202A"/>
    <w:rsid w:val="00632383"/>
    <w:rsid w:val="00632491"/>
    <w:rsid w:val="00632536"/>
    <w:rsid w:val="006328E4"/>
    <w:rsid w:val="00632D47"/>
    <w:rsid w:val="00632E27"/>
    <w:rsid w:val="00632F96"/>
    <w:rsid w:val="006335B9"/>
    <w:rsid w:val="006335BE"/>
    <w:rsid w:val="00633712"/>
    <w:rsid w:val="00633908"/>
    <w:rsid w:val="00633C5D"/>
    <w:rsid w:val="00633E5A"/>
    <w:rsid w:val="00633EE8"/>
    <w:rsid w:val="00633EED"/>
    <w:rsid w:val="0063440C"/>
    <w:rsid w:val="00634452"/>
    <w:rsid w:val="00634564"/>
    <w:rsid w:val="006348F5"/>
    <w:rsid w:val="00635004"/>
    <w:rsid w:val="00635619"/>
    <w:rsid w:val="006356ED"/>
    <w:rsid w:val="00635953"/>
    <w:rsid w:val="00635CB0"/>
    <w:rsid w:val="00635F5E"/>
    <w:rsid w:val="00636005"/>
    <w:rsid w:val="00636027"/>
    <w:rsid w:val="0063617E"/>
    <w:rsid w:val="0063626E"/>
    <w:rsid w:val="006365C8"/>
    <w:rsid w:val="00636623"/>
    <w:rsid w:val="00636688"/>
    <w:rsid w:val="006367BA"/>
    <w:rsid w:val="006367E1"/>
    <w:rsid w:val="0063680E"/>
    <w:rsid w:val="00636887"/>
    <w:rsid w:val="00636920"/>
    <w:rsid w:val="00636978"/>
    <w:rsid w:val="00636B73"/>
    <w:rsid w:val="00636BDC"/>
    <w:rsid w:val="00636C54"/>
    <w:rsid w:val="00636FD0"/>
    <w:rsid w:val="006374B2"/>
    <w:rsid w:val="00637671"/>
    <w:rsid w:val="00637695"/>
    <w:rsid w:val="0063770D"/>
    <w:rsid w:val="00637ABC"/>
    <w:rsid w:val="00637C68"/>
    <w:rsid w:val="0064004B"/>
    <w:rsid w:val="00640819"/>
    <w:rsid w:val="00640D4F"/>
    <w:rsid w:val="006412FB"/>
    <w:rsid w:val="0064133E"/>
    <w:rsid w:val="00641997"/>
    <w:rsid w:val="00641A1A"/>
    <w:rsid w:val="0064218B"/>
    <w:rsid w:val="0064222B"/>
    <w:rsid w:val="00642581"/>
    <w:rsid w:val="006427E3"/>
    <w:rsid w:val="00642854"/>
    <w:rsid w:val="00642C2D"/>
    <w:rsid w:val="00642F0B"/>
    <w:rsid w:val="006431B9"/>
    <w:rsid w:val="0064326B"/>
    <w:rsid w:val="0064368B"/>
    <w:rsid w:val="006438DE"/>
    <w:rsid w:val="00643AB3"/>
    <w:rsid w:val="00643EBB"/>
    <w:rsid w:val="00643EFF"/>
    <w:rsid w:val="006440BA"/>
    <w:rsid w:val="0064436B"/>
    <w:rsid w:val="0064444C"/>
    <w:rsid w:val="006444E4"/>
    <w:rsid w:val="006448D0"/>
    <w:rsid w:val="00644D55"/>
    <w:rsid w:val="00644ECC"/>
    <w:rsid w:val="00644FA1"/>
    <w:rsid w:val="0064503E"/>
    <w:rsid w:val="006450B0"/>
    <w:rsid w:val="006450FC"/>
    <w:rsid w:val="00645183"/>
    <w:rsid w:val="006455E5"/>
    <w:rsid w:val="006457D2"/>
    <w:rsid w:val="00646121"/>
    <w:rsid w:val="006462D3"/>
    <w:rsid w:val="006463EC"/>
    <w:rsid w:val="0064643F"/>
    <w:rsid w:val="00646451"/>
    <w:rsid w:val="00646696"/>
    <w:rsid w:val="006466D3"/>
    <w:rsid w:val="00646958"/>
    <w:rsid w:val="006469B0"/>
    <w:rsid w:val="00646C72"/>
    <w:rsid w:val="00647062"/>
    <w:rsid w:val="006472A7"/>
    <w:rsid w:val="00647444"/>
    <w:rsid w:val="00647549"/>
    <w:rsid w:val="00650063"/>
    <w:rsid w:val="00650313"/>
    <w:rsid w:val="00650405"/>
    <w:rsid w:val="00650912"/>
    <w:rsid w:val="006509D1"/>
    <w:rsid w:val="00650A04"/>
    <w:rsid w:val="00650B5E"/>
    <w:rsid w:val="00650BC1"/>
    <w:rsid w:val="00650BFF"/>
    <w:rsid w:val="00650F91"/>
    <w:rsid w:val="00651116"/>
    <w:rsid w:val="00651119"/>
    <w:rsid w:val="006512C4"/>
    <w:rsid w:val="0065133D"/>
    <w:rsid w:val="006516B8"/>
    <w:rsid w:val="00651795"/>
    <w:rsid w:val="00651A7C"/>
    <w:rsid w:val="00651FF3"/>
    <w:rsid w:val="00652235"/>
    <w:rsid w:val="00652599"/>
    <w:rsid w:val="00652600"/>
    <w:rsid w:val="006526D9"/>
    <w:rsid w:val="00652C97"/>
    <w:rsid w:val="00652CA7"/>
    <w:rsid w:val="00652FB9"/>
    <w:rsid w:val="0065320B"/>
    <w:rsid w:val="006539E8"/>
    <w:rsid w:val="00653F06"/>
    <w:rsid w:val="00653F14"/>
    <w:rsid w:val="00654299"/>
    <w:rsid w:val="00654316"/>
    <w:rsid w:val="00654523"/>
    <w:rsid w:val="00654534"/>
    <w:rsid w:val="0065478D"/>
    <w:rsid w:val="006548A2"/>
    <w:rsid w:val="006548EC"/>
    <w:rsid w:val="00654B38"/>
    <w:rsid w:val="00654E1B"/>
    <w:rsid w:val="00654E20"/>
    <w:rsid w:val="00655112"/>
    <w:rsid w:val="006554C2"/>
    <w:rsid w:val="00655613"/>
    <w:rsid w:val="00655CCE"/>
    <w:rsid w:val="00655F9A"/>
    <w:rsid w:val="00656296"/>
    <w:rsid w:val="006563F4"/>
    <w:rsid w:val="0065641F"/>
    <w:rsid w:val="00656943"/>
    <w:rsid w:val="006569D0"/>
    <w:rsid w:val="00656A47"/>
    <w:rsid w:val="00656DED"/>
    <w:rsid w:val="00656E38"/>
    <w:rsid w:val="00656E94"/>
    <w:rsid w:val="00656ECE"/>
    <w:rsid w:val="00657120"/>
    <w:rsid w:val="00657555"/>
    <w:rsid w:val="006576A7"/>
    <w:rsid w:val="006577E2"/>
    <w:rsid w:val="00657DCB"/>
    <w:rsid w:val="006602C3"/>
    <w:rsid w:val="00660342"/>
    <w:rsid w:val="0066040C"/>
    <w:rsid w:val="00660AB6"/>
    <w:rsid w:val="00660C80"/>
    <w:rsid w:val="0066104A"/>
    <w:rsid w:val="006612C4"/>
    <w:rsid w:val="0066154B"/>
    <w:rsid w:val="00661654"/>
    <w:rsid w:val="00662243"/>
    <w:rsid w:val="006622D2"/>
    <w:rsid w:val="0066290A"/>
    <w:rsid w:val="0066296C"/>
    <w:rsid w:val="00662C7F"/>
    <w:rsid w:val="00662DA3"/>
    <w:rsid w:val="00662FC1"/>
    <w:rsid w:val="006632F7"/>
    <w:rsid w:val="0066366C"/>
    <w:rsid w:val="006636B7"/>
    <w:rsid w:val="0066382F"/>
    <w:rsid w:val="0066383F"/>
    <w:rsid w:val="00663B02"/>
    <w:rsid w:val="00663BA0"/>
    <w:rsid w:val="00663C41"/>
    <w:rsid w:val="006640C4"/>
    <w:rsid w:val="006640F0"/>
    <w:rsid w:val="0066419F"/>
    <w:rsid w:val="006648E5"/>
    <w:rsid w:val="006654C8"/>
    <w:rsid w:val="00665545"/>
    <w:rsid w:val="006658EA"/>
    <w:rsid w:val="00665DEB"/>
    <w:rsid w:val="00665E3D"/>
    <w:rsid w:val="00665E91"/>
    <w:rsid w:val="00665FD9"/>
    <w:rsid w:val="0066635B"/>
    <w:rsid w:val="006665F4"/>
    <w:rsid w:val="00666A53"/>
    <w:rsid w:val="00666CB1"/>
    <w:rsid w:val="00666EF2"/>
    <w:rsid w:val="00666FB4"/>
    <w:rsid w:val="0066703F"/>
    <w:rsid w:val="006670B4"/>
    <w:rsid w:val="0066724F"/>
    <w:rsid w:val="0066732D"/>
    <w:rsid w:val="00667342"/>
    <w:rsid w:val="00667492"/>
    <w:rsid w:val="006676AB"/>
    <w:rsid w:val="006676ED"/>
    <w:rsid w:val="00667C1E"/>
    <w:rsid w:val="00667CDE"/>
    <w:rsid w:val="00667FB7"/>
    <w:rsid w:val="00670147"/>
    <w:rsid w:val="00670158"/>
    <w:rsid w:val="00670526"/>
    <w:rsid w:val="006706FC"/>
    <w:rsid w:val="006707CE"/>
    <w:rsid w:val="0067098E"/>
    <w:rsid w:val="00670CDD"/>
    <w:rsid w:val="00670EB0"/>
    <w:rsid w:val="00670FB7"/>
    <w:rsid w:val="00670FD1"/>
    <w:rsid w:val="00671024"/>
    <w:rsid w:val="006713F5"/>
    <w:rsid w:val="006717F5"/>
    <w:rsid w:val="00671A2E"/>
    <w:rsid w:val="00671B6F"/>
    <w:rsid w:val="006721CC"/>
    <w:rsid w:val="00672621"/>
    <w:rsid w:val="0067264D"/>
    <w:rsid w:val="00672AD4"/>
    <w:rsid w:val="00672B41"/>
    <w:rsid w:val="00672C88"/>
    <w:rsid w:val="00672E45"/>
    <w:rsid w:val="00672F05"/>
    <w:rsid w:val="00672FF0"/>
    <w:rsid w:val="006730C0"/>
    <w:rsid w:val="00673462"/>
    <w:rsid w:val="00673A74"/>
    <w:rsid w:val="00673C41"/>
    <w:rsid w:val="00673D7D"/>
    <w:rsid w:val="00673E32"/>
    <w:rsid w:val="00673F80"/>
    <w:rsid w:val="00674077"/>
    <w:rsid w:val="006741C4"/>
    <w:rsid w:val="006742A8"/>
    <w:rsid w:val="006744BB"/>
    <w:rsid w:val="006746CA"/>
    <w:rsid w:val="006747F2"/>
    <w:rsid w:val="0067524B"/>
    <w:rsid w:val="0067534F"/>
    <w:rsid w:val="00675469"/>
    <w:rsid w:val="006754CD"/>
    <w:rsid w:val="006755B0"/>
    <w:rsid w:val="00675AA6"/>
    <w:rsid w:val="00675BDB"/>
    <w:rsid w:val="00675C90"/>
    <w:rsid w:val="00675DED"/>
    <w:rsid w:val="006761C7"/>
    <w:rsid w:val="00676322"/>
    <w:rsid w:val="00676449"/>
    <w:rsid w:val="006764B2"/>
    <w:rsid w:val="00676664"/>
    <w:rsid w:val="006768AA"/>
    <w:rsid w:val="00676A27"/>
    <w:rsid w:val="00676CA8"/>
    <w:rsid w:val="00676DE3"/>
    <w:rsid w:val="00676E36"/>
    <w:rsid w:val="00677544"/>
    <w:rsid w:val="00677563"/>
    <w:rsid w:val="00677737"/>
    <w:rsid w:val="00677D64"/>
    <w:rsid w:val="00677DA0"/>
    <w:rsid w:val="00677F8B"/>
    <w:rsid w:val="00680392"/>
    <w:rsid w:val="0068057B"/>
    <w:rsid w:val="0068065D"/>
    <w:rsid w:val="0068089A"/>
    <w:rsid w:val="0068097C"/>
    <w:rsid w:val="00680C39"/>
    <w:rsid w:val="00680EDE"/>
    <w:rsid w:val="00681021"/>
    <w:rsid w:val="00681238"/>
    <w:rsid w:val="00681283"/>
    <w:rsid w:val="00681303"/>
    <w:rsid w:val="006814B4"/>
    <w:rsid w:val="0068196C"/>
    <w:rsid w:val="00681B06"/>
    <w:rsid w:val="00681C03"/>
    <w:rsid w:val="00681DA9"/>
    <w:rsid w:val="00681FCF"/>
    <w:rsid w:val="00682034"/>
    <w:rsid w:val="0068262A"/>
    <w:rsid w:val="0068279E"/>
    <w:rsid w:val="006827C3"/>
    <w:rsid w:val="00682837"/>
    <w:rsid w:val="0068287B"/>
    <w:rsid w:val="00682AF0"/>
    <w:rsid w:val="00682B2B"/>
    <w:rsid w:val="00682C35"/>
    <w:rsid w:val="00682D75"/>
    <w:rsid w:val="00682F0C"/>
    <w:rsid w:val="006831F3"/>
    <w:rsid w:val="0068333C"/>
    <w:rsid w:val="00683A07"/>
    <w:rsid w:val="00683AEE"/>
    <w:rsid w:val="00684015"/>
    <w:rsid w:val="00684281"/>
    <w:rsid w:val="00684549"/>
    <w:rsid w:val="00684556"/>
    <w:rsid w:val="006846AF"/>
    <w:rsid w:val="00684996"/>
    <w:rsid w:val="00684E49"/>
    <w:rsid w:val="00685006"/>
    <w:rsid w:val="00685088"/>
    <w:rsid w:val="0068543F"/>
    <w:rsid w:val="006855D2"/>
    <w:rsid w:val="00685783"/>
    <w:rsid w:val="006857F5"/>
    <w:rsid w:val="006857FB"/>
    <w:rsid w:val="00685B29"/>
    <w:rsid w:val="00685E9B"/>
    <w:rsid w:val="006860DD"/>
    <w:rsid w:val="0068610A"/>
    <w:rsid w:val="00686184"/>
    <w:rsid w:val="00686305"/>
    <w:rsid w:val="00686498"/>
    <w:rsid w:val="006864B4"/>
    <w:rsid w:val="00686585"/>
    <w:rsid w:val="006867F5"/>
    <w:rsid w:val="0068684A"/>
    <w:rsid w:val="006869AE"/>
    <w:rsid w:val="00686BB6"/>
    <w:rsid w:val="00686CAB"/>
    <w:rsid w:val="00686DE8"/>
    <w:rsid w:val="00686E27"/>
    <w:rsid w:val="006871EF"/>
    <w:rsid w:val="00687248"/>
    <w:rsid w:val="006875B8"/>
    <w:rsid w:val="00687685"/>
    <w:rsid w:val="00687712"/>
    <w:rsid w:val="00687AAF"/>
    <w:rsid w:val="00687C47"/>
    <w:rsid w:val="00687D8C"/>
    <w:rsid w:val="00687E29"/>
    <w:rsid w:val="00687F35"/>
    <w:rsid w:val="006901BA"/>
    <w:rsid w:val="00690674"/>
    <w:rsid w:val="00690855"/>
    <w:rsid w:val="00690CDC"/>
    <w:rsid w:val="00690DD4"/>
    <w:rsid w:val="00691370"/>
    <w:rsid w:val="006913E3"/>
    <w:rsid w:val="00691629"/>
    <w:rsid w:val="006918C0"/>
    <w:rsid w:val="006918CB"/>
    <w:rsid w:val="00691BE1"/>
    <w:rsid w:val="00691DC4"/>
    <w:rsid w:val="00691EBC"/>
    <w:rsid w:val="00692147"/>
    <w:rsid w:val="00692670"/>
    <w:rsid w:val="00692839"/>
    <w:rsid w:val="00692A0D"/>
    <w:rsid w:val="00692D35"/>
    <w:rsid w:val="00692DDE"/>
    <w:rsid w:val="00692F59"/>
    <w:rsid w:val="00693478"/>
    <w:rsid w:val="0069355F"/>
    <w:rsid w:val="00693765"/>
    <w:rsid w:val="00693AC1"/>
    <w:rsid w:val="00693FBE"/>
    <w:rsid w:val="00693FC7"/>
    <w:rsid w:val="00694386"/>
    <w:rsid w:val="00694435"/>
    <w:rsid w:val="006949DE"/>
    <w:rsid w:val="00694B68"/>
    <w:rsid w:val="00694CD6"/>
    <w:rsid w:val="00694DE5"/>
    <w:rsid w:val="00694E09"/>
    <w:rsid w:val="00694EBD"/>
    <w:rsid w:val="00694F31"/>
    <w:rsid w:val="00695048"/>
    <w:rsid w:val="0069505D"/>
    <w:rsid w:val="00695061"/>
    <w:rsid w:val="00695436"/>
    <w:rsid w:val="006956E4"/>
    <w:rsid w:val="006956FD"/>
    <w:rsid w:val="00695F21"/>
    <w:rsid w:val="006960C7"/>
    <w:rsid w:val="00696412"/>
    <w:rsid w:val="0069648B"/>
    <w:rsid w:val="006964EB"/>
    <w:rsid w:val="00696B8D"/>
    <w:rsid w:val="00696F7E"/>
    <w:rsid w:val="006974F2"/>
    <w:rsid w:val="006974F6"/>
    <w:rsid w:val="00697ED7"/>
    <w:rsid w:val="006A00BD"/>
    <w:rsid w:val="006A0134"/>
    <w:rsid w:val="006A06D3"/>
    <w:rsid w:val="006A0730"/>
    <w:rsid w:val="006A08D3"/>
    <w:rsid w:val="006A09AD"/>
    <w:rsid w:val="006A1205"/>
    <w:rsid w:val="006A14E9"/>
    <w:rsid w:val="006A16B2"/>
    <w:rsid w:val="006A1857"/>
    <w:rsid w:val="006A18D7"/>
    <w:rsid w:val="006A19D5"/>
    <w:rsid w:val="006A200A"/>
    <w:rsid w:val="006A2350"/>
    <w:rsid w:val="006A2544"/>
    <w:rsid w:val="006A272B"/>
    <w:rsid w:val="006A2AA0"/>
    <w:rsid w:val="006A2B97"/>
    <w:rsid w:val="006A2CD5"/>
    <w:rsid w:val="006A2D81"/>
    <w:rsid w:val="006A2E88"/>
    <w:rsid w:val="006A2F59"/>
    <w:rsid w:val="006A3077"/>
    <w:rsid w:val="006A3204"/>
    <w:rsid w:val="006A326C"/>
    <w:rsid w:val="006A32FD"/>
    <w:rsid w:val="006A3336"/>
    <w:rsid w:val="006A3638"/>
    <w:rsid w:val="006A373C"/>
    <w:rsid w:val="006A376D"/>
    <w:rsid w:val="006A3A64"/>
    <w:rsid w:val="006A3EA4"/>
    <w:rsid w:val="006A3F81"/>
    <w:rsid w:val="006A3F95"/>
    <w:rsid w:val="006A3FF6"/>
    <w:rsid w:val="006A428F"/>
    <w:rsid w:val="006A494C"/>
    <w:rsid w:val="006A4A90"/>
    <w:rsid w:val="006A4BA4"/>
    <w:rsid w:val="006A4C8A"/>
    <w:rsid w:val="006A4D25"/>
    <w:rsid w:val="006A4D45"/>
    <w:rsid w:val="006A4DDB"/>
    <w:rsid w:val="006A50FA"/>
    <w:rsid w:val="006A5461"/>
    <w:rsid w:val="006A5B92"/>
    <w:rsid w:val="006A5BA9"/>
    <w:rsid w:val="006A5BED"/>
    <w:rsid w:val="006A5DF9"/>
    <w:rsid w:val="006A5E32"/>
    <w:rsid w:val="006A5E4F"/>
    <w:rsid w:val="006A60B9"/>
    <w:rsid w:val="006A62E0"/>
    <w:rsid w:val="006A6611"/>
    <w:rsid w:val="006A6705"/>
    <w:rsid w:val="006A6792"/>
    <w:rsid w:val="006A6BF1"/>
    <w:rsid w:val="006A6D50"/>
    <w:rsid w:val="006A6EC7"/>
    <w:rsid w:val="006A75C9"/>
    <w:rsid w:val="006A75F8"/>
    <w:rsid w:val="006A763B"/>
    <w:rsid w:val="006A764E"/>
    <w:rsid w:val="006A7B42"/>
    <w:rsid w:val="006A7B45"/>
    <w:rsid w:val="006A7CA1"/>
    <w:rsid w:val="006A7EC9"/>
    <w:rsid w:val="006B0651"/>
    <w:rsid w:val="006B0787"/>
    <w:rsid w:val="006B0798"/>
    <w:rsid w:val="006B082E"/>
    <w:rsid w:val="006B0989"/>
    <w:rsid w:val="006B0A40"/>
    <w:rsid w:val="006B0A8B"/>
    <w:rsid w:val="006B0C95"/>
    <w:rsid w:val="006B0DBD"/>
    <w:rsid w:val="006B0F5F"/>
    <w:rsid w:val="006B1385"/>
    <w:rsid w:val="006B1449"/>
    <w:rsid w:val="006B14BC"/>
    <w:rsid w:val="006B15D8"/>
    <w:rsid w:val="006B1752"/>
    <w:rsid w:val="006B1760"/>
    <w:rsid w:val="006B1806"/>
    <w:rsid w:val="006B1A9D"/>
    <w:rsid w:val="006B1C43"/>
    <w:rsid w:val="006B2097"/>
    <w:rsid w:val="006B238C"/>
    <w:rsid w:val="006B23CB"/>
    <w:rsid w:val="006B24B0"/>
    <w:rsid w:val="006B2863"/>
    <w:rsid w:val="006B29C7"/>
    <w:rsid w:val="006B2C6C"/>
    <w:rsid w:val="006B2D84"/>
    <w:rsid w:val="006B2F2B"/>
    <w:rsid w:val="006B2FB5"/>
    <w:rsid w:val="006B3370"/>
    <w:rsid w:val="006B3386"/>
    <w:rsid w:val="006B33DD"/>
    <w:rsid w:val="006B3553"/>
    <w:rsid w:val="006B39CE"/>
    <w:rsid w:val="006B3A27"/>
    <w:rsid w:val="006B3ABF"/>
    <w:rsid w:val="006B3B40"/>
    <w:rsid w:val="006B3C6D"/>
    <w:rsid w:val="006B3D53"/>
    <w:rsid w:val="006B3E6F"/>
    <w:rsid w:val="006B3F7D"/>
    <w:rsid w:val="006B40DF"/>
    <w:rsid w:val="006B441F"/>
    <w:rsid w:val="006B4889"/>
    <w:rsid w:val="006B4AE7"/>
    <w:rsid w:val="006B4B75"/>
    <w:rsid w:val="006B4E72"/>
    <w:rsid w:val="006B5025"/>
    <w:rsid w:val="006B52B8"/>
    <w:rsid w:val="006B5353"/>
    <w:rsid w:val="006B54DE"/>
    <w:rsid w:val="006B591B"/>
    <w:rsid w:val="006B5D5F"/>
    <w:rsid w:val="006B5DF3"/>
    <w:rsid w:val="006B5FAE"/>
    <w:rsid w:val="006B63F3"/>
    <w:rsid w:val="006B661F"/>
    <w:rsid w:val="006B6675"/>
    <w:rsid w:val="006B6684"/>
    <w:rsid w:val="006B6F16"/>
    <w:rsid w:val="006B7016"/>
    <w:rsid w:val="006B7432"/>
    <w:rsid w:val="006B7481"/>
    <w:rsid w:val="006B7510"/>
    <w:rsid w:val="006B7512"/>
    <w:rsid w:val="006B795B"/>
    <w:rsid w:val="006B7A92"/>
    <w:rsid w:val="006B7BEC"/>
    <w:rsid w:val="006B7E0D"/>
    <w:rsid w:val="006C0196"/>
    <w:rsid w:val="006C085D"/>
    <w:rsid w:val="006C089D"/>
    <w:rsid w:val="006C0B6D"/>
    <w:rsid w:val="006C0D87"/>
    <w:rsid w:val="006C0DEB"/>
    <w:rsid w:val="006C0E13"/>
    <w:rsid w:val="006C0F0B"/>
    <w:rsid w:val="006C0F76"/>
    <w:rsid w:val="006C1226"/>
    <w:rsid w:val="006C12B6"/>
    <w:rsid w:val="006C1325"/>
    <w:rsid w:val="006C133A"/>
    <w:rsid w:val="006C15C8"/>
    <w:rsid w:val="006C188F"/>
    <w:rsid w:val="006C1963"/>
    <w:rsid w:val="006C1F19"/>
    <w:rsid w:val="006C21A6"/>
    <w:rsid w:val="006C2522"/>
    <w:rsid w:val="006C267C"/>
    <w:rsid w:val="006C27FB"/>
    <w:rsid w:val="006C2984"/>
    <w:rsid w:val="006C2F5C"/>
    <w:rsid w:val="006C32AA"/>
    <w:rsid w:val="006C3382"/>
    <w:rsid w:val="006C344A"/>
    <w:rsid w:val="006C36E7"/>
    <w:rsid w:val="006C37A8"/>
    <w:rsid w:val="006C3A8F"/>
    <w:rsid w:val="006C3E3D"/>
    <w:rsid w:val="006C42F3"/>
    <w:rsid w:val="006C43F5"/>
    <w:rsid w:val="006C4595"/>
    <w:rsid w:val="006C45B4"/>
    <w:rsid w:val="006C4AC2"/>
    <w:rsid w:val="006C4BAC"/>
    <w:rsid w:val="006C4BDB"/>
    <w:rsid w:val="006C4D6A"/>
    <w:rsid w:val="006C4DCE"/>
    <w:rsid w:val="006C4F6E"/>
    <w:rsid w:val="006C5078"/>
    <w:rsid w:val="006C566B"/>
    <w:rsid w:val="006C5688"/>
    <w:rsid w:val="006C576E"/>
    <w:rsid w:val="006C59AE"/>
    <w:rsid w:val="006C5DDF"/>
    <w:rsid w:val="006C5F79"/>
    <w:rsid w:val="006C60AE"/>
    <w:rsid w:val="006C626D"/>
    <w:rsid w:val="006C653C"/>
    <w:rsid w:val="006C690E"/>
    <w:rsid w:val="006C6A7B"/>
    <w:rsid w:val="006C6D22"/>
    <w:rsid w:val="006C70A1"/>
    <w:rsid w:val="006C7159"/>
    <w:rsid w:val="006C728D"/>
    <w:rsid w:val="006C72D5"/>
    <w:rsid w:val="006C7420"/>
    <w:rsid w:val="006C74ED"/>
    <w:rsid w:val="006C7682"/>
    <w:rsid w:val="006C7753"/>
    <w:rsid w:val="006C79BF"/>
    <w:rsid w:val="006C7AF5"/>
    <w:rsid w:val="006C7F2F"/>
    <w:rsid w:val="006D0076"/>
    <w:rsid w:val="006D027A"/>
    <w:rsid w:val="006D02A2"/>
    <w:rsid w:val="006D02A4"/>
    <w:rsid w:val="006D03C0"/>
    <w:rsid w:val="006D049E"/>
    <w:rsid w:val="006D053C"/>
    <w:rsid w:val="006D0562"/>
    <w:rsid w:val="006D06F5"/>
    <w:rsid w:val="006D0749"/>
    <w:rsid w:val="006D0CB7"/>
    <w:rsid w:val="006D0F7B"/>
    <w:rsid w:val="006D0F87"/>
    <w:rsid w:val="006D0FD4"/>
    <w:rsid w:val="006D1097"/>
    <w:rsid w:val="006D11B5"/>
    <w:rsid w:val="006D12FE"/>
    <w:rsid w:val="006D19EA"/>
    <w:rsid w:val="006D1B7F"/>
    <w:rsid w:val="006D1D7D"/>
    <w:rsid w:val="006D1E8B"/>
    <w:rsid w:val="006D22A1"/>
    <w:rsid w:val="006D26A8"/>
    <w:rsid w:val="006D26F4"/>
    <w:rsid w:val="006D276D"/>
    <w:rsid w:val="006D279C"/>
    <w:rsid w:val="006D27B1"/>
    <w:rsid w:val="006D2916"/>
    <w:rsid w:val="006D2B5C"/>
    <w:rsid w:val="006D2C06"/>
    <w:rsid w:val="006D2DAA"/>
    <w:rsid w:val="006D314D"/>
    <w:rsid w:val="006D31A4"/>
    <w:rsid w:val="006D32BC"/>
    <w:rsid w:val="006D337B"/>
    <w:rsid w:val="006D3467"/>
    <w:rsid w:val="006D3484"/>
    <w:rsid w:val="006D3500"/>
    <w:rsid w:val="006D37CB"/>
    <w:rsid w:val="006D3A47"/>
    <w:rsid w:val="006D3DB3"/>
    <w:rsid w:val="006D3E4C"/>
    <w:rsid w:val="006D3F0F"/>
    <w:rsid w:val="006D3FA4"/>
    <w:rsid w:val="006D40CC"/>
    <w:rsid w:val="006D4133"/>
    <w:rsid w:val="006D44D8"/>
    <w:rsid w:val="006D4543"/>
    <w:rsid w:val="006D47C7"/>
    <w:rsid w:val="006D47FF"/>
    <w:rsid w:val="006D4911"/>
    <w:rsid w:val="006D4ABA"/>
    <w:rsid w:val="006D4C09"/>
    <w:rsid w:val="006D53E6"/>
    <w:rsid w:val="006D555D"/>
    <w:rsid w:val="006D574E"/>
    <w:rsid w:val="006D5DA9"/>
    <w:rsid w:val="006D5F5A"/>
    <w:rsid w:val="006D607C"/>
    <w:rsid w:val="006D634B"/>
    <w:rsid w:val="006D634D"/>
    <w:rsid w:val="006D6707"/>
    <w:rsid w:val="006D677C"/>
    <w:rsid w:val="006D69C3"/>
    <w:rsid w:val="006D6A39"/>
    <w:rsid w:val="006D6CD5"/>
    <w:rsid w:val="006D6FAC"/>
    <w:rsid w:val="006D7FA3"/>
    <w:rsid w:val="006E02BA"/>
    <w:rsid w:val="006E0315"/>
    <w:rsid w:val="006E035C"/>
    <w:rsid w:val="006E0438"/>
    <w:rsid w:val="006E07B6"/>
    <w:rsid w:val="006E0AC9"/>
    <w:rsid w:val="006E0DDC"/>
    <w:rsid w:val="006E0E0D"/>
    <w:rsid w:val="006E15FE"/>
    <w:rsid w:val="006E165C"/>
    <w:rsid w:val="006E1889"/>
    <w:rsid w:val="006E1BE5"/>
    <w:rsid w:val="006E1DBD"/>
    <w:rsid w:val="006E21E2"/>
    <w:rsid w:val="006E230E"/>
    <w:rsid w:val="006E250B"/>
    <w:rsid w:val="006E2684"/>
    <w:rsid w:val="006E28BC"/>
    <w:rsid w:val="006E2B39"/>
    <w:rsid w:val="006E2D04"/>
    <w:rsid w:val="006E2DF9"/>
    <w:rsid w:val="006E2EC9"/>
    <w:rsid w:val="006E2F25"/>
    <w:rsid w:val="006E2FC7"/>
    <w:rsid w:val="006E3074"/>
    <w:rsid w:val="006E3122"/>
    <w:rsid w:val="006E3295"/>
    <w:rsid w:val="006E3471"/>
    <w:rsid w:val="006E3610"/>
    <w:rsid w:val="006E3939"/>
    <w:rsid w:val="006E3B7B"/>
    <w:rsid w:val="006E426D"/>
    <w:rsid w:val="006E44B8"/>
    <w:rsid w:val="006E4B96"/>
    <w:rsid w:val="006E4D94"/>
    <w:rsid w:val="006E4DDB"/>
    <w:rsid w:val="006E4EA6"/>
    <w:rsid w:val="006E4EDE"/>
    <w:rsid w:val="006E5009"/>
    <w:rsid w:val="006E507D"/>
    <w:rsid w:val="006E5243"/>
    <w:rsid w:val="006E527D"/>
    <w:rsid w:val="006E533E"/>
    <w:rsid w:val="006E537B"/>
    <w:rsid w:val="006E549D"/>
    <w:rsid w:val="006E5732"/>
    <w:rsid w:val="006E59DF"/>
    <w:rsid w:val="006E5B34"/>
    <w:rsid w:val="006E5C01"/>
    <w:rsid w:val="006E5D32"/>
    <w:rsid w:val="006E5F97"/>
    <w:rsid w:val="006E5FF0"/>
    <w:rsid w:val="006E6105"/>
    <w:rsid w:val="006E61F2"/>
    <w:rsid w:val="006E62E7"/>
    <w:rsid w:val="006E65DC"/>
    <w:rsid w:val="006E6607"/>
    <w:rsid w:val="006E6A07"/>
    <w:rsid w:val="006E6B80"/>
    <w:rsid w:val="006E6D78"/>
    <w:rsid w:val="006E6E54"/>
    <w:rsid w:val="006E73B0"/>
    <w:rsid w:val="006E745B"/>
    <w:rsid w:val="006E75CB"/>
    <w:rsid w:val="006E767F"/>
    <w:rsid w:val="006E777C"/>
    <w:rsid w:val="006E7961"/>
    <w:rsid w:val="006E79E6"/>
    <w:rsid w:val="006E7F65"/>
    <w:rsid w:val="006F006F"/>
    <w:rsid w:val="006F02B1"/>
    <w:rsid w:val="006F0581"/>
    <w:rsid w:val="006F0E95"/>
    <w:rsid w:val="006F11ED"/>
    <w:rsid w:val="006F1466"/>
    <w:rsid w:val="006F147A"/>
    <w:rsid w:val="006F1814"/>
    <w:rsid w:val="006F184C"/>
    <w:rsid w:val="006F189D"/>
    <w:rsid w:val="006F1B66"/>
    <w:rsid w:val="006F1CB9"/>
    <w:rsid w:val="006F1D6C"/>
    <w:rsid w:val="006F1E88"/>
    <w:rsid w:val="006F1FA9"/>
    <w:rsid w:val="006F1FB9"/>
    <w:rsid w:val="006F2240"/>
    <w:rsid w:val="006F27BB"/>
    <w:rsid w:val="006F288B"/>
    <w:rsid w:val="006F2A7B"/>
    <w:rsid w:val="006F2B49"/>
    <w:rsid w:val="006F2B82"/>
    <w:rsid w:val="006F2C59"/>
    <w:rsid w:val="006F2E77"/>
    <w:rsid w:val="006F3036"/>
    <w:rsid w:val="006F3305"/>
    <w:rsid w:val="006F340F"/>
    <w:rsid w:val="006F34DE"/>
    <w:rsid w:val="006F35BF"/>
    <w:rsid w:val="006F36B0"/>
    <w:rsid w:val="006F3740"/>
    <w:rsid w:val="006F3787"/>
    <w:rsid w:val="006F3B03"/>
    <w:rsid w:val="006F3D15"/>
    <w:rsid w:val="006F41EF"/>
    <w:rsid w:val="006F43F7"/>
    <w:rsid w:val="006F469A"/>
    <w:rsid w:val="006F48DD"/>
    <w:rsid w:val="006F4D07"/>
    <w:rsid w:val="006F5233"/>
    <w:rsid w:val="006F5362"/>
    <w:rsid w:val="006F53FC"/>
    <w:rsid w:val="006F5672"/>
    <w:rsid w:val="006F56C3"/>
    <w:rsid w:val="006F59F4"/>
    <w:rsid w:val="006F5E99"/>
    <w:rsid w:val="006F5EE5"/>
    <w:rsid w:val="006F6011"/>
    <w:rsid w:val="006F65FF"/>
    <w:rsid w:val="006F66A2"/>
    <w:rsid w:val="006F66C3"/>
    <w:rsid w:val="006F72E3"/>
    <w:rsid w:val="006F72E7"/>
    <w:rsid w:val="006F732C"/>
    <w:rsid w:val="006F7716"/>
    <w:rsid w:val="006F786E"/>
    <w:rsid w:val="006F79F7"/>
    <w:rsid w:val="006F7B1B"/>
    <w:rsid w:val="006F7DF6"/>
    <w:rsid w:val="006F7E33"/>
    <w:rsid w:val="007000E9"/>
    <w:rsid w:val="00700193"/>
    <w:rsid w:val="0070028E"/>
    <w:rsid w:val="0070041A"/>
    <w:rsid w:val="0070046D"/>
    <w:rsid w:val="007005B7"/>
    <w:rsid w:val="007005D2"/>
    <w:rsid w:val="007008BE"/>
    <w:rsid w:val="00700A6F"/>
    <w:rsid w:val="00700E47"/>
    <w:rsid w:val="007010A4"/>
    <w:rsid w:val="007011B8"/>
    <w:rsid w:val="0070143C"/>
    <w:rsid w:val="00701634"/>
    <w:rsid w:val="007016B7"/>
    <w:rsid w:val="0070172E"/>
    <w:rsid w:val="00701A5B"/>
    <w:rsid w:val="00701B5E"/>
    <w:rsid w:val="00701DB8"/>
    <w:rsid w:val="00701FC8"/>
    <w:rsid w:val="0070208C"/>
    <w:rsid w:val="00702134"/>
    <w:rsid w:val="00702383"/>
    <w:rsid w:val="00702462"/>
    <w:rsid w:val="00702606"/>
    <w:rsid w:val="00702607"/>
    <w:rsid w:val="00702952"/>
    <w:rsid w:val="00702A5F"/>
    <w:rsid w:val="00702A67"/>
    <w:rsid w:val="00702C34"/>
    <w:rsid w:val="00702CCB"/>
    <w:rsid w:val="00702D56"/>
    <w:rsid w:val="00702E6F"/>
    <w:rsid w:val="00703098"/>
    <w:rsid w:val="007030E0"/>
    <w:rsid w:val="007031C7"/>
    <w:rsid w:val="0070352E"/>
    <w:rsid w:val="007035C4"/>
    <w:rsid w:val="0070371B"/>
    <w:rsid w:val="00703916"/>
    <w:rsid w:val="00703C06"/>
    <w:rsid w:val="00703E5E"/>
    <w:rsid w:val="00703EE3"/>
    <w:rsid w:val="007040BA"/>
    <w:rsid w:val="0070416A"/>
    <w:rsid w:val="0070471A"/>
    <w:rsid w:val="007048BF"/>
    <w:rsid w:val="007049ED"/>
    <w:rsid w:val="00704A1C"/>
    <w:rsid w:val="00704A88"/>
    <w:rsid w:val="00704F16"/>
    <w:rsid w:val="00704F47"/>
    <w:rsid w:val="00704F68"/>
    <w:rsid w:val="00704FB5"/>
    <w:rsid w:val="0070503A"/>
    <w:rsid w:val="00705243"/>
    <w:rsid w:val="007052DA"/>
    <w:rsid w:val="00705406"/>
    <w:rsid w:val="0070557D"/>
    <w:rsid w:val="007056FB"/>
    <w:rsid w:val="0070587E"/>
    <w:rsid w:val="00705AA9"/>
    <w:rsid w:val="00705C30"/>
    <w:rsid w:val="00705DD3"/>
    <w:rsid w:val="00705F8E"/>
    <w:rsid w:val="007063DB"/>
    <w:rsid w:val="00706460"/>
    <w:rsid w:val="0070663B"/>
    <w:rsid w:val="0070694F"/>
    <w:rsid w:val="00706EE5"/>
    <w:rsid w:val="00706F11"/>
    <w:rsid w:val="00706F6E"/>
    <w:rsid w:val="00707009"/>
    <w:rsid w:val="00707023"/>
    <w:rsid w:val="0070702F"/>
    <w:rsid w:val="00707206"/>
    <w:rsid w:val="007073F4"/>
    <w:rsid w:val="007078DF"/>
    <w:rsid w:val="0070793F"/>
    <w:rsid w:val="00707B96"/>
    <w:rsid w:val="00707C54"/>
    <w:rsid w:val="00707ED1"/>
    <w:rsid w:val="00710612"/>
    <w:rsid w:val="0071084F"/>
    <w:rsid w:val="007108DA"/>
    <w:rsid w:val="00710BAB"/>
    <w:rsid w:val="00710D67"/>
    <w:rsid w:val="00711158"/>
    <w:rsid w:val="007116CE"/>
    <w:rsid w:val="007118BD"/>
    <w:rsid w:val="007119A2"/>
    <w:rsid w:val="007119B6"/>
    <w:rsid w:val="00711A41"/>
    <w:rsid w:val="00711DDD"/>
    <w:rsid w:val="00711ED4"/>
    <w:rsid w:val="0071209F"/>
    <w:rsid w:val="007120FC"/>
    <w:rsid w:val="00712389"/>
    <w:rsid w:val="00712578"/>
    <w:rsid w:val="00712620"/>
    <w:rsid w:val="00712937"/>
    <w:rsid w:val="00712BAD"/>
    <w:rsid w:val="00712FB1"/>
    <w:rsid w:val="007137AF"/>
    <w:rsid w:val="00713CD8"/>
    <w:rsid w:val="00713ED1"/>
    <w:rsid w:val="00713F33"/>
    <w:rsid w:val="00713FA4"/>
    <w:rsid w:val="0071415F"/>
    <w:rsid w:val="00714166"/>
    <w:rsid w:val="007141AD"/>
    <w:rsid w:val="0071452F"/>
    <w:rsid w:val="00714927"/>
    <w:rsid w:val="00714963"/>
    <w:rsid w:val="007149BC"/>
    <w:rsid w:val="00714F2E"/>
    <w:rsid w:val="00714FD9"/>
    <w:rsid w:val="00715116"/>
    <w:rsid w:val="007153B7"/>
    <w:rsid w:val="0071545E"/>
    <w:rsid w:val="007154C1"/>
    <w:rsid w:val="00715509"/>
    <w:rsid w:val="00715590"/>
    <w:rsid w:val="00715665"/>
    <w:rsid w:val="007158AC"/>
    <w:rsid w:val="00715903"/>
    <w:rsid w:val="00715CC3"/>
    <w:rsid w:val="00715CDE"/>
    <w:rsid w:val="00715E0C"/>
    <w:rsid w:val="00715EA2"/>
    <w:rsid w:val="00715EC3"/>
    <w:rsid w:val="00715F24"/>
    <w:rsid w:val="00716180"/>
    <w:rsid w:val="007166C8"/>
    <w:rsid w:val="00716867"/>
    <w:rsid w:val="0071700A"/>
    <w:rsid w:val="00717742"/>
    <w:rsid w:val="007177E1"/>
    <w:rsid w:val="007178B5"/>
    <w:rsid w:val="00717B4B"/>
    <w:rsid w:val="00717E80"/>
    <w:rsid w:val="00717FAD"/>
    <w:rsid w:val="00720092"/>
    <w:rsid w:val="007201C8"/>
    <w:rsid w:val="00720297"/>
    <w:rsid w:val="007207A7"/>
    <w:rsid w:val="00720A5C"/>
    <w:rsid w:val="00720BC7"/>
    <w:rsid w:val="00720E6A"/>
    <w:rsid w:val="0072109E"/>
    <w:rsid w:val="0072192F"/>
    <w:rsid w:val="00721C4D"/>
    <w:rsid w:val="00722C1B"/>
    <w:rsid w:val="00722E60"/>
    <w:rsid w:val="00723283"/>
    <w:rsid w:val="007233C4"/>
    <w:rsid w:val="00723804"/>
    <w:rsid w:val="00723E3E"/>
    <w:rsid w:val="007240B3"/>
    <w:rsid w:val="007240DD"/>
    <w:rsid w:val="0072419C"/>
    <w:rsid w:val="0072426C"/>
    <w:rsid w:val="00724308"/>
    <w:rsid w:val="007248AF"/>
    <w:rsid w:val="007248FB"/>
    <w:rsid w:val="00724B40"/>
    <w:rsid w:val="00724EE0"/>
    <w:rsid w:val="00725261"/>
    <w:rsid w:val="007255DC"/>
    <w:rsid w:val="007256DE"/>
    <w:rsid w:val="00725A99"/>
    <w:rsid w:val="00725D41"/>
    <w:rsid w:val="00725DA6"/>
    <w:rsid w:val="00726170"/>
    <w:rsid w:val="007261D0"/>
    <w:rsid w:val="007261E7"/>
    <w:rsid w:val="007263D0"/>
    <w:rsid w:val="007265E4"/>
    <w:rsid w:val="0072672B"/>
    <w:rsid w:val="00726A2F"/>
    <w:rsid w:val="00726B63"/>
    <w:rsid w:val="00726FD1"/>
    <w:rsid w:val="00727182"/>
    <w:rsid w:val="00727327"/>
    <w:rsid w:val="0072734E"/>
    <w:rsid w:val="00727908"/>
    <w:rsid w:val="00727B89"/>
    <w:rsid w:val="00727C6D"/>
    <w:rsid w:val="00727EA1"/>
    <w:rsid w:val="00727F54"/>
    <w:rsid w:val="0073024B"/>
    <w:rsid w:val="00730D98"/>
    <w:rsid w:val="00730EA0"/>
    <w:rsid w:val="00730FA9"/>
    <w:rsid w:val="00731063"/>
    <w:rsid w:val="00731412"/>
    <w:rsid w:val="007314E6"/>
    <w:rsid w:val="00731CB9"/>
    <w:rsid w:val="00731EA7"/>
    <w:rsid w:val="0073288F"/>
    <w:rsid w:val="00732AE0"/>
    <w:rsid w:val="00732E82"/>
    <w:rsid w:val="007331C6"/>
    <w:rsid w:val="0073347B"/>
    <w:rsid w:val="007334F6"/>
    <w:rsid w:val="0073361A"/>
    <w:rsid w:val="00733699"/>
    <w:rsid w:val="00734020"/>
    <w:rsid w:val="0073423F"/>
    <w:rsid w:val="007344D1"/>
    <w:rsid w:val="0073462B"/>
    <w:rsid w:val="00734655"/>
    <w:rsid w:val="007347A8"/>
    <w:rsid w:val="007347BE"/>
    <w:rsid w:val="00734AFC"/>
    <w:rsid w:val="00734C6D"/>
    <w:rsid w:val="00734CDA"/>
    <w:rsid w:val="0073505F"/>
    <w:rsid w:val="0073544B"/>
    <w:rsid w:val="00735577"/>
    <w:rsid w:val="007356A4"/>
    <w:rsid w:val="00735891"/>
    <w:rsid w:val="0073592C"/>
    <w:rsid w:val="00735A56"/>
    <w:rsid w:val="00735B4B"/>
    <w:rsid w:val="00735C3D"/>
    <w:rsid w:val="00735E9F"/>
    <w:rsid w:val="0073617E"/>
    <w:rsid w:val="007361F8"/>
    <w:rsid w:val="007362A2"/>
    <w:rsid w:val="00736389"/>
    <w:rsid w:val="00736489"/>
    <w:rsid w:val="0073655F"/>
    <w:rsid w:val="00736595"/>
    <w:rsid w:val="0073663A"/>
    <w:rsid w:val="00736659"/>
    <w:rsid w:val="00736690"/>
    <w:rsid w:val="007366FF"/>
    <w:rsid w:val="00736716"/>
    <w:rsid w:val="00736766"/>
    <w:rsid w:val="00736AD3"/>
    <w:rsid w:val="00736DED"/>
    <w:rsid w:val="00736E27"/>
    <w:rsid w:val="00736EAE"/>
    <w:rsid w:val="0073724B"/>
    <w:rsid w:val="00737471"/>
    <w:rsid w:val="00737705"/>
    <w:rsid w:val="007378E8"/>
    <w:rsid w:val="00737C28"/>
    <w:rsid w:val="00737CB2"/>
    <w:rsid w:val="00737D84"/>
    <w:rsid w:val="00737F4F"/>
    <w:rsid w:val="00737F74"/>
    <w:rsid w:val="00740266"/>
    <w:rsid w:val="0074029A"/>
    <w:rsid w:val="00740346"/>
    <w:rsid w:val="00740473"/>
    <w:rsid w:val="00740A48"/>
    <w:rsid w:val="00740B3B"/>
    <w:rsid w:val="00740EDB"/>
    <w:rsid w:val="00741270"/>
    <w:rsid w:val="007412A4"/>
    <w:rsid w:val="00741845"/>
    <w:rsid w:val="00741B24"/>
    <w:rsid w:val="00741C6A"/>
    <w:rsid w:val="00741CD5"/>
    <w:rsid w:val="00741D3F"/>
    <w:rsid w:val="00741EEF"/>
    <w:rsid w:val="007425E4"/>
    <w:rsid w:val="0074280C"/>
    <w:rsid w:val="00742939"/>
    <w:rsid w:val="00742A52"/>
    <w:rsid w:val="00742C8E"/>
    <w:rsid w:val="00742F2C"/>
    <w:rsid w:val="0074321C"/>
    <w:rsid w:val="00743612"/>
    <w:rsid w:val="0074369A"/>
    <w:rsid w:val="007437E9"/>
    <w:rsid w:val="00743F9C"/>
    <w:rsid w:val="007442FB"/>
    <w:rsid w:val="007443D8"/>
    <w:rsid w:val="007444F5"/>
    <w:rsid w:val="0074471A"/>
    <w:rsid w:val="0074480B"/>
    <w:rsid w:val="00744904"/>
    <w:rsid w:val="00744D1F"/>
    <w:rsid w:val="00744DFE"/>
    <w:rsid w:val="00744EAA"/>
    <w:rsid w:val="00744F2F"/>
    <w:rsid w:val="00745065"/>
    <w:rsid w:val="0074509E"/>
    <w:rsid w:val="00745393"/>
    <w:rsid w:val="007457D9"/>
    <w:rsid w:val="00745DBA"/>
    <w:rsid w:val="00745F65"/>
    <w:rsid w:val="00745F74"/>
    <w:rsid w:val="0074616D"/>
    <w:rsid w:val="00746524"/>
    <w:rsid w:val="0074659D"/>
    <w:rsid w:val="00746845"/>
    <w:rsid w:val="00746876"/>
    <w:rsid w:val="00746CB4"/>
    <w:rsid w:val="00746D4A"/>
    <w:rsid w:val="0074715E"/>
    <w:rsid w:val="007474BA"/>
    <w:rsid w:val="00747503"/>
    <w:rsid w:val="00747C46"/>
    <w:rsid w:val="00747CF2"/>
    <w:rsid w:val="00747FFE"/>
    <w:rsid w:val="0075001A"/>
    <w:rsid w:val="0075012F"/>
    <w:rsid w:val="0075025D"/>
    <w:rsid w:val="00750450"/>
    <w:rsid w:val="00750607"/>
    <w:rsid w:val="007507B5"/>
    <w:rsid w:val="007507C1"/>
    <w:rsid w:val="0075082F"/>
    <w:rsid w:val="0075099A"/>
    <w:rsid w:val="00750ACE"/>
    <w:rsid w:val="00750BE1"/>
    <w:rsid w:val="00750D97"/>
    <w:rsid w:val="00751240"/>
    <w:rsid w:val="00751388"/>
    <w:rsid w:val="007514EC"/>
    <w:rsid w:val="007516AC"/>
    <w:rsid w:val="0075171D"/>
    <w:rsid w:val="00751720"/>
    <w:rsid w:val="00751748"/>
    <w:rsid w:val="00751B3C"/>
    <w:rsid w:val="00751B40"/>
    <w:rsid w:val="00751C7F"/>
    <w:rsid w:val="00751FCF"/>
    <w:rsid w:val="0075202B"/>
    <w:rsid w:val="00752121"/>
    <w:rsid w:val="007523E1"/>
    <w:rsid w:val="00752A26"/>
    <w:rsid w:val="00752AB6"/>
    <w:rsid w:val="00752ED3"/>
    <w:rsid w:val="00752EF1"/>
    <w:rsid w:val="007532DD"/>
    <w:rsid w:val="0075342D"/>
    <w:rsid w:val="00753478"/>
    <w:rsid w:val="007534C1"/>
    <w:rsid w:val="00753B43"/>
    <w:rsid w:val="00753D54"/>
    <w:rsid w:val="007543A8"/>
    <w:rsid w:val="0075445D"/>
    <w:rsid w:val="007549FD"/>
    <w:rsid w:val="00754BB3"/>
    <w:rsid w:val="00755149"/>
    <w:rsid w:val="007551AE"/>
    <w:rsid w:val="007552AE"/>
    <w:rsid w:val="00755347"/>
    <w:rsid w:val="0075557D"/>
    <w:rsid w:val="007558E3"/>
    <w:rsid w:val="00755953"/>
    <w:rsid w:val="00755F8E"/>
    <w:rsid w:val="00756209"/>
    <w:rsid w:val="0075652F"/>
    <w:rsid w:val="00756560"/>
    <w:rsid w:val="007566BF"/>
    <w:rsid w:val="00756B4E"/>
    <w:rsid w:val="00756CBB"/>
    <w:rsid w:val="00756DD5"/>
    <w:rsid w:val="00756F52"/>
    <w:rsid w:val="00757095"/>
    <w:rsid w:val="0075714B"/>
    <w:rsid w:val="007571CD"/>
    <w:rsid w:val="007574EC"/>
    <w:rsid w:val="00757544"/>
    <w:rsid w:val="00757944"/>
    <w:rsid w:val="007579CE"/>
    <w:rsid w:val="00757B0D"/>
    <w:rsid w:val="00757BB1"/>
    <w:rsid w:val="00757E41"/>
    <w:rsid w:val="00760167"/>
    <w:rsid w:val="007602BD"/>
    <w:rsid w:val="00760318"/>
    <w:rsid w:val="00760856"/>
    <w:rsid w:val="007609B1"/>
    <w:rsid w:val="00760C00"/>
    <w:rsid w:val="00760CC7"/>
    <w:rsid w:val="00760E0C"/>
    <w:rsid w:val="007610BB"/>
    <w:rsid w:val="007610CA"/>
    <w:rsid w:val="007612EE"/>
    <w:rsid w:val="0076134A"/>
    <w:rsid w:val="00761398"/>
    <w:rsid w:val="0076176A"/>
    <w:rsid w:val="00761983"/>
    <w:rsid w:val="00761A93"/>
    <w:rsid w:val="00761BB2"/>
    <w:rsid w:val="00761D19"/>
    <w:rsid w:val="007621EB"/>
    <w:rsid w:val="007625FD"/>
    <w:rsid w:val="007629D0"/>
    <w:rsid w:val="00762BC9"/>
    <w:rsid w:val="00762E91"/>
    <w:rsid w:val="00762F6C"/>
    <w:rsid w:val="00763027"/>
    <w:rsid w:val="0076312B"/>
    <w:rsid w:val="00763156"/>
    <w:rsid w:val="007631CF"/>
    <w:rsid w:val="00763573"/>
    <w:rsid w:val="00763669"/>
    <w:rsid w:val="007636C4"/>
    <w:rsid w:val="0076397B"/>
    <w:rsid w:val="007639F7"/>
    <w:rsid w:val="00763B8F"/>
    <w:rsid w:val="00763D55"/>
    <w:rsid w:val="00763DB7"/>
    <w:rsid w:val="00763EF5"/>
    <w:rsid w:val="007640DC"/>
    <w:rsid w:val="00764557"/>
    <w:rsid w:val="007648B1"/>
    <w:rsid w:val="00764987"/>
    <w:rsid w:val="00764DE3"/>
    <w:rsid w:val="00765030"/>
    <w:rsid w:val="007653CB"/>
    <w:rsid w:val="007654B3"/>
    <w:rsid w:val="00765B44"/>
    <w:rsid w:val="00765D1D"/>
    <w:rsid w:val="00765E62"/>
    <w:rsid w:val="00765EF7"/>
    <w:rsid w:val="0076645D"/>
    <w:rsid w:val="007664BA"/>
    <w:rsid w:val="00766521"/>
    <w:rsid w:val="00766526"/>
    <w:rsid w:val="00766EE1"/>
    <w:rsid w:val="007670AE"/>
    <w:rsid w:val="00767515"/>
    <w:rsid w:val="007675BA"/>
    <w:rsid w:val="0076764F"/>
    <w:rsid w:val="007678FB"/>
    <w:rsid w:val="0076790F"/>
    <w:rsid w:val="0076797A"/>
    <w:rsid w:val="00767984"/>
    <w:rsid w:val="00767ADF"/>
    <w:rsid w:val="00767C17"/>
    <w:rsid w:val="007704FA"/>
    <w:rsid w:val="00770530"/>
    <w:rsid w:val="00770A1F"/>
    <w:rsid w:val="00770A2A"/>
    <w:rsid w:val="00771006"/>
    <w:rsid w:val="00771523"/>
    <w:rsid w:val="00771763"/>
    <w:rsid w:val="00771817"/>
    <w:rsid w:val="00772631"/>
    <w:rsid w:val="0077284E"/>
    <w:rsid w:val="00772890"/>
    <w:rsid w:val="00772903"/>
    <w:rsid w:val="00772C11"/>
    <w:rsid w:val="00772C5C"/>
    <w:rsid w:val="00772CBF"/>
    <w:rsid w:val="00772EF5"/>
    <w:rsid w:val="00773A4F"/>
    <w:rsid w:val="00774341"/>
    <w:rsid w:val="00774372"/>
    <w:rsid w:val="007744DF"/>
    <w:rsid w:val="00774ED3"/>
    <w:rsid w:val="00774F5B"/>
    <w:rsid w:val="00774F86"/>
    <w:rsid w:val="0077531C"/>
    <w:rsid w:val="0077531E"/>
    <w:rsid w:val="007753E0"/>
    <w:rsid w:val="00775561"/>
    <w:rsid w:val="00775788"/>
    <w:rsid w:val="007759DF"/>
    <w:rsid w:val="00775B7D"/>
    <w:rsid w:val="00775BAD"/>
    <w:rsid w:val="00775C14"/>
    <w:rsid w:val="00776021"/>
    <w:rsid w:val="00776380"/>
    <w:rsid w:val="007763F5"/>
    <w:rsid w:val="0077661E"/>
    <w:rsid w:val="00776666"/>
    <w:rsid w:val="00776767"/>
    <w:rsid w:val="0077682F"/>
    <w:rsid w:val="00776F20"/>
    <w:rsid w:val="0077710B"/>
    <w:rsid w:val="00777221"/>
    <w:rsid w:val="007777C1"/>
    <w:rsid w:val="00777940"/>
    <w:rsid w:val="007779FD"/>
    <w:rsid w:val="00777F61"/>
    <w:rsid w:val="007800B0"/>
    <w:rsid w:val="00780293"/>
    <w:rsid w:val="007802D9"/>
    <w:rsid w:val="00780481"/>
    <w:rsid w:val="0078061F"/>
    <w:rsid w:val="0078072B"/>
    <w:rsid w:val="00780798"/>
    <w:rsid w:val="00780806"/>
    <w:rsid w:val="0078090E"/>
    <w:rsid w:val="00780A45"/>
    <w:rsid w:val="00780B47"/>
    <w:rsid w:val="00780C32"/>
    <w:rsid w:val="00780F33"/>
    <w:rsid w:val="00780F8D"/>
    <w:rsid w:val="00781341"/>
    <w:rsid w:val="0078141F"/>
    <w:rsid w:val="00781547"/>
    <w:rsid w:val="00781A6A"/>
    <w:rsid w:val="00781C88"/>
    <w:rsid w:val="00781EB7"/>
    <w:rsid w:val="00781ECB"/>
    <w:rsid w:val="00782009"/>
    <w:rsid w:val="0078206E"/>
    <w:rsid w:val="0078207C"/>
    <w:rsid w:val="00782133"/>
    <w:rsid w:val="0078218C"/>
    <w:rsid w:val="00782229"/>
    <w:rsid w:val="00782585"/>
    <w:rsid w:val="007825B8"/>
    <w:rsid w:val="00782783"/>
    <w:rsid w:val="00782A87"/>
    <w:rsid w:val="00782A98"/>
    <w:rsid w:val="00782FD6"/>
    <w:rsid w:val="0078307F"/>
    <w:rsid w:val="0078310F"/>
    <w:rsid w:val="007835C9"/>
    <w:rsid w:val="007837C0"/>
    <w:rsid w:val="00783932"/>
    <w:rsid w:val="00783BA1"/>
    <w:rsid w:val="00783C55"/>
    <w:rsid w:val="00783CC2"/>
    <w:rsid w:val="00783E22"/>
    <w:rsid w:val="00784135"/>
    <w:rsid w:val="00784308"/>
    <w:rsid w:val="00784369"/>
    <w:rsid w:val="007843AA"/>
    <w:rsid w:val="007845A7"/>
    <w:rsid w:val="007846A3"/>
    <w:rsid w:val="007848EE"/>
    <w:rsid w:val="007849AA"/>
    <w:rsid w:val="00784BC6"/>
    <w:rsid w:val="00784ED3"/>
    <w:rsid w:val="00784F6F"/>
    <w:rsid w:val="007850C8"/>
    <w:rsid w:val="00785227"/>
    <w:rsid w:val="007853E3"/>
    <w:rsid w:val="00785548"/>
    <w:rsid w:val="00785729"/>
    <w:rsid w:val="00785987"/>
    <w:rsid w:val="00785D66"/>
    <w:rsid w:val="00786336"/>
    <w:rsid w:val="007863E9"/>
    <w:rsid w:val="007864D7"/>
    <w:rsid w:val="00786759"/>
    <w:rsid w:val="00787085"/>
    <w:rsid w:val="00787369"/>
    <w:rsid w:val="007873E2"/>
    <w:rsid w:val="0078748C"/>
    <w:rsid w:val="007875BF"/>
    <w:rsid w:val="007877BB"/>
    <w:rsid w:val="00787894"/>
    <w:rsid w:val="00787909"/>
    <w:rsid w:val="00787AD7"/>
    <w:rsid w:val="00787BB7"/>
    <w:rsid w:val="00787E8A"/>
    <w:rsid w:val="007901A1"/>
    <w:rsid w:val="00790343"/>
    <w:rsid w:val="007904C1"/>
    <w:rsid w:val="0079098F"/>
    <w:rsid w:val="00790CC2"/>
    <w:rsid w:val="00790EDC"/>
    <w:rsid w:val="00791329"/>
    <w:rsid w:val="007913B3"/>
    <w:rsid w:val="007913EF"/>
    <w:rsid w:val="007915C3"/>
    <w:rsid w:val="00791B67"/>
    <w:rsid w:val="00791C85"/>
    <w:rsid w:val="00791D1F"/>
    <w:rsid w:val="00791E06"/>
    <w:rsid w:val="0079211F"/>
    <w:rsid w:val="007924E6"/>
    <w:rsid w:val="0079285C"/>
    <w:rsid w:val="00792A32"/>
    <w:rsid w:val="00792E58"/>
    <w:rsid w:val="0079314D"/>
    <w:rsid w:val="007932F4"/>
    <w:rsid w:val="007933D4"/>
    <w:rsid w:val="00793480"/>
    <w:rsid w:val="00793787"/>
    <w:rsid w:val="007938F5"/>
    <w:rsid w:val="00793A09"/>
    <w:rsid w:val="00793E7B"/>
    <w:rsid w:val="00794090"/>
    <w:rsid w:val="00794572"/>
    <w:rsid w:val="0079468A"/>
    <w:rsid w:val="007947D2"/>
    <w:rsid w:val="00794801"/>
    <w:rsid w:val="007949D9"/>
    <w:rsid w:val="00794E6C"/>
    <w:rsid w:val="00795704"/>
    <w:rsid w:val="00795C15"/>
    <w:rsid w:val="00795D24"/>
    <w:rsid w:val="00795DA0"/>
    <w:rsid w:val="00795F40"/>
    <w:rsid w:val="00795F67"/>
    <w:rsid w:val="0079610C"/>
    <w:rsid w:val="0079676F"/>
    <w:rsid w:val="00796B90"/>
    <w:rsid w:val="00796F8E"/>
    <w:rsid w:val="007971CA"/>
    <w:rsid w:val="007972BC"/>
    <w:rsid w:val="00797565"/>
    <w:rsid w:val="00797612"/>
    <w:rsid w:val="007979E6"/>
    <w:rsid w:val="00797CB9"/>
    <w:rsid w:val="00797CDF"/>
    <w:rsid w:val="00797DDE"/>
    <w:rsid w:val="007A0247"/>
    <w:rsid w:val="007A0411"/>
    <w:rsid w:val="007A0426"/>
    <w:rsid w:val="007A0C96"/>
    <w:rsid w:val="007A0D09"/>
    <w:rsid w:val="007A127A"/>
    <w:rsid w:val="007A142F"/>
    <w:rsid w:val="007A1500"/>
    <w:rsid w:val="007A1794"/>
    <w:rsid w:val="007A1A04"/>
    <w:rsid w:val="007A208F"/>
    <w:rsid w:val="007A216D"/>
    <w:rsid w:val="007A24EA"/>
    <w:rsid w:val="007A25FA"/>
    <w:rsid w:val="007A287E"/>
    <w:rsid w:val="007A2983"/>
    <w:rsid w:val="007A2986"/>
    <w:rsid w:val="007A2B8D"/>
    <w:rsid w:val="007A2BD9"/>
    <w:rsid w:val="007A2BFE"/>
    <w:rsid w:val="007A3503"/>
    <w:rsid w:val="007A3751"/>
    <w:rsid w:val="007A3795"/>
    <w:rsid w:val="007A37FC"/>
    <w:rsid w:val="007A3832"/>
    <w:rsid w:val="007A3BEB"/>
    <w:rsid w:val="007A3CCA"/>
    <w:rsid w:val="007A4086"/>
    <w:rsid w:val="007A40E9"/>
    <w:rsid w:val="007A43B7"/>
    <w:rsid w:val="007A43DF"/>
    <w:rsid w:val="007A44FF"/>
    <w:rsid w:val="007A470C"/>
    <w:rsid w:val="007A475E"/>
    <w:rsid w:val="007A4C3B"/>
    <w:rsid w:val="007A4C3C"/>
    <w:rsid w:val="007A4D7D"/>
    <w:rsid w:val="007A4D9C"/>
    <w:rsid w:val="007A515B"/>
    <w:rsid w:val="007A5287"/>
    <w:rsid w:val="007A5448"/>
    <w:rsid w:val="007A55DF"/>
    <w:rsid w:val="007A5AAF"/>
    <w:rsid w:val="007A5BD2"/>
    <w:rsid w:val="007A5C7E"/>
    <w:rsid w:val="007A5D26"/>
    <w:rsid w:val="007A620E"/>
    <w:rsid w:val="007A6722"/>
    <w:rsid w:val="007A6785"/>
    <w:rsid w:val="007A67EE"/>
    <w:rsid w:val="007A6827"/>
    <w:rsid w:val="007A6A3E"/>
    <w:rsid w:val="007A6CE0"/>
    <w:rsid w:val="007A6CFB"/>
    <w:rsid w:val="007A6D0D"/>
    <w:rsid w:val="007A6D87"/>
    <w:rsid w:val="007A71E9"/>
    <w:rsid w:val="007A7419"/>
    <w:rsid w:val="007A7547"/>
    <w:rsid w:val="007A77EE"/>
    <w:rsid w:val="007A7CBD"/>
    <w:rsid w:val="007A7FCA"/>
    <w:rsid w:val="007B023A"/>
    <w:rsid w:val="007B057A"/>
    <w:rsid w:val="007B058C"/>
    <w:rsid w:val="007B05FE"/>
    <w:rsid w:val="007B061A"/>
    <w:rsid w:val="007B069C"/>
    <w:rsid w:val="007B06BF"/>
    <w:rsid w:val="007B0714"/>
    <w:rsid w:val="007B0748"/>
    <w:rsid w:val="007B07D0"/>
    <w:rsid w:val="007B09D0"/>
    <w:rsid w:val="007B0BEA"/>
    <w:rsid w:val="007B0C0F"/>
    <w:rsid w:val="007B1165"/>
    <w:rsid w:val="007B1684"/>
    <w:rsid w:val="007B16F3"/>
    <w:rsid w:val="007B1A3D"/>
    <w:rsid w:val="007B1CCC"/>
    <w:rsid w:val="007B1E30"/>
    <w:rsid w:val="007B1E3D"/>
    <w:rsid w:val="007B22FA"/>
    <w:rsid w:val="007B2741"/>
    <w:rsid w:val="007B2769"/>
    <w:rsid w:val="007B27DE"/>
    <w:rsid w:val="007B2840"/>
    <w:rsid w:val="007B2B27"/>
    <w:rsid w:val="007B2CF2"/>
    <w:rsid w:val="007B3677"/>
    <w:rsid w:val="007B3B4A"/>
    <w:rsid w:val="007B3D76"/>
    <w:rsid w:val="007B3E62"/>
    <w:rsid w:val="007B3FC9"/>
    <w:rsid w:val="007B43EF"/>
    <w:rsid w:val="007B46E8"/>
    <w:rsid w:val="007B479F"/>
    <w:rsid w:val="007B4A1B"/>
    <w:rsid w:val="007B4B27"/>
    <w:rsid w:val="007B4F76"/>
    <w:rsid w:val="007B516A"/>
    <w:rsid w:val="007B51E9"/>
    <w:rsid w:val="007B5344"/>
    <w:rsid w:val="007B5929"/>
    <w:rsid w:val="007B59EA"/>
    <w:rsid w:val="007B5EDD"/>
    <w:rsid w:val="007B5EF4"/>
    <w:rsid w:val="007B5F0C"/>
    <w:rsid w:val="007B5F70"/>
    <w:rsid w:val="007B6074"/>
    <w:rsid w:val="007B61A0"/>
    <w:rsid w:val="007B6248"/>
    <w:rsid w:val="007B6581"/>
    <w:rsid w:val="007B6910"/>
    <w:rsid w:val="007B697A"/>
    <w:rsid w:val="007B6C1B"/>
    <w:rsid w:val="007B6F88"/>
    <w:rsid w:val="007B7046"/>
    <w:rsid w:val="007B704D"/>
    <w:rsid w:val="007B7272"/>
    <w:rsid w:val="007B728E"/>
    <w:rsid w:val="007B72EF"/>
    <w:rsid w:val="007B76DE"/>
    <w:rsid w:val="007C005A"/>
    <w:rsid w:val="007C0454"/>
    <w:rsid w:val="007C084F"/>
    <w:rsid w:val="007C0881"/>
    <w:rsid w:val="007C08DC"/>
    <w:rsid w:val="007C0AD2"/>
    <w:rsid w:val="007C0CEC"/>
    <w:rsid w:val="007C1216"/>
    <w:rsid w:val="007C13B9"/>
    <w:rsid w:val="007C1888"/>
    <w:rsid w:val="007C1E81"/>
    <w:rsid w:val="007C1FF4"/>
    <w:rsid w:val="007C29C7"/>
    <w:rsid w:val="007C29D6"/>
    <w:rsid w:val="007C2CEB"/>
    <w:rsid w:val="007C2D1F"/>
    <w:rsid w:val="007C2F24"/>
    <w:rsid w:val="007C2F52"/>
    <w:rsid w:val="007C330F"/>
    <w:rsid w:val="007C33A1"/>
    <w:rsid w:val="007C33CD"/>
    <w:rsid w:val="007C3525"/>
    <w:rsid w:val="007C3542"/>
    <w:rsid w:val="007C3554"/>
    <w:rsid w:val="007C355C"/>
    <w:rsid w:val="007C37FF"/>
    <w:rsid w:val="007C3A38"/>
    <w:rsid w:val="007C3D18"/>
    <w:rsid w:val="007C3F55"/>
    <w:rsid w:val="007C447D"/>
    <w:rsid w:val="007C44ED"/>
    <w:rsid w:val="007C507A"/>
    <w:rsid w:val="007C5122"/>
    <w:rsid w:val="007C531E"/>
    <w:rsid w:val="007C5383"/>
    <w:rsid w:val="007C550C"/>
    <w:rsid w:val="007C5726"/>
    <w:rsid w:val="007C5942"/>
    <w:rsid w:val="007C5F6F"/>
    <w:rsid w:val="007C5FD1"/>
    <w:rsid w:val="007C6246"/>
    <w:rsid w:val="007C628F"/>
    <w:rsid w:val="007C654C"/>
    <w:rsid w:val="007C6729"/>
    <w:rsid w:val="007C7113"/>
    <w:rsid w:val="007C7185"/>
    <w:rsid w:val="007C78DB"/>
    <w:rsid w:val="007C7972"/>
    <w:rsid w:val="007D04EF"/>
    <w:rsid w:val="007D06ED"/>
    <w:rsid w:val="007D0703"/>
    <w:rsid w:val="007D1110"/>
    <w:rsid w:val="007D145D"/>
    <w:rsid w:val="007D1688"/>
    <w:rsid w:val="007D1A58"/>
    <w:rsid w:val="007D2B8A"/>
    <w:rsid w:val="007D2B9A"/>
    <w:rsid w:val="007D2C5B"/>
    <w:rsid w:val="007D2D42"/>
    <w:rsid w:val="007D2F94"/>
    <w:rsid w:val="007D31C7"/>
    <w:rsid w:val="007D3880"/>
    <w:rsid w:val="007D3F62"/>
    <w:rsid w:val="007D4046"/>
    <w:rsid w:val="007D429A"/>
    <w:rsid w:val="007D449C"/>
    <w:rsid w:val="007D44C5"/>
    <w:rsid w:val="007D4914"/>
    <w:rsid w:val="007D4E0C"/>
    <w:rsid w:val="007D4F5A"/>
    <w:rsid w:val="007D4FBC"/>
    <w:rsid w:val="007D5015"/>
    <w:rsid w:val="007D58CE"/>
    <w:rsid w:val="007D5942"/>
    <w:rsid w:val="007D5A6E"/>
    <w:rsid w:val="007D5B1A"/>
    <w:rsid w:val="007D5C1F"/>
    <w:rsid w:val="007D5E17"/>
    <w:rsid w:val="007D621D"/>
    <w:rsid w:val="007D62C7"/>
    <w:rsid w:val="007D64AC"/>
    <w:rsid w:val="007D68FD"/>
    <w:rsid w:val="007D6920"/>
    <w:rsid w:val="007D70C0"/>
    <w:rsid w:val="007D70D8"/>
    <w:rsid w:val="007D76C0"/>
    <w:rsid w:val="007D76E9"/>
    <w:rsid w:val="007D7AF0"/>
    <w:rsid w:val="007D7C06"/>
    <w:rsid w:val="007D7DF2"/>
    <w:rsid w:val="007E014F"/>
    <w:rsid w:val="007E0589"/>
    <w:rsid w:val="007E09FC"/>
    <w:rsid w:val="007E0A06"/>
    <w:rsid w:val="007E0A60"/>
    <w:rsid w:val="007E0C24"/>
    <w:rsid w:val="007E0D23"/>
    <w:rsid w:val="007E0D96"/>
    <w:rsid w:val="007E1376"/>
    <w:rsid w:val="007E1789"/>
    <w:rsid w:val="007E17A3"/>
    <w:rsid w:val="007E17E5"/>
    <w:rsid w:val="007E1827"/>
    <w:rsid w:val="007E1B54"/>
    <w:rsid w:val="007E1BC2"/>
    <w:rsid w:val="007E1CD4"/>
    <w:rsid w:val="007E1D85"/>
    <w:rsid w:val="007E1DFB"/>
    <w:rsid w:val="007E1FE7"/>
    <w:rsid w:val="007E2370"/>
    <w:rsid w:val="007E2660"/>
    <w:rsid w:val="007E2AC7"/>
    <w:rsid w:val="007E30AE"/>
    <w:rsid w:val="007E3129"/>
    <w:rsid w:val="007E3276"/>
    <w:rsid w:val="007E3581"/>
    <w:rsid w:val="007E36EA"/>
    <w:rsid w:val="007E3757"/>
    <w:rsid w:val="007E391A"/>
    <w:rsid w:val="007E3E35"/>
    <w:rsid w:val="007E3FBC"/>
    <w:rsid w:val="007E4072"/>
    <w:rsid w:val="007E40CE"/>
    <w:rsid w:val="007E44A4"/>
    <w:rsid w:val="007E44CE"/>
    <w:rsid w:val="007E457A"/>
    <w:rsid w:val="007E46E6"/>
    <w:rsid w:val="007E4907"/>
    <w:rsid w:val="007E4BAA"/>
    <w:rsid w:val="007E4DA9"/>
    <w:rsid w:val="007E4DE7"/>
    <w:rsid w:val="007E5684"/>
    <w:rsid w:val="007E5B8B"/>
    <w:rsid w:val="007E602A"/>
    <w:rsid w:val="007E6302"/>
    <w:rsid w:val="007E636F"/>
    <w:rsid w:val="007E6430"/>
    <w:rsid w:val="007E667A"/>
    <w:rsid w:val="007E6A42"/>
    <w:rsid w:val="007E6B27"/>
    <w:rsid w:val="007E6C90"/>
    <w:rsid w:val="007E6CB5"/>
    <w:rsid w:val="007E6DFC"/>
    <w:rsid w:val="007E7582"/>
    <w:rsid w:val="007E7663"/>
    <w:rsid w:val="007E774F"/>
    <w:rsid w:val="007E7794"/>
    <w:rsid w:val="007E7963"/>
    <w:rsid w:val="007E79BC"/>
    <w:rsid w:val="007E7B5F"/>
    <w:rsid w:val="007F00B5"/>
    <w:rsid w:val="007F02E1"/>
    <w:rsid w:val="007F0531"/>
    <w:rsid w:val="007F068C"/>
    <w:rsid w:val="007F0A40"/>
    <w:rsid w:val="007F11D6"/>
    <w:rsid w:val="007F1396"/>
    <w:rsid w:val="007F14DC"/>
    <w:rsid w:val="007F15AD"/>
    <w:rsid w:val="007F178B"/>
    <w:rsid w:val="007F181D"/>
    <w:rsid w:val="007F181E"/>
    <w:rsid w:val="007F18A8"/>
    <w:rsid w:val="007F1B07"/>
    <w:rsid w:val="007F1BCE"/>
    <w:rsid w:val="007F1C26"/>
    <w:rsid w:val="007F1E56"/>
    <w:rsid w:val="007F245E"/>
    <w:rsid w:val="007F27B6"/>
    <w:rsid w:val="007F2842"/>
    <w:rsid w:val="007F28F3"/>
    <w:rsid w:val="007F2C5D"/>
    <w:rsid w:val="007F2D26"/>
    <w:rsid w:val="007F3045"/>
    <w:rsid w:val="007F30C7"/>
    <w:rsid w:val="007F31FD"/>
    <w:rsid w:val="007F3663"/>
    <w:rsid w:val="007F3694"/>
    <w:rsid w:val="007F37FD"/>
    <w:rsid w:val="007F38C5"/>
    <w:rsid w:val="007F3A1C"/>
    <w:rsid w:val="007F3CE8"/>
    <w:rsid w:val="007F3D37"/>
    <w:rsid w:val="007F3E9C"/>
    <w:rsid w:val="007F3EB0"/>
    <w:rsid w:val="007F3F67"/>
    <w:rsid w:val="007F412D"/>
    <w:rsid w:val="007F43AA"/>
    <w:rsid w:val="007F445F"/>
    <w:rsid w:val="007F44DD"/>
    <w:rsid w:val="007F4903"/>
    <w:rsid w:val="007F4C16"/>
    <w:rsid w:val="007F4E81"/>
    <w:rsid w:val="007F58F8"/>
    <w:rsid w:val="007F5D6D"/>
    <w:rsid w:val="007F5DF5"/>
    <w:rsid w:val="007F5F42"/>
    <w:rsid w:val="007F61EA"/>
    <w:rsid w:val="007F6298"/>
    <w:rsid w:val="007F63A6"/>
    <w:rsid w:val="007F684C"/>
    <w:rsid w:val="007F6888"/>
    <w:rsid w:val="007F6A38"/>
    <w:rsid w:val="007F6EFB"/>
    <w:rsid w:val="007F7084"/>
    <w:rsid w:val="007F759E"/>
    <w:rsid w:val="007F75DF"/>
    <w:rsid w:val="007F769B"/>
    <w:rsid w:val="007F7B2F"/>
    <w:rsid w:val="007F7CE5"/>
    <w:rsid w:val="007F7E00"/>
    <w:rsid w:val="007F7E33"/>
    <w:rsid w:val="0080082B"/>
    <w:rsid w:val="00800A38"/>
    <w:rsid w:val="00800FC4"/>
    <w:rsid w:val="00801122"/>
    <w:rsid w:val="00801186"/>
    <w:rsid w:val="008011A7"/>
    <w:rsid w:val="0080139F"/>
    <w:rsid w:val="008015AC"/>
    <w:rsid w:val="00801A6E"/>
    <w:rsid w:val="00801F79"/>
    <w:rsid w:val="008021FB"/>
    <w:rsid w:val="008026EA"/>
    <w:rsid w:val="00802E2C"/>
    <w:rsid w:val="0080309A"/>
    <w:rsid w:val="00803115"/>
    <w:rsid w:val="008032DC"/>
    <w:rsid w:val="008032E7"/>
    <w:rsid w:val="0080356A"/>
    <w:rsid w:val="008035DA"/>
    <w:rsid w:val="008036D6"/>
    <w:rsid w:val="00803D37"/>
    <w:rsid w:val="00803D38"/>
    <w:rsid w:val="00803DC1"/>
    <w:rsid w:val="008041F5"/>
    <w:rsid w:val="0080422F"/>
    <w:rsid w:val="008048DE"/>
    <w:rsid w:val="00804934"/>
    <w:rsid w:val="00804F57"/>
    <w:rsid w:val="008052E6"/>
    <w:rsid w:val="00805A70"/>
    <w:rsid w:val="00805FC1"/>
    <w:rsid w:val="00805FDC"/>
    <w:rsid w:val="00806039"/>
    <w:rsid w:val="008060D5"/>
    <w:rsid w:val="008060DE"/>
    <w:rsid w:val="00806163"/>
    <w:rsid w:val="008061DE"/>
    <w:rsid w:val="00806442"/>
    <w:rsid w:val="0080660D"/>
    <w:rsid w:val="008068CD"/>
    <w:rsid w:val="008068EF"/>
    <w:rsid w:val="00806BC7"/>
    <w:rsid w:val="00806C3C"/>
    <w:rsid w:val="00806ECC"/>
    <w:rsid w:val="0080737C"/>
    <w:rsid w:val="0080752B"/>
    <w:rsid w:val="00807629"/>
    <w:rsid w:val="008079BA"/>
    <w:rsid w:val="00807BBB"/>
    <w:rsid w:val="00807DA2"/>
    <w:rsid w:val="00810045"/>
    <w:rsid w:val="008100BF"/>
    <w:rsid w:val="0081021C"/>
    <w:rsid w:val="0081076D"/>
    <w:rsid w:val="008107BA"/>
    <w:rsid w:val="0081093D"/>
    <w:rsid w:val="00810995"/>
    <w:rsid w:val="00810FC3"/>
    <w:rsid w:val="0081119F"/>
    <w:rsid w:val="008112F7"/>
    <w:rsid w:val="0081141D"/>
    <w:rsid w:val="00811521"/>
    <w:rsid w:val="008117AB"/>
    <w:rsid w:val="008118F3"/>
    <w:rsid w:val="00811C45"/>
    <w:rsid w:val="00811D05"/>
    <w:rsid w:val="00811DB5"/>
    <w:rsid w:val="00811F73"/>
    <w:rsid w:val="0081218D"/>
    <w:rsid w:val="008121FA"/>
    <w:rsid w:val="008123B9"/>
    <w:rsid w:val="008125D4"/>
    <w:rsid w:val="008125FB"/>
    <w:rsid w:val="008129F2"/>
    <w:rsid w:val="00812A58"/>
    <w:rsid w:val="00812E44"/>
    <w:rsid w:val="008130AD"/>
    <w:rsid w:val="00813154"/>
    <w:rsid w:val="008133A3"/>
    <w:rsid w:val="00813436"/>
    <w:rsid w:val="00814273"/>
    <w:rsid w:val="008143AB"/>
    <w:rsid w:val="008143FB"/>
    <w:rsid w:val="0081448A"/>
    <w:rsid w:val="008145FC"/>
    <w:rsid w:val="00814645"/>
    <w:rsid w:val="00814656"/>
    <w:rsid w:val="00814AF6"/>
    <w:rsid w:val="00814C23"/>
    <w:rsid w:val="00814D10"/>
    <w:rsid w:val="00815A55"/>
    <w:rsid w:val="00815A9F"/>
    <w:rsid w:val="00815E15"/>
    <w:rsid w:val="008165EC"/>
    <w:rsid w:val="00816837"/>
    <w:rsid w:val="00816A29"/>
    <w:rsid w:val="00816D6F"/>
    <w:rsid w:val="00816E7F"/>
    <w:rsid w:val="00816FF8"/>
    <w:rsid w:val="00817355"/>
    <w:rsid w:val="00817836"/>
    <w:rsid w:val="00817911"/>
    <w:rsid w:val="00817AB2"/>
    <w:rsid w:val="00817BEB"/>
    <w:rsid w:val="00817CFD"/>
    <w:rsid w:val="00817E5C"/>
    <w:rsid w:val="008200D3"/>
    <w:rsid w:val="00820198"/>
    <w:rsid w:val="0082030F"/>
    <w:rsid w:val="00820AED"/>
    <w:rsid w:val="00820B0B"/>
    <w:rsid w:val="00820B51"/>
    <w:rsid w:val="00820BF2"/>
    <w:rsid w:val="00820CCA"/>
    <w:rsid w:val="00820E2C"/>
    <w:rsid w:val="00820E48"/>
    <w:rsid w:val="008213AA"/>
    <w:rsid w:val="00821551"/>
    <w:rsid w:val="0082157C"/>
    <w:rsid w:val="008215D1"/>
    <w:rsid w:val="00821645"/>
    <w:rsid w:val="008216F9"/>
    <w:rsid w:val="008217E6"/>
    <w:rsid w:val="00821888"/>
    <w:rsid w:val="00821B16"/>
    <w:rsid w:val="0082215C"/>
    <w:rsid w:val="00822345"/>
    <w:rsid w:val="00822354"/>
    <w:rsid w:val="00822397"/>
    <w:rsid w:val="008225C6"/>
    <w:rsid w:val="00822710"/>
    <w:rsid w:val="008229A4"/>
    <w:rsid w:val="00822E0F"/>
    <w:rsid w:val="00822E19"/>
    <w:rsid w:val="00822FF4"/>
    <w:rsid w:val="00823190"/>
    <w:rsid w:val="008231CF"/>
    <w:rsid w:val="008234FF"/>
    <w:rsid w:val="00823657"/>
    <w:rsid w:val="00823A1C"/>
    <w:rsid w:val="00823A56"/>
    <w:rsid w:val="00823D1F"/>
    <w:rsid w:val="00823E81"/>
    <w:rsid w:val="00823E8B"/>
    <w:rsid w:val="00823FA9"/>
    <w:rsid w:val="0082443C"/>
    <w:rsid w:val="0082448B"/>
    <w:rsid w:val="0082459E"/>
    <w:rsid w:val="008245B7"/>
    <w:rsid w:val="008247E5"/>
    <w:rsid w:val="0082481B"/>
    <w:rsid w:val="008249D0"/>
    <w:rsid w:val="00824C6F"/>
    <w:rsid w:val="00824C7A"/>
    <w:rsid w:val="00824EF7"/>
    <w:rsid w:val="00825010"/>
    <w:rsid w:val="00825730"/>
    <w:rsid w:val="008258E1"/>
    <w:rsid w:val="00825BBA"/>
    <w:rsid w:val="00825DA2"/>
    <w:rsid w:val="008261B9"/>
    <w:rsid w:val="008262EF"/>
    <w:rsid w:val="008263EB"/>
    <w:rsid w:val="0082688F"/>
    <w:rsid w:val="008269AD"/>
    <w:rsid w:val="00826A51"/>
    <w:rsid w:val="00826BA7"/>
    <w:rsid w:val="00826DDB"/>
    <w:rsid w:val="00826E6E"/>
    <w:rsid w:val="00827003"/>
    <w:rsid w:val="00827230"/>
    <w:rsid w:val="0082767D"/>
    <w:rsid w:val="00827BA2"/>
    <w:rsid w:val="00827D4C"/>
    <w:rsid w:val="00827D8A"/>
    <w:rsid w:val="00827E76"/>
    <w:rsid w:val="008301AA"/>
    <w:rsid w:val="00830330"/>
    <w:rsid w:val="008307C8"/>
    <w:rsid w:val="0083089A"/>
    <w:rsid w:val="0083093E"/>
    <w:rsid w:val="00830AFD"/>
    <w:rsid w:val="00830B17"/>
    <w:rsid w:val="00831190"/>
    <w:rsid w:val="008311DF"/>
    <w:rsid w:val="008311FF"/>
    <w:rsid w:val="00831240"/>
    <w:rsid w:val="008315AA"/>
    <w:rsid w:val="00831A53"/>
    <w:rsid w:val="00831BB9"/>
    <w:rsid w:val="00831E05"/>
    <w:rsid w:val="00831F94"/>
    <w:rsid w:val="0083239A"/>
    <w:rsid w:val="00832B41"/>
    <w:rsid w:val="00832B45"/>
    <w:rsid w:val="00832CC1"/>
    <w:rsid w:val="00832E95"/>
    <w:rsid w:val="00832F83"/>
    <w:rsid w:val="00833110"/>
    <w:rsid w:val="00833583"/>
    <w:rsid w:val="008336F7"/>
    <w:rsid w:val="00833971"/>
    <w:rsid w:val="0083398E"/>
    <w:rsid w:val="00833D70"/>
    <w:rsid w:val="00833EFB"/>
    <w:rsid w:val="00834144"/>
    <w:rsid w:val="00834186"/>
    <w:rsid w:val="0083422D"/>
    <w:rsid w:val="00834396"/>
    <w:rsid w:val="008343DE"/>
    <w:rsid w:val="008343F3"/>
    <w:rsid w:val="00834422"/>
    <w:rsid w:val="0083444E"/>
    <w:rsid w:val="00834576"/>
    <w:rsid w:val="0083474A"/>
    <w:rsid w:val="008347E6"/>
    <w:rsid w:val="008348F3"/>
    <w:rsid w:val="00834BFB"/>
    <w:rsid w:val="00835219"/>
    <w:rsid w:val="008352F3"/>
    <w:rsid w:val="00835347"/>
    <w:rsid w:val="00835473"/>
    <w:rsid w:val="008354A5"/>
    <w:rsid w:val="00835B1C"/>
    <w:rsid w:val="00835C4C"/>
    <w:rsid w:val="00835E0D"/>
    <w:rsid w:val="00836042"/>
    <w:rsid w:val="00836151"/>
    <w:rsid w:val="0083632B"/>
    <w:rsid w:val="0083634F"/>
    <w:rsid w:val="0083645A"/>
    <w:rsid w:val="00836486"/>
    <w:rsid w:val="008366A5"/>
    <w:rsid w:val="0083676F"/>
    <w:rsid w:val="00836A80"/>
    <w:rsid w:val="00836CC6"/>
    <w:rsid w:val="008374D1"/>
    <w:rsid w:val="008376DD"/>
    <w:rsid w:val="0083788C"/>
    <w:rsid w:val="008378DD"/>
    <w:rsid w:val="00837A35"/>
    <w:rsid w:val="00837D34"/>
    <w:rsid w:val="0084011F"/>
    <w:rsid w:val="0084021A"/>
    <w:rsid w:val="0084042B"/>
    <w:rsid w:val="00840B9E"/>
    <w:rsid w:val="00840E1D"/>
    <w:rsid w:val="00840F92"/>
    <w:rsid w:val="0084166F"/>
    <w:rsid w:val="00841837"/>
    <w:rsid w:val="008419AA"/>
    <w:rsid w:val="00841C04"/>
    <w:rsid w:val="00842122"/>
    <w:rsid w:val="008422FB"/>
    <w:rsid w:val="00842A27"/>
    <w:rsid w:val="00842AB1"/>
    <w:rsid w:val="00842C99"/>
    <w:rsid w:val="00842CC6"/>
    <w:rsid w:val="00842DFF"/>
    <w:rsid w:val="00843001"/>
    <w:rsid w:val="008433A5"/>
    <w:rsid w:val="0084349D"/>
    <w:rsid w:val="008439BC"/>
    <w:rsid w:val="0084406B"/>
    <w:rsid w:val="00844204"/>
    <w:rsid w:val="00844388"/>
    <w:rsid w:val="008443DF"/>
    <w:rsid w:val="008444F5"/>
    <w:rsid w:val="008446FE"/>
    <w:rsid w:val="00844BBD"/>
    <w:rsid w:val="00844D36"/>
    <w:rsid w:val="00844DCE"/>
    <w:rsid w:val="00844FC1"/>
    <w:rsid w:val="00845006"/>
    <w:rsid w:val="008453E2"/>
    <w:rsid w:val="008455D0"/>
    <w:rsid w:val="00845733"/>
    <w:rsid w:val="00845FC2"/>
    <w:rsid w:val="0084625E"/>
    <w:rsid w:val="00846564"/>
    <w:rsid w:val="00846702"/>
    <w:rsid w:val="00846997"/>
    <w:rsid w:val="00846ADD"/>
    <w:rsid w:val="00846B81"/>
    <w:rsid w:val="00846BEB"/>
    <w:rsid w:val="00846D7A"/>
    <w:rsid w:val="0084703D"/>
    <w:rsid w:val="008474CB"/>
    <w:rsid w:val="008476F1"/>
    <w:rsid w:val="0084781C"/>
    <w:rsid w:val="00847A38"/>
    <w:rsid w:val="00847A3E"/>
    <w:rsid w:val="00847BF7"/>
    <w:rsid w:val="00847C2E"/>
    <w:rsid w:val="00847D94"/>
    <w:rsid w:val="00847E9F"/>
    <w:rsid w:val="00847EB4"/>
    <w:rsid w:val="008502D0"/>
    <w:rsid w:val="008502FD"/>
    <w:rsid w:val="00850309"/>
    <w:rsid w:val="008506A6"/>
    <w:rsid w:val="00850B40"/>
    <w:rsid w:val="00850C26"/>
    <w:rsid w:val="00850D5E"/>
    <w:rsid w:val="00850FFA"/>
    <w:rsid w:val="008511A8"/>
    <w:rsid w:val="00851746"/>
    <w:rsid w:val="00851B84"/>
    <w:rsid w:val="00851B9D"/>
    <w:rsid w:val="00851ED0"/>
    <w:rsid w:val="00852026"/>
    <w:rsid w:val="008520BE"/>
    <w:rsid w:val="008521A4"/>
    <w:rsid w:val="00852474"/>
    <w:rsid w:val="008524E6"/>
    <w:rsid w:val="0085284C"/>
    <w:rsid w:val="00852BF5"/>
    <w:rsid w:val="00852C5E"/>
    <w:rsid w:val="00852C68"/>
    <w:rsid w:val="00852D1E"/>
    <w:rsid w:val="008530A7"/>
    <w:rsid w:val="00853195"/>
    <w:rsid w:val="008531E8"/>
    <w:rsid w:val="00853430"/>
    <w:rsid w:val="00853437"/>
    <w:rsid w:val="008534C7"/>
    <w:rsid w:val="00853551"/>
    <w:rsid w:val="00853575"/>
    <w:rsid w:val="0085385A"/>
    <w:rsid w:val="00853B3F"/>
    <w:rsid w:val="00854080"/>
    <w:rsid w:val="00854152"/>
    <w:rsid w:val="00854248"/>
    <w:rsid w:val="00854342"/>
    <w:rsid w:val="008543B2"/>
    <w:rsid w:val="00854434"/>
    <w:rsid w:val="0085481E"/>
    <w:rsid w:val="008549C5"/>
    <w:rsid w:val="00854C5D"/>
    <w:rsid w:val="00854E6F"/>
    <w:rsid w:val="00855394"/>
    <w:rsid w:val="00855501"/>
    <w:rsid w:val="00855569"/>
    <w:rsid w:val="00855900"/>
    <w:rsid w:val="0085593C"/>
    <w:rsid w:val="00855AFD"/>
    <w:rsid w:val="00855B7D"/>
    <w:rsid w:val="00855C6F"/>
    <w:rsid w:val="00855E0C"/>
    <w:rsid w:val="00855E9E"/>
    <w:rsid w:val="00856177"/>
    <w:rsid w:val="00856240"/>
    <w:rsid w:val="0085644B"/>
    <w:rsid w:val="00856750"/>
    <w:rsid w:val="00856A03"/>
    <w:rsid w:val="00856C9A"/>
    <w:rsid w:val="00856CA2"/>
    <w:rsid w:val="00856D2F"/>
    <w:rsid w:val="00856D4A"/>
    <w:rsid w:val="00856E27"/>
    <w:rsid w:val="00856F0F"/>
    <w:rsid w:val="00856F39"/>
    <w:rsid w:val="00856FA7"/>
    <w:rsid w:val="008570B5"/>
    <w:rsid w:val="008570F8"/>
    <w:rsid w:val="00857210"/>
    <w:rsid w:val="00857476"/>
    <w:rsid w:val="00857747"/>
    <w:rsid w:val="00857764"/>
    <w:rsid w:val="00857C67"/>
    <w:rsid w:val="00857C8A"/>
    <w:rsid w:val="00857CA9"/>
    <w:rsid w:val="00857D6C"/>
    <w:rsid w:val="00857DC3"/>
    <w:rsid w:val="00857E2D"/>
    <w:rsid w:val="00857F17"/>
    <w:rsid w:val="00860250"/>
    <w:rsid w:val="008604B1"/>
    <w:rsid w:val="00860687"/>
    <w:rsid w:val="008609A2"/>
    <w:rsid w:val="00860B25"/>
    <w:rsid w:val="00860D54"/>
    <w:rsid w:val="00860D74"/>
    <w:rsid w:val="00861932"/>
    <w:rsid w:val="00861B64"/>
    <w:rsid w:val="00861C23"/>
    <w:rsid w:val="00861C35"/>
    <w:rsid w:val="00861D0F"/>
    <w:rsid w:val="00861E0C"/>
    <w:rsid w:val="00862039"/>
    <w:rsid w:val="008620D1"/>
    <w:rsid w:val="008620F5"/>
    <w:rsid w:val="0086229D"/>
    <w:rsid w:val="0086286A"/>
    <w:rsid w:val="00862A9D"/>
    <w:rsid w:val="00862B92"/>
    <w:rsid w:val="00862E59"/>
    <w:rsid w:val="0086315B"/>
    <w:rsid w:val="00863288"/>
    <w:rsid w:val="00863B8A"/>
    <w:rsid w:val="00863CAF"/>
    <w:rsid w:val="00863D89"/>
    <w:rsid w:val="00863DFD"/>
    <w:rsid w:val="00863E50"/>
    <w:rsid w:val="00863FBB"/>
    <w:rsid w:val="0086572E"/>
    <w:rsid w:val="00865A36"/>
    <w:rsid w:val="00865BB4"/>
    <w:rsid w:val="00865DB9"/>
    <w:rsid w:val="00865EB7"/>
    <w:rsid w:val="008660D0"/>
    <w:rsid w:val="008661D9"/>
    <w:rsid w:val="00866603"/>
    <w:rsid w:val="008667B6"/>
    <w:rsid w:val="0086699F"/>
    <w:rsid w:val="00866B90"/>
    <w:rsid w:val="00866DE6"/>
    <w:rsid w:val="00866E06"/>
    <w:rsid w:val="00866E20"/>
    <w:rsid w:val="008673CA"/>
    <w:rsid w:val="008673F2"/>
    <w:rsid w:val="0086766E"/>
    <w:rsid w:val="00867774"/>
    <w:rsid w:val="00867B2E"/>
    <w:rsid w:val="00867D09"/>
    <w:rsid w:val="00870300"/>
    <w:rsid w:val="00870405"/>
    <w:rsid w:val="00870A52"/>
    <w:rsid w:val="00870D8F"/>
    <w:rsid w:val="008711D4"/>
    <w:rsid w:val="00871505"/>
    <w:rsid w:val="00871B87"/>
    <w:rsid w:val="00871E05"/>
    <w:rsid w:val="0087246C"/>
    <w:rsid w:val="0087255B"/>
    <w:rsid w:val="0087285A"/>
    <w:rsid w:val="00872BC1"/>
    <w:rsid w:val="00872D47"/>
    <w:rsid w:val="00873144"/>
    <w:rsid w:val="008731AE"/>
    <w:rsid w:val="008736BC"/>
    <w:rsid w:val="00873810"/>
    <w:rsid w:val="008738B2"/>
    <w:rsid w:val="0087399A"/>
    <w:rsid w:val="00873ADC"/>
    <w:rsid w:val="00873D37"/>
    <w:rsid w:val="00873E78"/>
    <w:rsid w:val="00874173"/>
    <w:rsid w:val="00874384"/>
    <w:rsid w:val="008744C2"/>
    <w:rsid w:val="008744D9"/>
    <w:rsid w:val="0087459C"/>
    <w:rsid w:val="0087463A"/>
    <w:rsid w:val="00874676"/>
    <w:rsid w:val="0087475A"/>
    <w:rsid w:val="008747F6"/>
    <w:rsid w:val="00874C08"/>
    <w:rsid w:val="00874C83"/>
    <w:rsid w:val="00874CE2"/>
    <w:rsid w:val="00874E46"/>
    <w:rsid w:val="00875002"/>
    <w:rsid w:val="0087548D"/>
    <w:rsid w:val="00875650"/>
    <w:rsid w:val="008756C2"/>
    <w:rsid w:val="0087598E"/>
    <w:rsid w:val="008759DB"/>
    <w:rsid w:val="00875CAA"/>
    <w:rsid w:val="00876385"/>
    <w:rsid w:val="008763F8"/>
    <w:rsid w:val="0087651F"/>
    <w:rsid w:val="00876562"/>
    <w:rsid w:val="0087684B"/>
    <w:rsid w:val="00876853"/>
    <w:rsid w:val="00876D25"/>
    <w:rsid w:val="00876E70"/>
    <w:rsid w:val="00877081"/>
    <w:rsid w:val="00877131"/>
    <w:rsid w:val="00877229"/>
    <w:rsid w:val="008776DD"/>
    <w:rsid w:val="00877710"/>
    <w:rsid w:val="00877A59"/>
    <w:rsid w:val="00877DB4"/>
    <w:rsid w:val="00877E81"/>
    <w:rsid w:val="00877E97"/>
    <w:rsid w:val="008800FC"/>
    <w:rsid w:val="0088013B"/>
    <w:rsid w:val="008802C7"/>
    <w:rsid w:val="0088034F"/>
    <w:rsid w:val="0088038F"/>
    <w:rsid w:val="00880589"/>
    <w:rsid w:val="00880636"/>
    <w:rsid w:val="00880E68"/>
    <w:rsid w:val="00880F50"/>
    <w:rsid w:val="008810B1"/>
    <w:rsid w:val="00881161"/>
    <w:rsid w:val="0088128B"/>
    <w:rsid w:val="008815C5"/>
    <w:rsid w:val="00881610"/>
    <w:rsid w:val="008818A9"/>
    <w:rsid w:val="008818CE"/>
    <w:rsid w:val="00881946"/>
    <w:rsid w:val="00881D46"/>
    <w:rsid w:val="00881ED8"/>
    <w:rsid w:val="00882486"/>
    <w:rsid w:val="00882532"/>
    <w:rsid w:val="00882558"/>
    <w:rsid w:val="0088266C"/>
    <w:rsid w:val="00882C31"/>
    <w:rsid w:val="00882C73"/>
    <w:rsid w:val="00882CE7"/>
    <w:rsid w:val="008830AC"/>
    <w:rsid w:val="0088338C"/>
    <w:rsid w:val="008836E9"/>
    <w:rsid w:val="00883999"/>
    <w:rsid w:val="008839BC"/>
    <w:rsid w:val="00883B83"/>
    <w:rsid w:val="00883DFC"/>
    <w:rsid w:val="00883E76"/>
    <w:rsid w:val="00884154"/>
    <w:rsid w:val="0088421A"/>
    <w:rsid w:val="00884349"/>
    <w:rsid w:val="0088440F"/>
    <w:rsid w:val="00884659"/>
    <w:rsid w:val="008846A1"/>
    <w:rsid w:val="0088479D"/>
    <w:rsid w:val="00885077"/>
    <w:rsid w:val="00885644"/>
    <w:rsid w:val="00885736"/>
    <w:rsid w:val="0088579F"/>
    <w:rsid w:val="00885AA5"/>
    <w:rsid w:val="00885C0F"/>
    <w:rsid w:val="00885C69"/>
    <w:rsid w:val="00885D46"/>
    <w:rsid w:val="00885FED"/>
    <w:rsid w:val="00886668"/>
    <w:rsid w:val="00886729"/>
    <w:rsid w:val="00886885"/>
    <w:rsid w:val="00886A33"/>
    <w:rsid w:val="00886AB4"/>
    <w:rsid w:val="00886BA2"/>
    <w:rsid w:val="00886BE3"/>
    <w:rsid w:val="00886D8D"/>
    <w:rsid w:val="00886DF2"/>
    <w:rsid w:val="00886EEF"/>
    <w:rsid w:val="0088712A"/>
    <w:rsid w:val="008871EE"/>
    <w:rsid w:val="008872D0"/>
    <w:rsid w:val="008872F5"/>
    <w:rsid w:val="00887313"/>
    <w:rsid w:val="00887671"/>
    <w:rsid w:val="00887774"/>
    <w:rsid w:val="008879CB"/>
    <w:rsid w:val="00887B00"/>
    <w:rsid w:val="00887DDE"/>
    <w:rsid w:val="00887F9D"/>
    <w:rsid w:val="008904E3"/>
    <w:rsid w:val="0089050D"/>
    <w:rsid w:val="00890CA2"/>
    <w:rsid w:val="00890E68"/>
    <w:rsid w:val="0089123C"/>
    <w:rsid w:val="00891501"/>
    <w:rsid w:val="00891531"/>
    <w:rsid w:val="008918D8"/>
    <w:rsid w:val="00891A73"/>
    <w:rsid w:val="00891D7A"/>
    <w:rsid w:val="00892040"/>
    <w:rsid w:val="0089238B"/>
    <w:rsid w:val="0089243E"/>
    <w:rsid w:val="00892795"/>
    <w:rsid w:val="00892847"/>
    <w:rsid w:val="008928CE"/>
    <w:rsid w:val="00892964"/>
    <w:rsid w:val="00892A16"/>
    <w:rsid w:val="00892B57"/>
    <w:rsid w:val="00892DF3"/>
    <w:rsid w:val="008930D2"/>
    <w:rsid w:val="008931F6"/>
    <w:rsid w:val="00893701"/>
    <w:rsid w:val="00893CB1"/>
    <w:rsid w:val="00893CD0"/>
    <w:rsid w:val="00894126"/>
    <w:rsid w:val="008948C8"/>
    <w:rsid w:val="00894B3E"/>
    <w:rsid w:val="00894EB4"/>
    <w:rsid w:val="00895794"/>
    <w:rsid w:val="00896005"/>
    <w:rsid w:val="008962BC"/>
    <w:rsid w:val="0089647F"/>
    <w:rsid w:val="0089653B"/>
    <w:rsid w:val="008969F6"/>
    <w:rsid w:val="00896AD0"/>
    <w:rsid w:val="00896E18"/>
    <w:rsid w:val="00896EC8"/>
    <w:rsid w:val="0089715E"/>
    <w:rsid w:val="008975E8"/>
    <w:rsid w:val="008976D1"/>
    <w:rsid w:val="00897865"/>
    <w:rsid w:val="00897941"/>
    <w:rsid w:val="008979F7"/>
    <w:rsid w:val="00897BD4"/>
    <w:rsid w:val="00897D13"/>
    <w:rsid w:val="00897D86"/>
    <w:rsid w:val="008A00CF"/>
    <w:rsid w:val="008A01B5"/>
    <w:rsid w:val="008A0319"/>
    <w:rsid w:val="008A0392"/>
    <w:rsid w:val="008A0408"/>
    <w:rsid w:val="008A09DF"/>
    <w:rsid w:val="008A0A10"/>
    <w:rsid w:val="008A0B02"/>
    <w:rsid w:val="008A0C44"/>
    <w:rsid w:val="008A0F63"/>
    <w:rsid w:val="008A101F"/>
    <w:rsid w:val="008A10C5"/>
    <w:rsid w:val="008A11F5"/>
    <w:rsid w:val="008A1410"/>
    <w:rsid w:val="008A188C"/>
    <w:rsid w:val="008A18CB"/>
    <w:rsid w:val="008A19CE"/>
    <w:rsid w:val="008A1D63"/>
    <w:rsid w:val="008A25A4"/>
    <w:rsid w:val="008A26C6"/>
    <w:rsid w:val="008A276E"/>
    <w:rsid w:val="008A29F5"/>
    <w:rsid w:val="008A3088"/>
    <w:rsid w:val="008A30E9"/>
    <w:rsid w:val="008A339A"/>
    <w:rsid w:val="008A3552"/>
    <w:rsid w:val="008A3775"/>
    <w:rsid w:val="008A3789"/>
    <w:rsid w:val="008A37B1"/>
    <w:rsid w:val="008A37C2"/>
    <w:rsid w:val="008A3849"/>
    <w:rsid w:val="008A3999"/>
    <w:rsid w:val="008A3D17"/>
    <w:rsid w:val="008A40C6"/>
    <w:rsid w:val="008A42BA"/>
    <w:rsid w:val="008A438D"/>
    <w:rsid w:val="008A49D0"/>
    <w:rsid w:val="008A4A61"/>
    <w:rsid w:val="008A4FB4"/>
    <w:rsid w:val="008A511D"/>
    <w:rsid w:val="008A518F"/>
    <w:rsid w:val="008A5283"/>
    <w:rsid w:val="008A531B"/>
    <w:rsid w:val="008A565B"/>
    <w:rsid w:val="008A567A"/>
    <w:rsid w:val="008A579C"/>
    <w:rsid w:val="008A5D9C"/>
    <w:rsid w:val="008A60F5"/>
    <w:rsid w:val="008A6499"/>
    <w:rsid w:val="008A654F"/>
    <w:rsid w:val="008A655F"/>
    <w:rsid w:val="008A682C"/>
    <w:rsid w:val="008A687F"/>
    <w:rsid w:val="008A6CE4"/>
    <w:rsid w:val="008A6ED7"/>
    <w:rsid w:val="008A75E7"/>
    <w:rsid w:val="008A7655"/>
    <w:rsid w:val="008A7C83"/>
    <w:rsid w:val="008A7DC4"/>
    <w:rsid w:val="008A7DD8"/>
    <w:rsid w:val="008A7E56"/>
    <w:rsid w:val="008A7EE1"/>
    <w:rsid w:val="008A7F5E"/>
    <w:rsid w:val="008B0093"/>
    <w:rsid w:val="008B01D8"/>
    <w:rsid w:val="008B06B3"/>
    <w:rsid w:val="008B09FD"/>
    <w:rsid w:val="008B0C0E"/>
    <w:rsid w:val="008B0D5A"/>
    <w:rsid w:val="008B0E4C"/>
    <w:rsid w:val="008B1053"/>
    <w:rsid w:val="008B10BA"/>
    <w:rsid w:val="008B13AA"/>
    <w:rsid w:val="008B13FF"/>
    <w:rsid w:val="008B14D5"/>
    <w:rsid w:val="008B153A"/>
    <w:rsid w:val="008B15E9"/>
    <w:rsid w:val="008B1690"/>
    <w:rsid w:val="008B1884"/>
    <w:rsid w:val="008B189E"/>
    <w:rsid w:val="008B1CE4"/>
    <w:rsid w:val="008B1FB5"/>
    <w:rsid w:val="008B2035"/>
    <w:rsid w:val="008B23B7"/>
    <w:rsid w:val="008B23CE"/>
    <w:rsid w:val="008B258A"/>
    <w:rsid w:val="008B283B"/>
    <w:rsid w:val="008B2852"/>
    <w:rsid w:val="008B29E8"/>
    <w:rsid w:val="008B2A02"/>
    <w:rsid w:val="008B2A1B"/>
    <w:rsid w:val="008B2B81"/>
    <w:rsid w:val="008B2FCC"/>
    <w:rsid w:val="008B350B"/>
    <w:rsid w:val="008B382D"/>
    <w:rsid w:val="008B3C0D"/>
    <w:rsid w:val="008B3F83"/>
    <w:rsid w:val="008B5246"/>
    <w:rsid w:val="008B534A"/>
    <w:rsid w:val="008B539A"/>
    <w:rsid w:val="008B5437"/>
    <w:rsid w:val="008B553B"/>
    <w:rsid w:val="008B5543"/>
    <w:rsid w:val="008B5646"/>
    <w:rsid w:val="008B57D0"/>
    <w:rsid w:val="008B57FF"/>
    <w:rsid w:val="008B5890"/>
    <w:rsid w:val="008B5BBC"/>
    <w:rsid w:val="008B5C64"/>
    <w:rsid w:val="008B5D5F"/>
    <w:rsid w:val="008B5D8B"/>
    <w:rsid w:val="008B5EEB"/>
    <w:rsid w:val="008B6045"/>
    <w:rsid w:val="008B61AE"/>
    <w:rsid w:val="008B6369"/>
    <w:rsid w:val="008B63FE"/>
    <w:rsid w:val="008B6687"/>
    <w:rsid w:val="008B668C"/>
    <w:rsid w:val="008B67ED"/>
    <w:rsid w:val="008B6B08"/>
    <w:rsid w:val="008B6C1C"/>
    <w:rsid w:val="008B6C69"/>
    <w:rsid w:val="008B6F74"/>
    <w:rsid w:val="008B7110"/>
    <w:rsid w:val="008B75C6"/>
    <w:rsid w:val="008B75C9"/>
    <w:rsid w:val="008B78D4"/>
    <w:rsid w:val="008B7D52"/>
    <w:rsid w:val="008B7ECA"/>
    <w:rsid w:val="008C0048"/>
    <w:rsid w:val="008C00CA"/>
    <w:rsid w:val="008C00FB"/>
    <w:rsid w:val="008C0103"/>
    <w:rsid w:val="008C1338"/>
    <w:rsid w:val="008C15B4"/>
    <w:rsid w:val="008C1754"/>
    <w:rsid w:val="008C1CFA"/>
    <w:rsid w:val="008C1E57"/>
    <w:rsid w:val="008C1ED5"/>
    <w:rsid w:val="008C1EDB"/>
    <w:rsid w:val="008C2912"/>
    <w:rsid w:val="008C2CCD"/>
    <w:rsid w:val="008C2D1D"/>
    <w:rsid w:val="008C301C"/>
    <w:rsid w:val="008C333F"/>
    <w:rsid w:val="008C3366"/>
    <w:rsid w:val="008C34B4"/>
    <w:rsid w:val="008C34FC"/>
    <w:rsid w:val="008C353A"/>
    <w:rsid w:val="008C37F3"/>
    <w:rsid w:val="008C3BB3"/>
    <w:rsid w:val="008C3C62"/>
    <w:rsid w:val="008C4139"/>
    <w:rsid w:val="008C4344"/>
    <w:rsid w:val="008C4481"/>
    <w:rsid w:val="008C4B1A"/>
    <w:rsid w:val="008C4BF9"/>
    <w:rsid w:val="008C4C73"/>
    <w:rsid w:val="008C4E94"/>
    <w:rsid w:val="008C4EFA"/>
    <w:rsid w:val="008C4FB0"/>
    <w:rsid w:val="008C50A3"/>
    <w:rsid w:val="008C52D1"/>
    <w:rsid w:val="008C5498"/>
    <w:rsid w:val="008C5586"/>
    <w:rsid w:val="008C57A1"/>
    <w:rsid w:val="008C5813"/>
    <w:rsid w:val="008C59BD"/>
    <w:rsid w:val="008C5A94"/>
    <w:rsid w:val="008C6058"/>
    <w:rsid w:val="008C61CD"/>
    <w:rsid w:val="008C6500"/>
    <w:rsid w:val="008C6838"/>
    <w:rsid w:val="008C6A16"/>
    <w:rsid w:val="008C6A92"/>
    <w:rsid w:val="008C6B78"/>
    <w:rsid w:val="008C6D39"/>
    <w:rsid w:val="008C6DA2"/>
    <w:rsid w:val="008C737D"/>
    <w:rsid w:val="008C74F7"/>
    <w:rsid w:val="008C7AEB"/>
    <w:rsid w:val="008C7B76"/>
    <w:rsid w:val="008C7EDA"/>
    <w:rsid w:val="008C7FDE"/>
    <w:rsid w:val="008D057C"/>
    <w:rsid w:val="008D061E"/>
    <w:rsid w:val="008D064B"/>
    <w:rsid w:val="008D0A63"/>
    <w:rsid w:val="008D1307"/>
    <w:rsid w:val="008D1638"/>
    <w:rsid w:val="008D16AE"/>
    <w:rsid w:val="008D1727"/>
    <w:rsid w:val="008D17C7"/>
    <w:rsid w:val="008D1C93"/>
    <w:rsid w:val="008D1D3F"/>
    <w:rsid w:val="008D1D8F"/>
    <w:rsid w:val="008D2508"/>
    <w:rsid w:val="008D29B4"/>
    <w:rsid w:val="008D2F2E"/>
    <w:rsid w:val="008D3529"/>
    <w:rsid w:val="008D3563"/>
    <w:rsid w:val="008D362D"/>
    <w:rsid w:val="008D364F"/>
    <w:rsid w:val="008D3661"/>
    <w:rsid w:val="008D3896"/>
    <w:rsid w:val="008D3921"/>
    <w:rsid w:val="008D3D8E"/>
    <w:rsid w:val="008D45A0"/>
    <w:rsid w:val="008D4700"/>
    <w:rsid w:val="008D4784"/>
    <w:rsid w:val="008D4C61"/>
    <w:rsid w:val="008D4E88"/>
    <w:rsid w:val="008D5474"/>
    <w:rsid w:val="008D5913"/>
    <w:rsid w:val="008D5C19"/>
    <w:rsid w:val="008D6207"/>
    <w:rsid w:val="008D651E"/>
    <w:rsid w:val="008D6592"/>
    <w:rsid w:val="008D66CF"/>
    <w:rsid w:val="008D67CB"/>
    <w:rsid w:val="008D68E3"/>
    <w:rsid w:val="008D692F"/>
    <w:rsid w:val="008D6AC6"/>
    <w:rsid w:val="008D6B02"/>
    <w:rsid w:val="008D6B23"/>
    <w:rsid w:val="008D6D47"/>
    <w:rsid w:val="008D7153"/>
    <w:rsid w:val="008D7191"/>
    <w:rsid w:val="008D7579"/>
    <w:rsid w:val="008D767E"/>
    <w:rsid w:val="008D79DA"/>
    <w:rsid w:val="008D7FE1"/>
    <w:rsid w:val="008E04DE"/>
    <w:rsid w:val="008E0B4B"/>
    <w:rsid w:val="008E0BDD"/>
    <w:rsid w:val="008E0C72"/>
    <w:rsid w:val="008E129A"/>
    <w:rsid w:val="008E16A3"/>
    <w:rsid w:val="008E1792"/>
    <w:rsid w:val="008E1839"/>
    <w:rsid w:val="008E18E1"/>
    <w:rsid w:val="008E1C38"/>
    <w:rsid w:val="008E21D1"/>
    <w:rsid w:val="008E2228"/>
    <w:rsid w:val="008E2417"/>
    <w:rsid w:val="008E253D"/>
    <w:rsid w:val="008E2571"/>
    <w:rsid w:val="008E2BE2"/>
    <w:rsid w:val="008E2E30"/>
    <w:rsid w:val="008E2E90"/>
    <w:rsid w:val="008E3100"/>
    <w:rsid w:val="008E377F"/>
    <w:rsid w:val="008E3F49"/>
    <w:rsid w:val="008E3FD6"/>
    <w:rsid w:val="008E401A"/>
    <w:rsid w:val="008E40D7"/>
    <w:rsid w:val="008E4437"/>
    <w:rsid w:val="008E469B"/>
    <w:rsid w:val="008E46D3"/>
    <w:rsid w:val="008E4811"/>
    <w:rsid w:val="008E4955"/>
    <w:rsid w:val="008E4975"/>
    <w:rsid w:val="008E4C66"/>
    <w:rsid w:val="008E5281"/>
    <w:rsid w:val="008E54F9"/>
    <w:rsid w:val="008E5652"/>
    <w:rsid w:val="008E5884"/>
    <w:rsid w:val="008E5EB8"/>
    <w:rsid w:val="008E600C"/>
    <w:rsid w:val="008E6297"/>
    <w:rsid w:val="008E62F7"/>
    <w:rsid w:val="008E6492"/>
    <w:rsid w:val="008E64A0"/>
    <w:rsid w:val="008E6632"/>
    <w:rsid w:val="008E676B"/>
    <w:rsid w:val="008E6B55"/>
    <w:rsid w:val="008E6DBB"/>
    <w:rsid w:val="008E6F5D"/>
    <w:rsid w:val="008E71B3"/>
    <w:rsid w:val="008E7503"/>
    <w:rsid w:val="008E7C6E"/>
    <w:rsid w:val="008E7CDE"/>
    <w:rsid w:val="008E7CF2"/>
    <w:rsid w:val="008E7DFE"/>
    <w:rsid w:val="008E7E05"/>
    <w:rsid w:val="008E7E99"/>
    <w:rsid w:val="008F001C"/>
    <w:rsid w:val="008F0166"/>
    <w:rsid w:val="008F0769"/>
    <w:rsid w:val="008F0787"/>
    <w:rsid w:val="008F0BC2"/>
    <w:rsid w:val="008F10D2"/>
    <w:rsid w:val="008F1164"/>
    <w:rsid w:val="008F1495"/>
    <w:rsid w:val="008F1B35"/>
    <w:rsid w:val="008F1C8E"/>
    <w:rsid w:val="008F1E39"/>
    <w:rsid w:val="008F2023"/>
    <w:rsid w:val="008F21B7"/>
    <w:rsid w:val="008F2A03"/>
    <w:rsid w:val="008F2B94"/>
    <w:rsid w:val="008F3309"/>
    <w:rsid w:val="008F3569"/>
    <w:rsid w:val="008F35CB"/>
    <w:rsid w:val="008F35F2"/>
    <w:rsid w:val="008F3694"/>
    <w:rsid w:val="008F36BD"/>
    <w:rsid w:val="008F381C"/>
    <w:rsid w:val="008F3DDC"/>
    <w:rsid w:val="008F3F1D"/>
    <w:rsid w:val="008F404C"/>
    <w:rsid w:val="008F4B1E"/>
    <w:rsid w:val="008F52B0"/>
    <w:rsid w:val="008F556C"/>
    <w:rsid w:val="008F5594"/>
    <w:rsid w:val="008F562B"/>
    <w:rsid w:val="008F5AA8"/>
    <w:rsid w:val="008F5D3E"/>
    <w:rsid w:val="008F5E0C"/>
    <w:rsid w:val="008F6340"/>
    <w:rsid w:val="008F6421"/>
    <w:rsid w:val="008F6430"/>
    <w:rsid w:val="008F6560"/>
    <w:rsid w:val="008F6A87"/>
    <w:rsid w:val="008F6CA0"/>
    <w:rsid w:val="008F73DB"/>
    <w:rsid w:val="008F7490"/>
    <w:rsid w:val="008F7521"/>
    <w:rsid w:val="008F764F"/>
    <w:rsid w:val="008F7985"/>
    <w:rsid w:val="008F7A8B"/>
    <w:rsid w:val="008F7B0F"/>
    <w:rsid w:val="008F7C35"/>
    <w:rsid w:val="008F7C7E"/>
    <w:rsid w:val="009004DE"/>
    <w:rsid w:val="00900666"/>
    <w:rsid w:val="00900C7B"/>
    <w:rsid w:val="00900C8C"/>
    <w:rsid w:val="00900C94"/>
    <w:rsid w:val="00901226"/>
    <w:rsid w:val="00901258"/>
    <w:rsid w:val="009013C4"/>
    <w:rsid w:val="009016A0"/>
    <w:rsid w:val="009016F9"/>
    <w:rsid w:val="00901746"/>
    <w:rsid w:val="00901A0B"/>
    <w:rsid w:val="00901D90"/>
    <w:rsid w:val="00901DF2"/>
    <w:rsid w:val="0090230F"/>
    <w:rsid w:val="009026EB"/>
    <w:rsid w:val="00902DA7"/>
    <w:rsid w:val="00903098"/>
    <w:rsid w:val="00903148"/>
    <w:rsid w:val="00903539"/>
    <w:rsid w:val="00903565"/>
    <w:rsid w:val="00903921"/>
    <w:rsid w:val="00903A6A"/>
    <w:rsid w:val="00903B78"/>
    <w:rsid w:val="00903CDC"/>
    <w:rsid w:val="00903D49"/>
    <w:rsid w:val="00903D94"/>
    <w:rsid w:val="00903E8A"/>
    <w:rsid w:val="0090445B"/>
    <w:rsid w:val="009045C3"/>
    <w:rsid w:val="00904706"/>
    <w:rsid w:val="009048E3"/>
    <w:rsid w:val="00904BCF"/>
    <w:rsid w:val="00904EAE"/>
    <w:rsid w:val="00904FE3"/>
    <w:rsid w:val="009056B9"/>
    <w:rsid w:val="009057B8"/>
    <w:rsid w:val="009057C9"/>
    <w:rsid w:val="00906261"/>
    <w:rsid w:val="009063C4"/>
    <w:rsid w:val="00906666"/>
    <w:rsid w:val="00906843"/>
    <w:rsid w:val="00906A02"/>
    <w:rsid w:val="00906A0D"/>
    <w:rsid w:val="00906B7D"/>
    <w:rsid w:val="00906D25"/>
    <w:rsid w:val="00906F78"/>
    <w:rsid w:val="00906FC6"/>
    <w:rsid w:val="00907478"/>
    <w:rsid w:val="00907BFB"/>
    <w:rsid w:val="00907C58"/>
    <w:rsid w:val="00910091"/>
    <w:rsid w:val="009101E6"/>
    <w:rsid w:val="00910229"/>
    <w:rsid w:val="0091041C"/>
    <w:rsid w:val="00910A42"/>
    <w:rsid w:val="00910C0A"/>
    <w:rsid w:val="00910F5D"/>
    <w:rsid w:val="009112AB"/>
    <w:rsid w:val="0091141C"/>
    <w:rsid w:val="0091153D"/>
    <w:rsid w:val="0091157E"/>
    <w:rsid w:val="00911587"/>
    <w:rsid w:val="0091176C"/>
    <w:rsid w:val="00911778"/>
    <w:rsid w:val="009118C3"/>
    <w:rsid w:val="00911AD4"/>
    <w:rsid w:val="00911BE3"/>
    <w:rsid w:val="00911D53"/>
    <w:rsid w:val="00911EC6"/>
    <w:rsid w:val="009122A5"/>
    <w:rsid w:val="0091238B"/>
    <w:rsid w:val="009127F3"/>
    <w:rsid w:val="0091285A"/>
    <w:rsid w:val="00912BD9"/>
    <w:rsid w:val="00912BF5"/>
    <w:rsid w:val="00912D3F"/>
    <w:rsid w:val="00912DFC"/>
    <w:rsid w:val="00913131"/>
    <w:rsid w:val="0091319A"/>
    <w:rsid w:val="0091338B"/>
    <w:rsid w:val="00913756"/>
    <w:rsid w:val="009137FC"/>
    <w:rsid w:val="00913969"/>
    <w:rsid w:val="00913C96"/>
    <w:rsid w:val="00914095"/>
    <w:rsid w:val="00914364"/>
    <w:rsid w:val="009143E4"/>
    <w:rsid w:val="00914903"/>
    <w:rsid w:val="009149B2"/>
    <w:rsid w:val="00914B07"/>
    <w:rsid w:val="00914B18"/>
    <w:rsid w:val="00914FF8"/>
    <w:rsid w:val="009150E6"/>
    <w:rsid w:val="00915311"/>
    <w:rsid w:val="009154B3"/>
    <w:rsid w:val="00915519"/>
    <w:rsid w:val="0091561A"/>
    <w:rsid w:val="0091561F"/>
    <w:rsid w:val="00915BA3"/>
    <w:rsid w:val="00915F0D"/>
    <w:rsid w:val="0091710E"/>
    <w:rsid w:val="009171A6"/>
    <w:rsid w:val="009175F1"/>
    <w:rsid w:val="00917907"/>
    <w:rsid w:val="00917A62"/>
    <w:rsid w:val="00917D64"/>
    <w:rsid w:val="00917D8C"/>
    <w:rsid w:val="00917DF2"/>
    <w:rsid w:val="00917E96"/>
    <w:rsid w:val="0092024E"/>
    <w:rsid w:val="00920364"/>
    <w:rsid w:val="00920660"/>
    <w:rsid w:val="0092067F"/>
    <w:rsid w:val="0092078C"/>
    <w:rsid w:val="00920EA6"/>
    <w:rsid w:val="009212F4"/>
    <w:rsid w:val="00921493"/>
    <w:rsid w:val="009215C3"/>
    <w:rsid w:val="00921907"/>
    <w:rsid w:val="00921B24"/>
    <w:rsid w:val="0092209D"/>
    <w:rsid w:val="00922521"/>
    <w:rsid w:val="00922796"/>
    <w:rsid w:val="00922835"/>
    <w:rsid w:val="00922AA5"/>
    <w:rsid w:val="00922B57"/>
    <w:rsid w:val="00922BCA"/>
    <w:rsid w:val="00922C5E"/>
    <w:rsid w:val="00922D47"/>
    <w:rsid w:val="009231EC"/>
    <w:rsid w:val="00923211"/>
    <w:rsid w:val="00923262"/>
    <w:rsid w:val="00923663"/>
    <w:rsid w:val="00924471"/>
    <w:rsid w:val="0092451A"/>
    <w:rsid w:val="009248C7"/>
    <w:rsid w:val="00924944"/>
    <w:rsid w:val="00924D07"/>
    <w:rsid w:val="00924DB3"/>
    <w:rsid w:val="00924E31"/>
    <w:rsid w:val="00925041"/>
    <w:rsid w:val="009250CC"/>
    <w:rsid w:val="00925539"/>
    <w:rsid w:val="00925B4E"/>
    <w:rsid w:val="00925E81"/>
    <w:rsid w:val="00925F2D"/>
    <w:rsid w:val="00925F93"/>
    <w:rsid w:val="009260E8"/>
    <w:rsid w:val="00926539"/>
    <w:rsid w:val="00926640"/>
    <w:rsid w:val="00926737"/>
    <w:rsid w:val="00926858"/>
    <w:rsid w:val="00926BB6"/>
    <w:rsid w:val="009270F0"/>
    <w:rsid w:val="00927146"/>
    <w:rsid w:val="00927154"/>
    <w:rsid w:val="00927242"/>
    <w:rsid w:val="00927529"/>
    <w:rsid w:val="009276D8"/>
    <w:rsid w:val="00927725"/>
    <w:rsid w:val="009277C5"/>
    <w:rsid w:val="00927823"/>
    <w:rsid w:val="00927A4C"/>
    <w:rsid w:val="00927C31"/>
    <w:rsid w:val="00927D05"/>
    <w:rsid w:val="00927E6D"/>
    <w:rsid w:val="00927F36"/>
    <w:rsid w:val="00930007"/>
    <w:rsid w:val="0093012E"/>
    <w:rsid w:val="0093014B"/>
    <w:rsid w:val="0093019E"/>
    <w:rsid w:val="00930383"/>
    <w:rsid w:val="009306CB"/>
    <w:rsid w:val="009307B2"/>
    <w:rsid w:val="009307D5"/>
    <w:rsid w:val="00930929"/>
    <w:rsid w:val="00930CC3"/>
    <w:rsid w:val="00930D67"/>
    <w:rsid w:val="00930EF0"/>
    <w:rsid w:val="00931407"/>
    <w:rsid w:val="00931572"/>
    <w:rsid w:val="0093172A"/>
    <w:rsid w:val="009317B0"/>
    <w:rsid w:val="00931A70"/>
    <w:rsid w:val="00931B6C"/>
    <w:rsid w:val="00931DA8"/>
    <w:rsid w:val="00931E03"/>
    <w:rsid w:val="00931EDF"/>
    <w:rsid w:val="00931FB9"/>
    <w:rsid w:val="00932432"/>
    <w:rsid w:val="009327BC"/>
    <w:rsid w:val="00932873"/>
    <w:rsid w:val="00932885"/>
    <w:rsid w:val="009328A7"/>
    <w:rsid w:val="009328AE"/>
    <w:rsid w:val="00932B71"/>
    <w:rsid w:val="00932C9F"/>
    <w:rsid w:val="00932D41"/>
    <w:rsid w:val="00932E6C"/>
    <w:rsid w:val="009331B6"/>
    <w:rsid w:val="0093344C"/>
    <w:rsid w:val="00933774"/>
    <w:rsid w:val="009337D0"/>
    <w:rsid w:val="009337D2"/>
    <w:rsid w:val="00933865"/>
    <w:rsid w:val="00933B84"/>
    <w:rsid w:val="00933C2D"/>
    <w:rsid w:val="00933D39"/>
    <w:rsid w:val="00933FC8"/>
    <w:rsid w:val="00934116"/>
    <w:rsid w:val="00934162"/>
    <w:rsid w:val="0093433C"/>
    <w:rsid w:val="00934349"/>
    <w:rsid w:val="009345E2"/>
    <w:rsid w:val="009346B3"/>
    <w:rsid w:val="009346C8"/>
    <w:rsid w:val="009346FE"/>
    <w:rsid w:val="00934734"/>
    <w:rsid w:val="009348A6"/>
    <w:rsid w:val="00934A32"/>
    <w:rsid w:val="00934A69"/>
    <w:rsid w:val="00934AC0"/>
    <w:rsid w:val="00934C4D"/>
    <w:rsid w:val="00934DBF"/>
    <w:rsid w:val="0093521B"/>
    <w:rsid w:val="009354CA"/>
    <w:rsid w:val="0093556A"/>
    <w:rsid w:val="009355A4"/>
    <w:rsid w:val="00935888"/>
    <w:rsid w:val="00935B31"/>
    <w:rsid w:val="00935BD1"/>
    <w:rsid w:val="00935CE8"/>
    <w:rsid w:val="00935D2C"/>
    <w:rsid w:val="00935D8E"/>
    <w:rsid w:val="00935F12"/>
    <w:rsid w:val="00935F16"/>
    <w:rsid w:val="00935F46"/>
    <w:rsid w:val="00935FD3"/>
    <w:rsid w:val="009360F5"/>
    <w:rsid w:val="00936298"/>
    <w:rsid w:val="00936365"/>
    <w:rsid w:val="009363AD"/>
    <w:rsid w:val="00936711"/>
    <w:rsid w:val="00936782"/>
    <w:rsid w:val="00936E24"/>
    <w:rsid w:val="00936F1F"/>
    <w:rsid w:val="009370A3"/>
    <w:rsid w:val="009371F1"/>
    <w:rsid w:val="009372BB"/>
    <w:rsid w:val="009372ED"/>
    <w:rsid w:val="00937613"/>
    <w:rsid w:val="00937742"/>
    <w:rsid w:val="009378B6"/>
    <w:rsid w:val="009378C7"/>
    <w:rsid w:val="00937980"/>
    <w:rsid w:val="00937CCB"/>
    <w:rsid w:val="00937DB3"/>
    <w:rsid w:val="00937E50"/>
    <w:rsid w:val="00937EA3"/>
    <w:rsid w:val="00937FE3"/>
    <w:rsid w:val="0094025F"/>
    <w:rsid w:val="0094027E"/>
    <w:rsid w:val="009404A1"/>
    <w:rsid w:val="009404CC"/>
    <w:rsid w:val="009407DE"/>
    <w:rsid w:val="00940836"/>
    <w:rsid w:val="00940C0D"/>
    <w:rsid w:val="00940DF3"/>
    <w:rsid w:val="00940F3E"/>
    <w:rsid w:val="00941732"/>
    <w:rsid w:val="00941738"/>
    <w:rsid w:val="009418A0"/>
    <w:rsid w:val="00941DA1"/>
    <w:rsid w:val="009420DC"/>
    <w:rsid w:val="009426CC"/>
    <w:rsid w:val="00942819"/>
    <w:rsid w:val="009429AD"/>
    <w:rsid w:val="00942A00"/>
    <w:rsid w:val="00942B06"/>
    <w:rsid w:val="00942B5C"/>
    <w:rsid w:val="00942BDA"/>
    <w:rsid w:val="00942F3B"/>
    <w:rsid w:val="00942FA1"/>
    <w:rsid w:val="009430A6"/>
    <w:rsid w:val="009432AA"/>
    <w:rsid w:val="00943499"/>
    <w:rsid w:val="009436E1"/>
    <w:rsid w:val="00943924"/>
    <w:rsid w:val="0094438D"/>
    <w:rsid w:val="00944588"/>
    <w:rsid w:val="009446C4"/>
    <w:rsid w:val="009446DA"/>
    <w:rsid w:val="009446FE"/>
    <w:rsid w:val="009447D8"/>
    <w:rsid w:val="009448D3"/>
    <w:rsid w:val="0094493F"/>
    <w:rsid w:val="00944A54"/>
    <w:rsid w:val="009450A1"/>
    <w:rsid w:val="00945233"/>
    <w:rsid w:val="009455B3"/>
    <w:rsid w:val="0094574C"/>
    <w:rsid w:val="00945989"/>
    <w:rsid w:val="00945A99"/>
    <w:rsid w:val="00945D82"/>
    <w:rsid w:val="00946091"/>
    <w:rsid w:val="00946243"/>
    <w:rsid w:val="0094627A"/>
    <w:rsid w:val="009465FD"/>
    <w:rsid w:val="0094685F"/>
    <w:rsid w:val="0094695A"/>
    <w:rsid w:val="009469ED"/>
    <w:rsid w:val="00946C9C"/>
    <w:rsid w:val="00946D56"/>
    <w:rsid w:val="00946DF9"/>
    <w:rsid w:val="00946E4F"/>
    <w:rsid w:val="00946F22"/>
    <w:rsid w:val="00946FFA"/>
    <w:rsid w:val="009472BF"/>
    <w:rsid w:val="00947370"/>
    <w:rsid w:val="009474BE"/>
    <w:rsid w:val="00947AB6"/>
    <w:rsid w:val="00947AEF"/>
    <w:rsid w:val="00947F0E"/>
    <w:rsid w:val="00947F2D"/>
    <w:rsid w:val="00950045"/>
    <w:rsid w:val="0095031F"/>
    <w:rsid w:val="00950435"/>
    <w:rsid w:val="00950493"/>
    <w:rsid w:val="009506CC"/>
    <w:rsid w:val="0095077A"/>
    <w:rsid w:val="00950A01"/>
    <w:rsid w:val="00950A61"/>
    <w:rsid w:val="00950DA4"/>
    <w:rsid w:val="00951037"/>
    <w:rsid w:val="00951611"/>
    <w:rsid w:val="009516C6"/>
    <w:rsid w:val="00951B56"/>
    <w:rsid w:val="00951D13"/>
    <w:rsid w:val="00952048"/>
    <w:rsid w:val="00952063"/>
    <w:rsid w:val="0095213A"/>
    <w:rsid w:val="009525E2"/>
    <w:rsid w:val="0095274E"/>
    <w:rsid w:val="00952928"/>
    <w:rsid w:val="00952BD8"/>
    <w:rsid w:val="00952CCD"/>
    <w:rsid w:val="00953365"/>
    <w:rsid w:val="0095349B"/>
    <w:rsid w:val="009536C4"/>
    <w:rsid w:val="00953AD4"/>
    <w:rsid w:val="00953B0A"/>
    <w:rsid w:val="00953B5C"/>
    <w:rsid w:val="00953EDA"/>
    <w:rsid w:val="009542EA"/>
    <w:rsid w:val="00954362"/>
    <w:rsid w:val="009544D9"/>
    <w:rsid w:val="0095481D"/>
    <w:rsid w:val="0095488F"/>
    <w:rsid w:val="00954A41"/>
    <w:rsid w:val="00954E03"/>
    <w:rsid w:val="00955289"/>
    <w:rsid w:val="009559DF"/>
    <w:rsid w:val="00955B85"/>
    <w:rsid w:val="00955C67"/>
    <w:rsid w:val="00955C6D"/>
    <w:rsid w:val="00956039"/>
    <w:rsid w:val="0095614F"/>
    <w:rsid w:val="009561C1"/>
    <w:rsid w:val="0095642E"/>
    <w:rsid w:val="0095655A"/>
    <w:rsid w:val="0095669D"/>
    <w:rsid w:val="009570C6"/>
    <w:rsid w:val="009571DA"/>
    <w:rsid w:val="009572E1"/>
    <w:rsid w:val="00957543"/>
    <w:rsid w:val="009577BB"/>
    <w:rsid w:val="00957A77"/>
    <w:rsid w:val="00957ABB"/>
    <w:rsid w:val="00957C74"/>
    <w:rsid w:val="00957D1A"/>
    <w:rsid w:val="00957D42"/>
    <w:rsid w:val="00957DA5"/>
    <w:rsid w:val="00957DE7"/>
    <w:rsid w:val="00957E02"/>
    <w:rsid w:val="00957E20"/>
    <w:rsid w:val="00957E36"/>
    <w:rsid w:val="0096024B"/>
    <w:rsid w:val="00960290"/>
    <w:rsid w:val="009602BD"/>
    <w:rsid w:val="0096088C"/>
    <w:rsid w:val="00960C00"/>
    <w:rsid w:val="00960C14"/>
    <w:rsid w:val="00961047"/>
    <w:rsid w:val="009611A6"/>
    <w:rsid w:val="0096155A"/>
    <w:rsid w:val="009615E6"/>
    <w:rsid w:val="00961880"/>
    <w:rsid w:val="00961909"/>
    <w:rsid w:val="00961946"/>
    <w:rsid w:val="00961DEE"/>
    <w:rsid w:val="00962143"/>
    <w:rsid w:val="0096241B"/>
    <w:rsid w:val="009625ED"/>
    <w:rsid w:val="009627F7"/>
    <w:rsid w:val="00962D75"/>
    <w:rsid w:val="00962E08"/>
    <w:rsid w:val="009631BA"/>
    <w:rsid w:val="0096338E"/>
    <w:rsid w:val="00963461"/>
    <w:rsid w:val="00963721"/>
    <w:rsid w:val="00963AA9"/>
    <w:rsid w:val="00963AD0"/>
    <w:rsid w:val="00963D41"/>
    <w:rsid w:val="009643F0"/>
    <w:rsid w:val="00964421"/>
    <w:rsid w:val="009645CD"/>
    <w:rsid w:val="00964985"/>
    <w:rsid w:val="00964C5B"/>
    <w:rsid w:val="00964E78"/>
    <w:rsid w:val="00964EB9"/>
    <w:rsid w:val="00964F4D"/>
    <w:rsid w:val="00965060"/>
    <w:rsid w:val="009650F9"/>
    <w:rsid w:val="009653DC"/>
    <w:rsid w:val="009653F4"/>
    <w:rsid w:val="0096558E"/>
    <w:rsid w:val="00965780"/>
    <w:rsid w:val="00965870"/>
    <w:rsid w:val="009658F5"/>
    <w:rsid w:val="00965E16"/>
    <w:rsid w:val="00966015"/>
    <w:rsid w:val="0096625D"/>
    <w:rsid w:val="009664AB"/>
    <w:rsid w:val="0096687D"/>
    <w:rsid w:val="0096699C"/>
    <w:rsid w:val="00966B5C"/>
    <w:rsid w:val="00966E2D"/>
    <w:rsid w:val="0096701E"/>
    <w:rsid w:val="009671E7"/>
    <w:rsid w:val="009671FE"/>
    <w:rsid w:val="00967235"/>
    <w:rsid w:val="00967302"/>
    <w:rsid w:val="009675EA"/>
    <w:rsid w:val="00967703"/>
    <w:rsid w:val="00967746"/>
    <w:rsid w:val="00967880"/>
    <w:rsid w:val="00967A9B"/>
    <w:rsid w:val="00967AC0"/>
    <w:rsid w:val="00967C8C"/>
    <w:rsid w:val="00967CD9"/>
    <w:rsid w:val="00967F95"/>
    <w:rsid w:val="009701CA"/>
    <w:rsid w:val="0097020A"/>
    <w:rsid w:val="00970740"/>
    <w:rsid w:val="00970775"/>
    <w:rsid w:val="0097093B"/>
    <w:rsid w:val="00970AE0"/>
    <w:rsid w:val="00970D7C"/>
    <w:rsid w:val="00971055"/>
    <w:rsid w:val="0097119B"/>
    <w:rsid w:val="0097130B"/>
    <w:rsid w:val="0097149A"/>
    <w:rsid w:val="00971565"/>
    <w:rsid w:val="009716ED"/>
    <w:rsid w:val="00971715"/>
    <w:rsid w:val="009718DC"/>
    <w:rsid w:val="00971961"/>
    <w:rsid w:val="00971997"/>
    <w:rsid w:val="00971CED"/>
    <w:rsid w:val="00971D3D"/>
    <w:rsid w:val="009721EC"/>
    <w:rsid w:val="00972681"/>
    <w:rsid w:val="009728E1"/>
    <w:rsid w:val="00972957"/>
    <w:rsid w:val="00972ACA"/>
    <w:rsid w:val="00973182"/>
    <w:rsid w:val="00973229"/>
    <w:rsid w:val="009732EA"/>
    <w:rsid w:val="00973488"/>
    <w:rsid w:val="00973497"/>
    <w:rsid w:val="00973AF1"/>
    <w:rsid w:val="00973C3F"/>
    <w:rsid w:val="00973E03"/>
    <w:rsid w:val="009740DD"/>
    <w:rsid w:val="0097448C"/>
    <w:rsid w:val="009745CE"/>
    <w:rsid w:val="00974A13"/>
    <w:rsid w:val="00974E26"/>
    <w:rsid w:val="009751C1"/>
    <w:rsid w:val="009752AF"/>
    <w:rsid w:val="009757AF"/>
    <w:rsid w:val="00975911"/>
    <w:rsid w:val="00975947"/>
    <w:rsid w:val="00975965"/>
    <w:rsid w:val="00975B23"/>
    <w:rsid w:val="00975CA8"/>
    <w:rsid w:val="00975D68"/>
    <w:rsid w:val="0097606A"/>
    <w:rsid w:val="00976099"/>
    <w:rsid w:val="009761FE"/>
    <w:rsid w:val="009765B7"/>
    <w:rsid w:val="009765BC"/>
    <w:rsid w:val="00976783"/>
    <w:rsid w:val="00976803"/>
    <w:rsid w:val="00976B7C"/>
    <w:rsid w:val="00976BF8"/>
    <w:rsid w:val="00976E4F"/>
    <w:rsid w:val="0097706D"/>
    <w:rsid w:val="00977613"/>
    <w:rsid w:val="00977783"/>
    <w:rsid w:val="009777A3"/>
    <w:rsid w:val="00977A49"/>
    <w:rsid w:val="00977BB6"/>
    <w:rsid w:val="00977DB2"/>
    <w:rsid w:val="00980024"/>
    <w:rsid w:val="00980599"/>
    <w:rsid w:val="00980600"/>
    <w:rsid w:val="009806B3"/>
    <w:rsid w:val="00980821"/>
    <w:rsid w:val="009809AE"/>
    <w:rsid w:val="00980F64"/>
    <w:rsid w:val="00980F69"/>
    <w:rsid w:val="00980F96"/>
    <w:rsid w:val="009810A7"/>
    <w:rsid w:val="00981591"/>
    <w:rsid w:val="00981BB2"/>
    <w:rsid w:val="00981E6A"/>
    <w:rsid w:val="00981F1B"/>
    <w:rsid w:val="0098213B"/>
    <w:rsid w:val="0098253C"/>
    <w:rsid w:val="009825B5"/>
    <w:rsid w:val="0098271A"/>
    <w:rsid w:val="00982ABC"/>
    <w:rsid w:val="00982C0C"/>
    <w:rsid w:val="00982CBE"/>
    <w:rsid w:val="00982DF8"/>
    <w:rsid w:val="00982F02"/>
    <w:rsid w:val="0098302B"/>
    <w:rsid w:val="009831A5"/>
    <w:rsid w:val="0098340F"/>
    <w:rsid w:val="0098344D"/>
    <w:rsid w:val="009839BE"/>
    <w:rsid w:val="00983FF4"/>
    <w:rsid w:val="0098404E"/>
    <w:rsid w:val="0098457D"/>
    <w:rsid w:val="009847DC"/>
    <w:rsid w:val="00984B9A"/>
    <w:rsid w:val="00984B9E"/>
    <w:rsid w:val="00984E9C"/>
    <w:rsid w:val="009850E0"/>
    <w:rsid w:val="00985476"/>
    <w:rsid w:val="009855DF"/>
    <w:rsid w:val="0098571E"/>
    <w:rsid w:val="009858BB"/>
    <w:rsid w:val="00985A79"/>
    <w:rsid w:val="00985C84"/>
    <w:rsid w:val="00985E0A"/>
    <w:rsid w:val="00985F39"/>
    <w:rsid w:val="00986402"/>
    <w:rsid w:val="00986457"/>
    <w:rsid w:val="009866E6"/>
    <w:rsid w:val="0098682F"/>
    <w:rsid w:val="0098693D"/>
    <w:rsid w:val="00986A2F"/>
    <w:rsid w:val="00986A7C"/>
    <w:rsid w:val="00986BEE"/>
    <w:rsid w:val="00986CB2"/>
    <w:rsid w:val="009870B9"/>
    <w:rsid w:val="00987632"/>
    <w:rsid w:val="009876CC"/>
    <w:rsid w:val="00987742"/>
    <w:rsid w:val="00987C80"/>
    <w:rsid w:val="00987CC4"/>
    <w:rsid w:val="00987DD3"/>
    <w:rsid w:val="00987F25"/>
    <w:rsid w:val="009900E5"/>
    <w:rsid w:val="00990220"/>
    <w:rsid w:val="0099025A"/>
    <w:rsid w:val="00990312"/>
    <w:rsid w:val="00990450"/>
    <w:rsid w:val="009904AC"/>
    <w:rsid w:val="009905B0"/>
    <w:rsid w:val="009906F2"/>
    <w:rsid w:val="00990869"/>
    <w:rsid w:val="00990AF7"/>
    <w:rsid w:val="00990CA6"/>
    <w:rsid w:val="00990CD9"/>
    <w:rsid w:val="00990CDE"/>
    <w:rsid w:val="00990E59"/>
    <w:rsid w:val="0099108F"/>
    <w:rsid w:val="009911E4"/>
    <w:rsid w:val="009912EC"/>
    <w:rsid w:val="00991326"/>
    <w:rsid w:val="00991ADC"/>
    <w:rsid w:val="00991B27"/>
    <w:rsid w:val="00991B79"/>
    <w:rsid w:val="009920FC"/>
    <w:rsid w:val="0099252A"/>
    <w:rsid w:val="009925D4"/>
    <w:rsid w:val="009928CA"/>
    <w:rsid w:val="00992A2F"/>
    <w:rsid w:val="00992AC3"/>
    <w:rsid w:val="00992AD8"/>
    <w:rsid w:val="00992F7E"/>
    <w:rsid w:val="00993050"/>
    <w:rsid w:val="00993427"/>
    <w:rsid w:val="00993968"/>
    <w:rsid w:val="00993A42"/>
    <w:rsid w:val="00993AEC"/>
    <w:rsid w:val="00993B58"/>
    <w:rsid w:val="00993ED2"/>
    <w:rsid w:val="0099421F"/>
    <w:rsid w:val="009943C5"/>
    <w:rsid w:val="009948FE"/>
    <w:rsid w:val="00994B1A"/>
    <w:rsid w:val="00994B1E"/>
    <w:rsid w:val="00994C33"/>
    <w:rsid w:val="0099502D"/>
    <w:rsid w:val="009950FF"/>
    <w:rsid w:val="00995376"/>
    <w:rsid w:val="0099559A"/>
    <w:rsid w:val="00995BF7"/>
    <w:rsid w:val="00995DC0"/>
    <w:rsid w:val="009961AC"/>
    <w:rsid w:val="00996797"/>
    <w:rsid w:val="009967FC"/>
    <w:rsid w:val="00996981"/>
    <w:rsid w:val="00996B17"/>
    <w:rsid w:val="00996B58"/>
    <w:rsid w:val="00996C65"/>
    <w:rsid w:val="00996E17"/>
    <w:rsid w:val="0099734F"/>
    <w:rsid w:val="00997398"/>
    <w:rsid w:val="0099751A"/>
    <w:rsid w:val="00997882"/>
    <w:rsid w:val="00997A36"/>
    <w:rsid w:val="00997C71"/>
    <w:rsid w:val="009A067D"/>
    <w:rsid w:val="009A0E68"/>
    <w:rsid w:val="009A0E95"/>
    <w:rsid w:val="009A1104"/>
    <w:rsid w:val="009A11C5"/>
    <w:rsid w:val="009A14F5"/>
    <w:rsid w:val="009A15E1"/>
    <w:rsid w:val="009A19C0"/>
    <w:rsid w:val="009A1F88"/>
    <w:rsid w:val="009A20B4"/>
    <w:rsid w:val="009A20F8"/>
    <w:rsid w:val="009A2584"/>
    <w:rsid w:val="009A265C"/>
    <w:rsid w:val="009A2759"/>
    <w:rsid w:val="009A2BB0"/>
    <w:rsid w:val="009A2CF1"/>
    <w:rsid w:val="009A2E2A"/>
    <w:rsid w:val="009A2EFC"/>
    <w:rsid w:val="009A2F1A"/>
    <w:rsid w:val="009A2F3B"/>
    <w:rsid w:val="009A3170"/>
    <w:rsid w:val="009A348B"/>
    <w:rsid w:val="009A377E"/>
    <w:rsid w:val="009A381C"/>
    <w:rsid w:val="009A38D3"/>
    <w:rsid w:val="009A3ADE"/>
    <w:rsid w:val="009A3DE5"/>
    <w:rsid w:val="009A3ED7"/>
    <w:rsid w:val="009A3F0D"/>
    <w:rsid w:val="009A4115"/>
    <w:rsid w:val="009A420B"/>
    <w:rsid w:val="009A4405"/>
    <w:rsid w:val="009A4430"/>
    <w:rsid w:val="009A46A1"/>
    <w:rsid w:val="009A46A5"/>
    <w:rsid w:val="009A4D2D"/>
    <w:rsid w:val="009A4F7D"/>
    <w:rsid w:val="009A5169"/>
    <w:rsid w:val="009A5459"/>
    <w:rsid w:val="009A54C5"/>
    <w:rsid w:val="009A54DD"/>
    <w:rsid w:val="009A5621"/>
    <w:rsid w:val="009A585C"/>
    <w:rsid w:val="009A5888"/>
    <w:rsid w:val="009A5BEE"/>
    <w:rsid w:val="009A5C75"/>
    <w:rsid w:val="009A629D"/>
    <w:rsid w:val="009A641F"/>
    <w:rsid w:val="009A6B8B"/>
    <w:rsid w:val="009A6EAB"/>
    <w:rsid w:val="009A7197"/>
    <w:rsid w:val="009A730B"/>
    <w:rsid w:val="009A7513"/>
    <w:rsid w:val="009A75B3"/>
    <w:rsid w:val="009A76B0"/>
    <w:rsid w:val="009A779C"/>
    <w:rsid w:val="009A784A"/>
    <w:rsid w:val="009A7D00"/>
    <w:rsid w:val="009A7DDB"/>
    <w:rsid w:val="009B0394"/>
    <w:rsid w:val="009B0407"/>
    <w:rsid w:val="009B084C"/>
    <w:rsid w:val="009B0853"/>
    <w:rsid w:val="009B0B10"/>
    <w:rsid w:val="009B0B6D"/>
    <w:rsid w:val="009B0BD5"/>
    <w:rsid w:val="009B0CBD"/>
    <w:rsid w:val="009B0DBF"/>
    <w:rsid w:val="009B0E9F"/>
    <w:rsid w:val="009B1A91"/>
    <w:rsid w:val="009B1E87"/>
    <w:rsid w:val="009B2025"/>
    <w:rsid w:val="009B2622"/>
    <w:rsid w:val="009B2664"/>
    <w:rsid w:val="009B2742"/>
    <w:rsid w:val="009B2D47"/>
    <w:rsid w:val="009B2FC6"/>
    <w:rsid w:val="009B30B9"/>
    <w:rsid w:val="009B3203"/>
    <w:rsid w:val="009B3385"/>
    <w:rsid w:val="009B3440"/>
    <w:rsid w:val="009B3701"/>
    <w:rsid w:val="009B3AD8"/>
    <w:rsid w:val="009B428E"/>
    <w:rsid w:val="009B432F"/>
    <w:rsid w:val="009B4394"/>
    <w:rsid w:val="009B459A"/>
    <w:rsid w:val="009B493C"/>
    <w:rsid w:val="009B4B0C"/>
    <w:rsid w:val="009B4B28"/>
    <w:rsid w:val="009B4B36"/>
    <w:rsid w:val="009B4E5E"/>
    <w:rsid w:val="009B50F5"/>
    <w:rsid w:val="009B511D"/>
    <w:rsid w:val="009B514B"/>
    <w:rsid w:val="009B515E"/>
    <w:rsid w:val="009B5367"/>
    <w:rsid w:val="009B5758"/>
    <w:rsid w:val="009B5A7E"/>
    <w:rsid w:val="009B5AB5"/>
    <w:rsid w:val="009B5D67"/>
    <w:rsid w:val="009B5FB6"/>
    <w:rsid w:val="009B61B2"/>
    <w:rsid w:val="009B6272"/>
    <w:rsid w:val="009B62F6"/>
    <w:rsid w:val="009B65A4"/>
    <w:rsid w:val="009B6AF9"/>
    <w:rsid w:val="009B6C6B"/>
    <w:rsid w:val="009B6EC4"/>
    <w:rsid w:val="009B6F87"/>
    <w:rsid w:val="009B6FFB"/>
    <w:rsid w:val="009B705A"/>
    <w:rsid w:val="009B70BE"/>
    <w:rsid w:val="009B74E5"/>
    <w:rsid w:val="009B7505"/>
    <w:rsid w:val="009B7745"/>
    <w:rsid w:val="009B781C"/>
    <w:rsid w:val="009B782B"/>
    <w:rsid w:val="009B7920"/>
    <w:rsid w:val="009B79F1"/>
    <w:rsid w:val="009B7AC6"/>
    <w:rsid w:val="009B7CAE"/>
    <w:rsid w:val="009B7DE3"/>
    <w:rsid w:val="009C034E"/>
    <w:rsid w:val="009C0385"/>
    <w:rsid w:val="009C03B6"/>
    <w:rsid w:val="009C03D1"/>
    <w:rsid w:val="009C0599"/>
    <w:rsid w:val="009C09B5"/>
    <w:rsid w:val="009C0E26"/>
    <w:rsid w:val="009C0E4E"/>
    <w:rsid w:val="009C1976"/>
    <w:rsid w:val="009C1A93"/>
    <w:rsid w:val="009C1B88"/>
    <w:rsid w:val="009C1F09"/>
    <w:rsid w:val="009C2131"/>
    <w:rsid w:val="009C2340"/>
    <w:rsid w:val="009C25C1"/>
    <w:rsid w:val="009C2B02"/>
    <w:rsid w:val="009C2E19"/>
    <w:rsid w:val="009C33B2"/>
    <w:rsid w:val="009C367A"/>
    <w:rsid w:val="009C3707"/>
    <w:rsid w:val="009C3844"/>
    <w:rsid w:val="009C3B5D"/>
    <w:rsid w:val="009C3C21"/>
    <w:rsid w:val="009C3D9B"/>
    <w:rsid w:val="009C43B3"/>
    <w:rsid w:val="009C446D"/>
    <w:rsid w:val="009C45ED"/>
    <w:rsid w:val="009C4900"/>
    <w:rsid w:val="009C49DA"/>
    <w:rsid w:val="009C49F8"/>
    <w:rsid w:val="009C4BD9"/>
    <w:rsid w:val="009C4C13"/>
    <w:rsid w:val="009C5019"/>
    <w:rsid w:val="009C52AA"/>
    <w:rsid w:val="009C53DB"/>
    <w:rsid w:val="009C5913"/>
    <w:rsid w:val="009C6143"/>
    <w:rsid w:val="009C69BE"/>
    <w:rsid w:val="009C6A03"/>
    <w:rsid w:val="009C6B43"/>
    <w:rsid w:val="009C6CFD"/>
    <w:rsid w:val="009C6D22"/>
    <w:rsid w:val="009C6D2A"/>
    <w:rsid w:val="009C6FB6"/>
    <w:rsid w:val="009C700B"/>
    <w:rsid w:val="009C7174"/>
    <w:rsid w:val="009C7278"/>
    <w:rsid w:val="009C745B"/>
    <w:rsid w:val="009C75F8"/>
    <w:rsid w:val="009C778A"/>
    <w:rsid w:val="009C7BDD"/>
    <w:rsid w:val="009D00B6"/>
    <w:rsid w:val="009D0256"/>
    <w:rsid w:val="009D06FD"/>
    <w:rsid w:val="009D0A6F"/>
    <w:rsid w:val="009D0ACF"/>
    <w:rsid w:val="009D0FB0"/>
    <w:rsid w:val="009D0FEE"/>
    <w:rsid w:val="009D1162"/>
    <w:rsid w:val="009D1548"/>
    <w:rsid w:val="009D1567"/>
    <w:rsid w:val="009D16BB"/>
    <w:rsid w:val="009D1A60"/>
    <w:rsid w:val="009D1E86"/>
    <w:rsid w:val="009D209F"/>
    <w:rsid w:val="009D21FA"/>
    <w:rsid w:val="009D2331"/>
    <w:rsid w:val="009D2479"/>
    <w:rsid w:val="009D26C9"/>
    <w:rsid w:val="009D2746"/>
    <w:rsid w:val="009D2994"/>
    <w:rsid w:val="009D2B8D"/>
    <w:rsid w:val="009D2B93"/>
    <w:rsid w:val="009D2E29"/>
    <w:rsid w:val="009D2F4A"/>
    <w:rsid w:val="009D2FB1"/>
    <w:rsid w:val="009D312F"/>
    <w:rsid w:val="009D31F7"/>
    <w:rsid w:val="009D337B"/>
    <w:rsid w:val="009D3411"/>
    <w:rsid w:val="009D345D"/>
    <w:rsid w:val="009D34B8"/>
    <w:rsid w:val="009D3533"/>
    <w:rsid w:val="009D355E"/>
    <w:rsid w:val="009D3857"/>
    <w:rsid w:val="009D389A"/>
    <w:rsid w:val="009D3944"/>
    <w:rsid w:val="009D3BD7"/>
    <w:rsid w:val="009D3D39"/>
    <w:rsid w:val="009D3FD1"/>
    <w:rsid w:val="009D407D"/>
    <w:rsid w:val="009D434A"/>
    <w:rsid w:val="009D4A76"/>
    <w:rsid w:val="009D4B63"/>
    <w:rsid w:val="009D4C3B"/>
    <w:rsid w:val="009D4C59"/>
    <w:rsid w:val="009D4DF6"/>
    <w:rsid w:val="009D50CF"/>
    <w:rsid w:val="009D516B"/>
    <w:rsid w:val="009D5706"/>
    <w:rsid w:val="009D579A"/>
    <w:rsid w:val="009D590B"/>
    <w:rsid w:val="009D5E15"/>
    <w:rsid w:val="009D5F04"/>
    <w:rsid w:val="009D5F24"/>
    <w:rsid w:val="009D5F64"/>
    <w:rsid w:val="009D5F80"/>
    <w:rsid w:val="009D6032"/>
    <w:rsid w:val="009D623A"/>
    <w:rsid w:val="009D628C"/>
    <w:rsid w:val="009D6384"/>
    <w:rsid w:val="009D643F"/>
    <w:rsid w:val="009D6829"/>
    <w:rsid w:val="009D6A05"/>
    <w:rsid w:val="009D6CBE"/>
    <w:rsid w:val="009D6D3B"/>
    <w:rsid w:val="009D7003"/>
    <w:rsid w:val="009D701C"/>
    <w:rsid w:val="009D71A8"/>
    <w:rsid w:val="009D72A0"/>
    <w:rsid w:val="009D758A"/>
    <w:rsid w:val="009D76C9"/>
    <w:rsid w:val="009D7DAF"/>
    <w:rsid w:val="009E002E"/>
    <w:rsid w:val="009E0056"/>
    <w:rsid w:val="009E01BD"/>
    <w:rsid w:val="009E045E"/>
    <w:rsid w:val="009E0AAF"/>
    <w:rsid w:val="009E0BD9"/>
    <w:rsid w:val="009E0C75"/>
    <w:rsid w:val="009E0D77"/>
    <w:rsid w:val="009E1152"/>
    <w:rsid w:val="009E1436"/>
    <w:rsid w:val="009E1B6C"/>
    <w:rsid w:val="009E1E25"/>
    <w:rsid w:val="009E22C6"/>
    <w:rsid w:val="009E2B8F"/>
    <w:rsid w:val="009E2F27"/>
    <w:rsid w:val="009E3353"/>
    <w:rsid w:val="009E3BB2"/>
    <w:rsid w:val="009E3DED"/>
    <w:rsid w:val="009E3E98"/>
    <w:rsid w:val="009E3FE6"/>
    <w:rsid w:val="009E40D9"/>
    <w:rsid w:val="009E413B"/>
    <w:rsid w:val="009E4584"/>
    <w:rsid w:val="009E4605"/>
    <w:rsid w:val="009E4618"/>
    <w:rsid w:val="009E4BDB"/>
    <w:rsid w:val="009E4C9B"/>
    <w:rsid w:val="009E4D5F"/>
    <w:rsid w:val="009E5446"/>
    <w:rsid w:val="009E5489"/>
    <w:rsid w:val="009E58FF"/>
    <w:rsid w:val="009E5A8A"/>
    <w:rsid w:val="009E5C76"/>
    <w:rsid w:val="009E5D2D"/>
    <w:rsid w:val="009E5FCC"/>
    <w:rsid w:val="009E6216"/>
    <w:rsid w:val="009E669A"/>
    <w:rsid w:val="009E6D7D"/>
    <w:rsid w:val="009E7333"/>
    <w:rsid w:val="009E73D3"/>
    <w:rsid w:val="009E73E3"/>
    <w:rsid w:val="009E760B"/>
    <w:rsid w:val="009E773D"/>
    <w:rsid w:val="009E7A85"/>
    <w:rsid w:val="009E7C68"/>
    <w:rsid w:val="009E7DA3"/>
    <w:rsid w:val="009E7F6A"/>
    <w:rsid w:val="009F0101"/>
    <w:rsid w:val="009F02AA"/>
    <w:rsid w:val="009F0406"/>
    <w:rsid w:val="009F0463"/>
    <w:rsid w:val="009F09CE"/>
    <w:rsid w:val="009F0A0C"/>
    <w:rsid w:val="009F0A7C"/>
    <w:rsid w:val="009F0B63"/>
    <w:rsid w:val="009F0C4A"/>
    <w:rsid w:val="009F0D4B"/>
    <w:rsid w:val="009F0FD7"/>
    <w:rsid w:val="009F11ED"/>
    <w:rsid w:val="009F133A"/>
    <w:rsid w:val="009F1341"/>
    <w:rsid w:val="009F142E"/>
    <w:rsid w:val="009F15C0"/>
    <w:rsid w:val="009F1633"/>
    <w:rsid w:val="009F1749"/>
    <w:rsid w:val="009F1C06"/>
    <w:rsid w:val="009F1D9E"/>
    <w:rsid w:val="009F2039"/>
    <w:rsid w:val="009F22FF"/>
    <w:rsid w:val="009F240E"/>
    <w:rsid w:val="009F254D"/>
    <w:rsid w:val="009F272A"/>
    <w:rsid w:val="009F2AB1"/>
    <w:rsid w:val="009F2ACE"/>
    <w:rsid w:val="009F2B87"/>
    <w:rsid w:val="009F2CD5"/>
    <w:rsid w:val="009F2F2D"/>
    <w:rsid w:val="009F31F2"/>
    <w:rsid w:val="009F33D6"/>
    <w:rsid w:val="009F353B"/>
    <w:rsid w:val="009F35E8"/>
    <w:rsid w:val="009F3671"/>
    <w:rsid w:val="009F3A09"/>
    <w:rsid w:val="009F3AA9"/>
    <w:rsid w:val="009F41F7"/>
    <w:rsid w:val="009F42B1"/>
    <w:rsid w:val="009F430E"/>
    <w:rsid w:val="009F439E"/>
    <w:rsid w:val="009F4981"/>
    <w:rsid w:val="009F4AED"/>
    <w:rsid w:val="009F4D59"/>
    <w:rsid w:val="009F4D5E"/>
    <w:rsid w:val="009F5652"/>
    <w:rsid w:val="009F57FC"/>
    <w:rsid w:val="009F5C33"/>
    <w:rsid w:val="009F5C48"/>
    <w:rsid w:val="009F5F37"/>
    <w:rsid w:val="009F6094"/>
    <w:rsid w:val="009F616D"/>
    <w:rsid w:val="009F6290"/>
    <w:rsid w:val="009F6576"/>
    <w:rsid w:val="009F669A"/>
    <w:rsid w:val="009F695A"/>
    <w:rsid w:val="009F6BD5"/>
    <w:rsid w:val="009F6BF7"/>
    <w:rsid w:val="009F6F9F"/>
    <w:rsid w:val="009F70AC"/>
    <w:rsid w:val="009F70D4"/>
    <w:rsid w:val="009F7393"/>
    <w:rsid w:val="009F742D"/>
    <w:rsid w:val="009F744C"/>
    <w:rsid w:val="009F74E3"/>
    <w:rsid w:val="009F771F"/>
    <w:rsid w:val="009F77B3"/>
    <w:rsid w:val="009F7BA0"/>
    <w:rsid w:val="00A0000F"/>
    <w:rsid w:val="00A001C7"/>
    <w:rsid w:val="00A003FE"/>
    <w:rsid w:val="00A004E8"/>
    <w:rsid w:val="00A00908"/>
    <w:rsid w:val="00A00E9D"/>
    <w:rsid w:val="00A00F79"/>
    <w:rsid w:val="00A00FC5"/>
    <w:rsid w:val="00A0101D"/>
    <w:rsid w:val="00A013FD"/>
    <w:rsid w:val="00A0147A"/>
    <w:rsid w:val="00A017B8"/>
    <w:rsid w:val="00A01CF6"/>
    <w:rsid w:val="00A01D53"/>
    <w:rsid w:val="00A01EA7"/>
    <w:rsid w:val="00A02117"/>
    <w:rsid w:val="00A02823"/>
    <w:rsid w:val="00A028A8"/>
    <w:rsid w:val="00A02913"/>
    <w:rsid w:val="00A02BBE"/>
    <w:rsid w:val="00A034DB"/>
    <w:rsid w:val="00A034EB"/>
    <w:rsid w:val="00A03901"/>
    <w:rsid w:val="00A03D4B"/>
    <w:rsid w:val="00A042D3"/>
    <w:rsid w:val="00A042DB"/>
    <w:rsid w:val="00A04929"/>
    <w:rsid w:val="00A04A82"/>
    <w:rsid w:val="00A04B5F"/>
    <w:rsid w:val="00A04D97"/>
    <w:rsid w:val="00A04E45"/>
    <w:rsid w:val="00A04F7A"/>
    <w:rsid w:val="00A050A1"/>
    <w:rsid w:val="00A05390"/>
    <w:rsid w:val="00A054C3"/>
    <w:rsid w:val="00A05645"/>
    <w:rsid w:val="00A058ED"/>
    <w:rsid w:val="00A05A20"/>
    <w:rsid w:val="00A05B22"/>
    <w:rsid w:val="00A0614A"/>
    <w:rsid w:val="00A06244"/>
    <w:rsid w:val="00A06305"/>
    <w:rsid w:val="00A06D36"/>
    <w:rsid w:val="00A06E93"/>
    <w:rsid w:val="00A06EEF"/>
    <w:rsid w:val="00A06F89"/>
    <w:rsid w:val="00A07000"/>
    <w:rsid w:val="00A07130"/>
    <w:rsid w:val="00A0737B"/>
    <w:rsid w:val="00A07559"/>
    <w:rsid w:val="00A075A8"/>
    <w:rsid w:val="00A075E9"/>
    <w:rsid w:val="00A07605"/>
    <w:rsid w:val="00A07953"/>
    <w:rsid w:val="00A10461"/>
    <w:rsid w:val="00A107C7"/>
    <w:rsid w:val="00A10868"/>
    <w:rsid w:val="00A108C0"/>
    <w:rsid w:val="00A108C4"/>
    <w:rsid w:val="00A10957"/>
    <w:rsid w:val="00A10A17"/>
    <w:rsid w:val="00A10AE3"/>
    <w:rsid w:val="00A10D2C"/>
    <w:rsid w:val="00A10D66"/>
    <w:rsid w:val="00A10E2C"/>
    <w:rsid w:val="00A111B5"/>
    <w:rsid w:val="00A11414"/>
    <w:rsid w:val="00A118B4"/>
    <w:rsid w:val="00A11D6C"/>
    <w:rsid w:val="00A1244D"/>
    <w:rsid w:val="00A133E0"/>
    <w:rsid w:val="00A13462"/>
    <w:rsid w:val="00A1352D"/>
    <w:rsid w:val="00A1382A"/>
    <w:rsid w:val="00A13A71"/>
    <w:rsid w:val="00A13A77"/>
    <w:rsid w:val="00A13B56"/>
    <w:rsid w:val="00A13D08"/>
    <w:rsid w:val="00A13D55"/>
    <w:rsid w:val="00A13E17"/>
    <w:rsid w:val="00A13EE4"/>
    <w:rsid w:val="00A14008"/>
    <w:rsid w:val="00A1453B"/>
    <w:rsid w:val="00A14BC1"/>
    <w:rsid w:val="00A14C0F"/>
    <w:rsid w:val="00A14F4D"/>
    <w:rsid w:val="00A151D7"/>
    <w:rsid w:val="00A153A2"/>
    <w:rsid w:val="00A15633"/>
    <w:rsid w:val="00A15AAC"/>
    <w:rsid w:val="00A15C02"/>
    <w:rsid w:val="00A15C51"/>
    <w:rsid w:val="00A15DBB"/>
    <w:rsid w:val="00A15E57"/>
    <w:rsid w:val="00A16134"/>
    <w:rsid w:val="00A161CA"/>
    <w:rsid w:val="00A1624D"/>
    <w:rsid w:val="00A164B3"/>
    <w:rsid w:val="00A1698F"/>
    <w:rsid w:val="00A16DAC"/>
    <w:rsid w:val="00A16F8F"/>
    <w:rsid w:val="00A17325"/>
    <w:rsid w:val="00A17354"/>
    <w:rsid w:val="00A17720"/>
    <w:rsid w:val="00A17791"/>
    <w:rsid w:val="00A177E1"/>
    <w:rsid w:val="00A17D4B"/>
    <w:rsid w:val="00A17E53"/>
    <w:rsid w:val="00A20037"/>
    <w:rsid w:val="00A2009D"/>
    <w:rsid w:val="00A20154"/>
    <w:rsid w:val="00A204AC"/>
    <w:rsid w:val="00A208E9"/>
    <w:rsid w:val="00A20A98"/>
    <w:rsid w:val="00A20C41"/>
    <w:rsid w:val="00A20DE9"/>
    <w:rsid w:val="00A20E6D"/>
    <w:rsid w:val="00A21020"/>
    <w:rsid w:val="00A2115B"/>
    <w:rsid w:val="00A2125F"/>
    <w:rsid w:val="00A2130D"/>
    <w:rsid w:val="00A214E0"/>
    <w:rsid w:val="00A21A23"/>
    <w:rsid w:val="00A227E8"/>
    <w:rsid w:val="00A22881"/>
    <w:rsid w:val="00A228A4"/>
    <w:rsid w:val="00A22981"/>
    <w:rsid w:val="00A22BD1"/>
    <w:rsid w:val="00A22DF6"/>
    <w:rsid w:val="00A23196"/>
    <w:rsid w:val="00A231ED"/>
    <w:rsid w:val="00A2325B"/>
    <w:rsid w:val="00A23401"/>
    <w:rsid w:val="00A235FF"/>
    <w:rsid w:val="00A2373C"/>
    <w:rsid w:val="00A23870"/>
    <w:rsid w:val="00A239D1"/>
    <w:rsid w:val="00A23B0D"/>
    <w:rsid w:val="00A23C66"/>
    <w:rsid w:val="00A23D5A"/>
    <w:rsid w:val="00A23DF7"/>
    <w:rsid w:val="00A24036"/>
    <w:rsid w:val="00A2415B"/>
    <w:rsid w:val="00A242D3"/>
    <w:rsid w:val="00A242E7"/>
    <w:rsid w:val="00A2430F"/>
    <w:rsid w:val="00A24459"/>
    <w:rsid w:val="00A24486"/>
    <w:rsid w:val="00A245F2"/>
    <w:rsid w:val="00A247F4"/>
    <w:rsid w:val="00A24847"/>
    <w:rsid w:val="00A248BB"/>
    <w:rsid w:val="00A249A0"/>
    <w:rsid w:val="00A24A1F"/>
    <w:rsid w:val="00A24B42"/>
    <w:rsid w:val="00A24C5C"/>
    <w:rsid w:val="00A24E38"/>
    <w:rsid w:val="00A24F0F"/>
    <w:rsid w:val="00A24FBF"/>
    <w:rsid w:val="00A252A1"/>
    <w:rsid w:val="00A254B9"/>
    <w:rsid w:val="00A2563D"/>
    <w:rsid w:val="00A25824"/>
    <w:rsid w:val="00A25963"/>
    <w:rsid w:val="00A25AA8"/>
    <w:rsid w:val="00A25D2E"/>
    <w:rsid w:val="00A2609D"/>
    <w:rsid w:val="00A26658"/>
    <w:rsid w:val="00A266AF"/>
    <w:rsid w:val="00A267DD"/>
    <w:rsid w:val="00A268DE"/>
    <w:rsid w:val="00A26A77"/>
    <w:rsid w:val="00A27375"/>
    <w:rsid w:val="00A273BC"/>
    <w:rsid w:val="00A27402"/>
    <w:rsid w:val="00A2740F"/>
    <w:rsid w:val="00A2749F"/>
    <w:rsid w:val="00A27561"/>
    <w:rsid w:val="00A27983"/>
    <w:rsid w:val="00A27CF6"/>
    <w:rsid w:val="00A27FE3"/>
    <w:rsid w:val="00A3016E"/>
    <w:rsid w:val="00A30235"/>
    <w:rsid w:val="00A302C6"/>
    <w:rsid w:val="00A303BA"/>
    <w:rsid w:val="00A30413"/>
    <w:rsid w:val="00A30845"/>
    <w:rsid w:val="00A30856"/>
    <w:rsid w:val="00A309A8"/>
    <w:rsid w:val="00A30BDC"/>
    <w:rsid w:val="00A30C23"/>
    <w:rsid w:val="00A30F8A"/>
    <w:rsid w:val="00A3134C"/>
    <w:rsid w:val="00A31AD2"/>
    <w:rsid w:val="00A32103"/>
    <w:rsid w:val="00A3212A"/>
    <w:rsid w:val="00A321CF"/>
    <w:rsid w:val="00A327D4"/>
    <w:rsid w:val="00A32870"/>
    <w:rsid w:val="00A328BA"/>
    <w:rsid w:val="00A32A30"/>
    <w:rsid w:val="00A32AEA"/>
    <w:rsid w:val="00A32B5D"/>
    <w:rsid w:val="00A32C71"/>
    <w:rsid w:val="00A32D11"/>
    <w:rsid w:val="00A32EF8"/>
    <w:rsid w:val="00A33257"/>
    <w:rsid w:val="00A333E2"/>
    <w:rsid w:val="00A334A5"/>
    <w:rsid w:val="00A336FE"/>
    <w:rsid w:val="00A337E1"/>
    <w:rsid w:val="00A33BE4"/>
    <w:rsid w:val="00A33F8A"/>
    <w:rsid w:val="00A34228"/>
    <w:rsid w:val="00A34733"/>
    <w:rsid w:val="00A34817"/>
    <w:rsid w:val="00A34838"/>
    <w:rsid w:val="00A34A6E"/>
    <w:rsid w:val="00A34BFB"/>
    <w:rsid w:val="00A34CDF"/>
    <w:rsid w:val="00A34CE6"/>
    <w:rsid w:val="00A34D40"/>
    <w:rsid w:val="00A34DEC"/>
    <w:rsid w:val="00A35055"/>
    <w:rsid w:val="00A351A8"/>
    <w:rsid w:val="00A35866"/>
    <w:rsid w:val="00A35884"/>
    <w:rsid w:val="00A359D8"/>
    <w:rsid w:val="00A35BEC"/>
    <w:rsid w:val="00A35D11"/>
    <w:rsid w:val="00A35E63"/>
    <w:rsid w:val="00A35EDF"/>
    <w:rsid w:val="00A361B7"/>
    <w:rsid w:val="00A363D6"/>
    <w:rsid w:val="00A363FA"/>
    <w:rsid w:val="00A3646B"/>
    <w:rsid w:val="00A369AA"/>
    <w:rsid w:val="00A36CE4"/>
    <w:rsid w:val="00A36D0F"/>
    <w:rsid w:val="00A36D38"/>
    <w:rsid w:val="00A3731A"/>
    <w:rsid w:val="00A3731B"/>
    <w:rsid w:val="00A37553"/>
    <w:rsid w:val="00A37571"/>
    <w:rsid w:val="00A37713"/>
    <w:rsid w:val="00A37849"/>
    <w:rsid w:val="00A37A48"/>
    <w:rsid w:val="00A37AE8"/>
    <w:rsid w:val="00A37D88"/>
    <w:rsid w:val="00A37E59"/>
    <w:rsid w:val="00A40741"/>
    <w:rsid w:val="00A40AB0"/>
    <w:rsid w:val="00A40B49"/>
    <w:rsid w:val="00A40B73"/>
    <w:rsid w:val="00A40E02"/>
    <w:rsid w:val="00A41291"/>
    <w:rsid w:val="00A4151D"/>
    <w:rsid w:val="00A4153E"/>
    <w:rsid w:val="00A4162A"/>
    <w:rsid w:val="00A418A5"/>
    <w:rsid w:val="00A41922"/>
    <w:rsid w:val="00A41AF2"/>
    <w:rsid w:val="00A41BE2"/>
    <w:rsid w:val="00A41C0C"/>
    <w:rsid w:val="00A41D09"/>
    <w:rsid w:val="00A41FD2"/>
    <w:rsid w:val="00A42187"/>
    <w:rsid w:val="00A425F5"/>
    <w:rsid w:val="00A4276E"/>
    <w:rsid w:val="00A4278E"/>
    <w:rsid w:val="00A427FB"/>
    <w:rsid w:val="00A428BB"/>
    <w:rsid w:val="00A42CE1"/>
    <w:rsid w:val="00A42CEB"/>
    <w:rsid w:val="00A42D38"/>
    <w:rsid w:val="00A42D9B"/>
    <w:rsid w:val="00A42F04"/>
    <w:rsid w:val="00A42F7E"/>
    <w:rsid w:val="00A430C2"/>
    <w:rsid w:val="00A430CE"/>
    <w:rsid w:val="00A432B8"/>
    <w:rsid w:val="00A43460"/>
    <w:rsid w:val="00A439CF"/>
    <w:rsid w:val="00A43A85"/>
    <w:rsid w:val="00A43F6A"/>
    <w:rsid w:val="00A441D6"/>
    <w:rsid w:val="00A44253"/>
    <w:rsid w:val="00A4427C"/>
    <w:rsid w:val="00A44579"/>
    <w:rsid w:val="00A4469E"/>
    <w:rsid w:val="00A446CB"/>
    <w:rsid w:val="00A4487C"/>
    <w:rsid w:val="00A44951"/>
    <w:rsid w:val="00A449AA"/>
    <w:rsid w:val="00A44BCD"/>
    <w:rsid w:val="00A44E08"/>
    <w:rsid w:val="00A452A9"/>
    <w:rsid w:val="00A45580"/>
    <w:rsid w:val="00A45820"/>
    <w:rsid w:val="00A45B21"/>
    <w:rsid w:val="00A45F05"/>
    <w:rsid w:val="00A4616A"/>
    <w:rsid w:val="00A46687"/>
    <w:rsid w:val="00A46967"/>
    <w:rsid w:val="00A46971"/>
    <w:rsid w:val="00A46C1F"/>
    <w:rsid w:val="00A46C32"/>
    <w:rsid w:val="00A4705E"/>
    <w:rsid w:val="00A472C2"/>
    <w:rsid w:val="00A475D5"/>
    <w:rsid w:val="00A477CA"/>
    <w:rsid w:val="00A47E98"/>
    <w:rsid w:val="00A47F0E"/>
    <w:rsid w:val="00A503D5"/>
    <w:rsid w:val="00A5071B"/>
    <w:rsid w:val="00A50733"/>
    <w:rsid w:val="00A507C8"/>
    <w:rsid w:val="00A50807"/>
    <w:rsid w:val="00A50A11"/>
    <w:rsid w:val="00A50B72"/>
    <w:rsid w:val="00A50DF0"/>
    <w:rsid w:val="00A50E48"/>
    <w:rsid w:val="00A5104B"/>
    <w:rsid w:val="00A5132D"/>
    <w:rsid w:val="00A51407"/>
    <w:rsid w:val="00A5198B"/>
    <w:rsid w:val="00A51A47"/>
    <w:rsid w:val="00A51B05"/>
    <w:rsid w:val="00A51BB3"/>
    <w:rsid w:val="00A51D15"/>
    <w:rsid w:val="00A51E1D"/>
    <w:rsid w:val="00A51F7E"/>
    <w:rsid w:val="00A52019"/>
    <w:rsid w:val="00A52088"/>
    <w:rsid w:val="00A52300"/>
    <w:rsid w:val="00A52545"/>
    <w:rsid w:val="00A52566"/>
    <w:rsid w:val="00A527FA"/>
    <w:rsid w:val="00A52BDF"/>
    <w:rsid w:val="00A52C78"/>
    <w:rsid w:val="00A53145"/>
    <w:rsid w:val="00A53451"/>
    <w:rsid w:val="00A53503"/>
    <w:rsid w:val="00A53646"/>
    <w:rsid w:val="00A53B43"/>
    <w:rsid w:val="00A53B59"/>
    <w:rsid w:val="00A53EB4"/>
    <w:rsid w:val="00A5400D"/>
    <w:rsid w:val="00A5429D"/>
    <w:rsid w:val="00A54452"/>
    <w:rsid w:val="00A54742"/>
    <w:rsid w:val="00A54793"/>
    <w:rsid w:val="00A547A6"/>
    <w:rsid w:val="00A54C76"/>
    <w:rsid w:val="00A54E57"/>
    <w:rsid w:val="00A5505C"/>
    <w:rsid w:val="00A55142"/>
    <w:rsid w:val="00A5517C"/>
    <w:rsid w:val="00A551D2"/>
    <w:rsid w:val="00A555F7"/>
    <w:rsid w:val="00A55761"/>
    <w:rsid w:val="00A55861"/>
    <w:rsid w:val="00A55916"/>
    <w:rsid w:val="00A559B2"/>
    <w:rsid w:val="00A56122"/>
    <w:rsid w:val="00A564A1"/>
    <w:rsid w:val="00A564B6"/>
    <w:rsid w:val="00A5657B"/>
    <w:rsid w:val="00A567F8"/>
    <w:rsid w:val="00A56BAA"/>
    <w:rsid w:val="00A56C30"/>
    <w:rsid w:val="00A56CC2"/>
    <w:rsid w:val="00A5721A"/>
    <w:rsid w:val="00A57331"/>
    <w:rsid w:val="00A574AD"/>
    <w:rsid w:val="00A574CD"/>
    <w:rsid w:val="00A5789E"/>
    <w:rsid w:val="00A578D8"/>
    <w:rsid w:val="00A57C7B"/>
    <w:rsid w:val="00A57D21"/>
    <w:rsid w:val="00A60116"/>
    <w:rsid w:val="00A60224"/>
    <w:rsid w:val="00A60310"/>
    <w:rsid w:val="00A6067B"/>
    <w:rsid w:val="00A607E2"/>
    <w:rsid w:val="00A608E0"/>
    <w:rsid w:val="00A60981"/>
    <w:rsid w:val="00A60C7B"/>
    <w:rsid w:val="00A60C85"/>
    <w:rsid w:val="00A60F34"/>
    <w:rsid w:val="00A610D3"/>
    <w:rsid w:val="00A61159"/>
    <w:rsid w:val="00A61367"/>
    <w:rsid w:val="00A616D6"/>
    <w:rsid w:val="00A61B84"/>
    <w:rsid w:val="00A61B8D"/>
    <w:rsid w:val="00A61BDD"/>
    <w:rsid w:val="00A61D7E"/>
    <w:rsid w:val="00A62124"/>
    <w:rsid w:val="00A622BB"/>
    <w:rsid w:val="00A622E3"/>
    <w:rsid w:val="00A6234B"/>
    <w:rsid w:val="00A62419"/>
    <w:rsid w:val="00A62720"/>
    <w:rsid w:val="00A6275D"/>
    <w:rsid w:val="00A62798"/>
    <w:rsid w:val="00A6282A"/>
    <w:rsid w:val="00A628AD"/>
    <w:rsid w:val="00A628C7"/>
    <w:rsid w:val="00A62C31"/>
    <w:rsid w:val="00A630FC"/>
    <w:rsid w:val="00A6363A"/>
    <w:rsid w:val="00A637FA"/>
    <w:rsid w:val="00A639B6"/>
    <w:rsid w:val="00A63A9D"/>
    <w:rsid w:val="00A63ABD"/>
    <w:rsid w:val="00A63D6E"/>
    <w:rsid w:val="00A63F14"/>
    <w:rsid w:val="00A64335"/>
    <w:rsid w:val="00A64532"/>
    <w:rsid w:val="00A64595"/>
    <w:rsid w:val="00A64731"/>
    <w:rsid w:val="00A64AE7"/>
    <w:rsid w:val="00A64CC8"/>
    <w:rsid w:val="00A64EAF"/>
    <w:rsid w:val="00A652B9"/>
    <w:rsid w:val="00A653BE"/>
    <w:rsid w:val="00A656DF"/>
    <w:rsid w:val="00A6585E"/>
    <w:rsid w:val="00A659A4"/>
    <w:rsid w:val="00A65A10"/>
    <w:rsid w:val="00A65D08"/>
    <w:rsid w:val="00A65ED5"/>
    <w:rsid w:val="00A661E6"/>
    <w:rsid w:val="00A66221"/>
    <w:rsid w:val="00A663AE"/>
    <w:rsid w:val="00A66451"/>
    <w:rsid w:val="00A66649"/>
    <w:rsid w:val="00A66784"/>
    <w:rsid w:val="00A66C5B"/>
    <w:rsid w:val="00A66D12"/>
    <w:rsid w:val="00A66D9A"/>
    <w:rsid w:val="00A67206"/>
    <w:rsid w:val="00A672DC"/>
    <w:rsid w:val="00A676DE"/>
    <w:rsid w:val="00A67B94"/>
    <w:rsid w:val="00A67E13"/>
    <w:rsid w:val="00A70180"/>
    <w:rsid w:val="00A701FB"/>
    <w:rsid w:val="00A705DD"/>
    <w:rsid w:val="00A70AE8"/>
    <w:rsid w:val="00A70BFB"/>
    <w:rsid w:val="00A70C30"/>
    <w:rsid w:val="00A70DA8"/>
    <w:rsid w:val="00A70DCB"/>
    <w:rsid w:val="00A70E5E"/>
    <w:rsid w:val="00A70EEA"/>
    <w:rsid w:val="00A70F9D"/>
    <w:rsid w:val="00A71045"/>
    <w:rsid w:val="00A71370"/>
    <w:rsid w:val="00A715D6"/>
    <w:rsid w:val="00A715F5"/>
    <w:rsid w:val="00A71626"/>
    <w:rsid w:val="00A71716"/>
    <w:rsid w:val="00A7180D"/>
    <w:rsid w:val="00A71896"/>
    <w:rsid w:val="00A71C19"/>
    <w:rsid w:val="00A71E43"/>
    <w:rsid w:val="00A71EC6"/>
    <w:rsid w:val="00A72124"/>
    <w:rsid w:val="00A72480"/>
    <w:rsid w:val="00A72777"/>
    <w:rsid w:val="00A7280A"/>
    <w:rsid w:val="00A72944"/>
    <w:rsid w:val="00A72945"/>
    <w:rsid w:val="00A72A9C"/>
    <w:rsid w:val="00A72D3B"/>
    <w:rsid w:val="00A7329C"/>
    <w:rsid w:val="00A732F6"/>
    <w:rsid w:val="00A735FC"/>
    <w:rsid w:val="00A73F7C"/>
    <w:rsid w:val="00A74035"/>
    <w:rsid w:val="00A744AA"/>
    <w:rsid w:val="00A74762"/>
    <w:rsid w:val="00A74992"/>
    <w:rsid w:val="00A74DCA"/>
    <w:rsid w:val="00A752A8"/>
    <w:rsid w:val="00A7551F"/>
    <w:rsid w:val="00A75A51"/>
    <w:rsid w:val="00A75F54"/>
    <w:rsid w:val="00A7600B"/>
    <w:rsid w:val="00A76A5C"/>
    <w:rsid w:val="00A76C0C"/>
    <w:rsid w:val="00A76C36"/>
    <w:rsid w:val="00A76C6E"/>
    <w:rsid w:val="00A76D7C"/>
    <w:rsid w:val="00A77096"/>
    <w:rsid w:val="00A7749E"/>
    <w:rsid w:val="00A775EC"/>
    <w:rsid w:val="00A77682"/>
    <w:rsid w:val="00A776EF"/>
    <w:rsid w:val="00A77715"/>
    <w:rsid w:val="00A77722"/>
    <w:rsid w:val="00A7772C"/>
    <w:rsid w:val="00A77796"/>
    <w:rsid w:val="00A778D6"/>
    <w:rsid w:val="00A77B3E"/>
    <w:rsid w:val="00A77D2E"/>
    <w:rsid w:val="00A77E95"/>
    <w:rsid w:val="00A8051A"/>
    <w:rsid w:val="00A805A7"/>
    <w:rsid w:val="00A80612"/>
    <w:rsid w:val="00A80827"/>
    <w:rsid w:val="00A80B8E"/>
    <w:rsid w:val="00A80BE2"/>
    <w:rsid w:val="00A80BE7"/>
    <w:rsid w:val="00A80C17"/>
    <w:rsid w:val="00A80CB1"/>
    <w:rsid w:val="00A80CD7"/>
    <w:rsid w:val="00A80D4A"/>
    <w:rsid w:val="00A80EF6"/>
    <w:rsid w:val="00A80F22"/>
    <w:rsid w:val="00A811DB"/>
    <w:rsid w:val="00A814E8"/>
    <w:rsid w:val="00A81546"/>
    <w:rsid w:val="00A81694"/>
    <w:rsid w:val="00A816E4"/>
    <w:rsid w:val="00A819AD"/>
    <w:rsid w:val="00A81EB2"/>
    <w:rsid w:val="00A8245C"/>
    <w:rsid w:val="00A82896"/>
    <w:rsid w:val="00A828A9"/>
    <w:rsid w:val="00A82B4B"/>
    <w:rsid w:val="00A82CB3"/>
    <w:rsid w:val="00A82F3D"/>
    <w:rsid w:val="00A82FD4"/>
    <w:rsid w:val="00A830B8"/>
    <w:rsid w:val="00A83233"/>
    <w:rsid w:val="00A83272"/>
    <w:rsid w:val="00A83411"/>
    <w:rsid w:val="00A835F1"/>
    <w:rsid w:val="00A839A6"/>
    <w:rsid w:val="00A83A9C"/>
    <w:rsid w:val="00A83CEB"/>
    <w:rsid w:val="00A83F64"/>
    <w:rsid w:val="00A8419D"/>
    <w:rsid w:val="00A847B5"/>
    <w:rsid w:val="00A84852"/>
    <w:rsid w:val="00A84858"/>
    <w:rsid w:val="00A84918"/>
    <w:rsid w:val="00A84994"/>
    <w:rsid w:val="00A84A84"/>
    <w:rsid w:val="00A84CB3"/>
    <w:rsid w:val="00A84CC9"/>
    <w:rsid w:val="00A84E31"/>
    <w:rsid w:val="00A857BA"/>
    <w:rsid w:val="00A85873"/>
    <w:rsid w:val="00A8593F"/>
    <w:rsid w:val="00A85B2F"/>
    <w:rsid w:val="00A86118"/>
    <w:rsid w:val="00A86299"/>
    <w:rsid w:val="00A86441"/>
    <w:rsid w:val="00A8698B"/>
    <w:rsid w:val="00A86A4D"/>
    <w:rsid w:val="00A86A83"/>
    <w:rsid w:val="00A86B0A"/>
    <w:rsid w:val="00A86BAF"/>
    <w:rsid w:val="00A86D29"/>
    <w:rsid w:val="00A872BB"/>
    <w:rsid w:val="00A874F6"/>
    <w:rsid w:val="00A87721"/>
    <w:rsid w:val="00A87905"/>
    <w:rsid w:val="00A87987"/>
    <w:rsid w:val="00A900A7"/>
    <w:rsid w:val="00A902B9"/>
    <w:rsid w:val="00A90475"/>
    <w:rsid w:val="00A90524"/>
    <w:rsid w:val="00A9078E"/>
    <w:rsid w:val="00A9090B"/>
    <w:rsid w:val="00A9092C"/>
    <w:rsid w:val="00A90AEB"/>
    <w:rsid w:val="00A90AED"/>
    <w:rsid w:val="00A90B4E"/>
    <w:rsid w:val="00A90B8C"/>
    <w:rsid w:val="00A90DC6"/>
    <w:rsid w:val="00A91333"/>
    <w:rsid w:val="00A916BC"/>
    <w:rsid w:val="00A91AE5"/>
    <w:rsid w:val="00A91C48"/>
    <w:rsid w:val="00A91E1B"/>
    <w:rsid w:val="00A91F3D"/>
    <w:rsid w:val="00A91F89"/>
    <w:rsid w:val="00A92028"/>
    <w:rsid w:val="00A920DA"/>
    <w:rsid w:val="00A92386"/>
    <w:rsid w:val="00A92444"/>
    <w:rsid w:val="00A9246B"/>
    <w:rsid w:val="00A926EC"/>
    <w:rsid w:val="00A92708"/>
    <w:rsid w:val="00A92742"/>
    <w:rsid w:val="00A92B32"/>
    <w:rsid w:val="00A92B35"/>
    <w:rsid w:val="00A92CFF"/>
    <w:rsid w:val="00A9303C"/>
    <w:rsid w:val="00A935B3"/>
    <w:rsid w:val="00A93B3F"/>
    <w:rsid w:val="00A93EEB"/>
    <w:rsid w:val="00A93F1E"/>
    <w:rsid w:val="00A9414A"/>
    <w:rsid w:val="00A943C9"/>
    <w:rsid w:val="00A945D9"/>
    <w:rsid w:val="00A946C3"/>
    <w:rsid w:val="00A953E8"/>
    <w:rsid w:val="00A95712"/>
    <w:rsid w:val="00A957B9"/>
    <w:rsid w:val="00A95C88"/>
    <w:rsid w:val="00A9624E"/>
    <w:rsid w:val="00A96289"/>
    <w:rsid w:val="00A96388"/>
    <w:rsid w:val="00A963B6"/>
    <w:rsid w:val="00A9669E"/>
    <w:rsid w:val="00A966AD"/>
    <w:rsid w:val="00A967A8"/>
    <w:rsid w:val="00A967DB"/>
    <w:rsid w:val="00A96833"/>
    <w:rsid w:val="00A9689B"/>
    <w:rsid w:val="00A969A1"/>
    <w:rsid w:val="00A96A8D"/>
    <w:rsid w:val="00A96BEB"/>
    <w:rsid w:val="00A96DB9"/>
    <w:rsid w:val="00A96DD1"/>
    <w:rsid w:val="00A96F25"/>
    <w:rsid w:val="00A96F94"/>
    <w:rsid w:val="00A970B0"/>
    <w:rsid w:val="00A97280"/>
    <w:rsid w:val="00A97286"/>
    <w:rsid w:val="00A97383"/>
    <w:rsid w:val="00A9741B"/>
    <w:rsid w:val="00A978CF"/>
    <w:rsid w:val="00A97D15"/>
    <w:rsid w:val="00AA0025"/>
    <w:rsid w:val="00AA00CA"/>
    <w:rsid w:val="00AA031F"/>
    <w:rsid w:val="00AA0442"/>
    <w:rsid w:val="00AA0452"/>
    <w:rsid w:val="00AA074F"/>
    <w:rsid w:val="00AA092A"/>
    <w:rsid w:val="00AA0C97"/>
    <w:rsid w:val="00AA0ED4"/>
    <w:rsid w:val="00AA11E8"/>
    <w:rsid w:val="00AA1404"/>
    <w:rsid w:val="00AA1478"/>
    <w:rsid w:val="00AA18C0"/>
    <w:rsid w:val="00AA1ADE"/>
    <w:rsid w:val="00AA1B58"/>
    <w:rsid w:val="00AA1BE8"/>
    <w:rsid w:val="00AA1D7A"/>
    <w:rsid w:val="00AA1D90"/>
    <w:rsid w:val="00AA2240"/>
    <w:rsid w:val="00AA2330"/>
    <w:rsid w:val="00AA2442"/>
    <w:rsid w:val="00AA2498"/>
    <w:rsid w:val="00AA2945"/>
    <w:rsid w:val="00AA2B68"/>
    <w:rsid w:val="00AA2C4A"/>
    <w:rsid w:val="00AA2E9A"/>
    <w:rsid w:val="00AA2EEE"/>
    <w:rsid w:val="00AA2FCC"/>
    <w:rsid w:val="00AA3058"/>
    <w:rsid w:val="00AA30B4"/>
    <w:rsid w:val="00AA3152"/>
    <w:rsid w:val="00AA32CF"/>
    <w:rsid w:val="00AA3A1E"/>
    <w:rsid w:val="00AA3A23"/>
    <w:rsid w:val="00AA3BAF"/>
    <w:rsid w:val="00AA3C1D"/>
    <w:rsid w:val="00AA3ED9"/>
    <w:rsid w:val="00AA3FF0"/>
    <w:rsid w:val="00AA4294"/>
    <w:rsid w:val="00AA434B"/>
    <w:rsid w:val="00AA4C17"/>
    <w:rsid w:val="00AA4C32"/>
    <w:rsid w:val="00AA4F1E"/>
    <w:rsid w:val="00AA5228"/>
    <w:rsid w:val="00AA5250"/>
    <w:rsid w:val="00AA565D"/>
    <w:rsid w:val="00AA592A"/>
    <w:rsid w:val="00AA59F9"/>
    <w:rsid w:val="00AA5D7B"/>
    <w:rsid w:val="00AA5DF2"/>
    <w:rsid w:val="00AA5E4A"/>
    <w:rsid w:val="00AA5FCD"/>
    <w:rsid w:val="00AA617F"/>
    <w:rsid w:val="00AA66A4"/>
    <w:rsid w:val="00AA6829"/>
    <w:rsid w:val="00AA6A34"/>
    <w:rsid w:val="00AA6ACC"/>
    <w:rsid w:val="00AA6BF7"/>
    <w:rsid w:val="00AA6F0C"/>
    <w:rsid w:val="00AA703F"/>
    <w:rsid w:val="00AA72EF"/>
    <w:rsid w:val="00AA7336"/>
    <w:rsid w:val="00AA7FFB"/>
    <w:rsid w:val="00AB04EF"/>
    <w:rsid w:val="00AB0871"/>
    <w:rsid w:val="00AB0B0D"/>
    <w:rsid w:val="00AB0D22"/>
    <w:rsid w:val="00AB0F57"/>
    <w:rsid w:val="00AB0FE4"/>
    <w:rsid w:val="00AB102C"/>
    <w:rsid w:val="00AB12AF"/>
    <w:rsid w:val="00AB156A"/>
    <w:rsid w:val="00AB192F"/>
    <w:rsid w:val="00AB1A2F"/>
    <w:rsid w:val="00AB1A8A"/>
    <w:rsid w:val="00AB1E1F"/>
    <w:rsid w:val="00AB1E43"/>
    <w:rsid w:val="00AB20D7"/>
    <w:rsid w:val="00AB236F"/>
    <w:rsid w:val="00AB2494"/>
    <w:rsid w:val="00AB2BC4"/>
    <w:rsid w:val="00AB2CF1"/>
    <w:rsid w:val="00AB2D64"/>
    <w:rsid w:val="00AB2F58"/>
    <w:rsid w:val="00AB3123"/>
    <w:rsid w:val="00AB31D9"/>
    <w:rsid w:val="00AB3384"/>
    <w:rsid w:val="00AB3415"/>
    <w:rsid w:val="00AB3573"/>
    <w:rsid w:val="00AB36F9"/>
    <w:rsid w:val="00AB375F"/>
    <w:rsid w:val="00AB377F"/>
    <w:rsid w:val="00AB3B98"/>
    <w:rsid w:val="00AB3CF3"/>
    <w:rsid w:val="00AB3DF0"/>
    <w:rsid w:val="00AB40B7"/>
    <w:rsid w:val="00AB423D"/>
    <w:rsid w:val="00AB47FF"/>
    <w:rsid w:val="00AB4916"/>
    <w:rsid w:val="00AB4AB6"/>
    <w:rsid w:val="00AB4AFB"/>
    <w:rsid w:val="00AB522E"/>
    <w:rsid w:val="00AB5279"/>
    <w:rsid w:val="00AB532B"/>
    <w:rsid w:val="00AB54A0"/>
    <w:rsid w:val="00AB5924"/>
    <w:rsid w:val="00AB5A28"/>
    <w:rsid w:val="00AB5B50"/>
    <w:rsid w:val="00AB5EDF"/>
    <w:rsid w:val="00AB6150"/>
    <w:rsid w:val="00AB6485"/>
    <w:rsid w:val="00AB64F8"/>
    <w:rsid w:val="00AB66DA"/>
    <w:rsid w:val="00AB6B89"/>
    <w:rsid w:val="00AB6F5D"/>
    <w:rsid w:val="00AB6FAB"/>
    <w:rsid w:val="00AB71AE"/>
    <w:rsid w:val="00AB722C"/>
    <w:rsid w:val="00AB72C2"/>
    <w:rsid w:val="00AB73FD"/>
    <w:rsid w:val="00AB7450"/>
    <w:rsid w:val="00AB74FC"/>
    <w:rsid w:val="00AB76E3"/>
    <w:rsid w:val="00AB7A45"/>
    <w:rsid w:val="00AB7BF4"/>
    <w:rsid w:val="00AB7D0A"/>
    <w:rsid w:val="00AC020B"/>
    <w:rsid w:val="00AC06A7"/>
    <w:rsid w:val="00AC08C7"/>
    <w:rsid w:val="00AC0B92"/>
    <w:rsid w:val="00AC0FB7"/>
    <w:rsid w:val="00AC1227"/>
    <w:rsid w:val="00AC13ED"/>
    <w:rsid w:val="00AC15C5"/>
    <w:rsid w:val="00AC185B"/>
    <w:rsid w:val="00AC19FE"/>
    <w:rsid w:val="00AC1A35"/>
    <w:rsid w:val="00AC1D55"/>
    <w:rsid w:val="00AC1F65"/>
    <w:rsid w:val="00AC2292"/>
    <w:rsid w:val="00AC2445"/>
    <w:rsid w:val="00AC2619"/>
    <w:rsid w:val="00AC2A74"/>
    <w:rsid w:val="00AC2F95"/>
    <w:rsid w:val="00AC2FB7"/>
    <w:rsid w:val="00AC31C2"/>
    <w:rsid w:val="00AC322E"/>
    <w:rsid w:val="00AC3453"/>
    <w:rsid w:val="00AC3502"/>
    <w:rsid w:val="00AC3541"/>
    <w:rsid w:val="00AC355F"/>
    <w:rsid w:val="00AC3A98"/>
    <w:rsid w:val="00AC3B7D"/>
    <w:rsid w:val="00AC3E9D"/>
    <w:rsid w:val="00AC40D7"/>
    <w:rsid w:val="00AC424F"/>
    <w:rsid w:val="00AC4256"/>
    <w:rsid w:val="00AC4558"/>
    <w:rsid w:val="00AC4778"/>
    <w:rsid w:val="00AC48BE"/>
    <w:rsid w:val="00AC48C7"/>
    <w:rsid w:val="00AC49AE"/>
    <w:rsid w:val="00AC4DC3"/>
    <w:rsid w:val="00AC4F95"/>
    <w:rsid w:val="00AC5412"/>
    <w:rsid w:val="00AC5A07"/>
    <w:rsid w:val="00AC5EB5"/>
    <w:rsid w:val="00AC5EEB"/>
    <w:rsid w:val="00AC5F29"/>
    <w:rsid w:val="00AC60BB"/>
    <w:rsid w:val="00AC6360"/>
    <w:rsid w:val="00AC64EA"/>
    <w:rsid w:val="00AC656B"/>
    <w:rsid w:val="00AC6629"/>
    <w:rsid w:val="00AC6C55"/>
    <w:rsid w:val="00AC6CD5"/>
    <w:rsid w:val="00AC7082"/>
    <w:rsid w:val="00AC7860"/>
    <w:rsid w:val="00AC7A6A"/>
    <w:rsid w:val="00AC7A75"/>
    <w:rsid w:val="00AC7C30"/>
    <w:rsid w:val="00AD0435"/>
    <w:rsid w:val="00AD0518"/>
    <w:rsid w:val="00AD0565"/>
    <w:rsid w:val="00AD0732"/>
    <w:rsid w:val="00AD09CE"/>
    <w:rsid w:val="00AD0C5E"/>
    <w:rsid w:val="00AD0E5B"/>
    <w:rsid w:val="00AD129E"/>
    <w:rsid w:val="00AD148B"/>
    <w:rsid w:val="00AD19BB"/>
    <w:rsid w:val="00AD1A03"/>
    <w:rsid w:val="00AD2390"/>
    <w:rsid w:val="00AD260F"/>
    <w:rsid w:val="00AD29E1"/>
    <w:rsid w:val="00AD2E5D"/>
    <w:rsid w:val="00AD3106"/>
    <w:rsid w:val="00AD34C2"/>
    <w:rsid w:val="00AD3581"/>
    <w:rsid w:val="00AD382A"/>
    <w:rsid w:val="00AD3A78"/>
    <w:rsid w:val="00AD3A98"/>
    <w:rsid w:val="00AD4113"/>
    <w:rsid w:val="00AD4196"/>
    <w:rsid w:val="00AD4540"/>
    <w:rsid w:val="00AD483C"/>
    <w:rsid w:val="00AD49A0"/>
    <w:rsid w:val="00AD4B87"/>
    <w:rsid w:val="00AD4D06"/>
    <w:rsid w:val="00AD5000"/>
    <w:rsid w:val="00AD502F"/>
    <w:rsid w:val="00AD50DE"/>
    <w:rsid w:val="00AD53F8"/>
    <w:rsid w:val="00AD56C3"/>
    <w:rsid w:val="00AD56ED"/>
    <w:rsid w:val="00AD5B29"/>
    <w:rsid w:val="00AD5E3C"/>
    <w:rsid w:val="00AD6071"/>
    <w:rsid w:val="00AD6291"/>
    <w:rsid w:val="00AD62A2"/>
    <w:rsid w:val="00AD63E2"/>
    <w:rsid w:val="00AD6526"/>
    <w:rsid w:val="00AD66EF"/>
    <w:rsid w:val="00AD6F92"/>
    <w:rsid w:val="00AD7020"/>
    <w:rsid w:val="00AD7026"/>
    <w:rsid w:val="00AD7105"/>
    <w:rsid w:val="00AD7804"/>
    <w:rsid w:val="00AD78D6"/>
    <w:rsid w:val="00AD78EE"/>
    <w:rsid w:val="00AD7B92"/>
    <w:rsid w:val="00AD7BF3"/>
    <w:rsid w:val="00AD7C2B"/>
    <w:rsid w:val="00AD7EB7"/>
    <w:rsid w:val="00AD7EDE"/>
    <w:rsid w:val="00AE009D"/>
    <w:rsid w:val="00AE00E7"/>
    <w:rsid w:val="00AE0261"/>
    <w:rsid w:val="00AE042D"/>
    <w:rsid w:val="00AE044B"/>
    <w:rsid w:val="00AE049F"/>
    <w:rsid w:val="00AE050D"/>
    <w:rsid w:val="00AE087E"/>
    <w:rsid w:val="00AE08A6"/>
    <w:rsid w:val="00AE090D"/>
    <w:rsid w:val="00AE0DF7"/>
    <w:rsid w:val="00AE0FC9"/>
    <w:rsid w:val="00AE1352"/>
    <w:rsid w:val="00AE13AA"/>
    <w:rsid w:val="00AE19FF"/>
    <w:rsid w:val="00AE1A14"/>
    <w:rsid w:val="00AE1B69"/>
    <w:rsid w:val="00AE1FF6"/>
    <w:rsid w:val="00AE20B5"/>
    <w:rsid w:val="00AE2186"/>
    <w:rsid w:val="00AE2320"/>
    <w:rsid w:val="00AE2648"/>
    <w:rsid w:val="00AE270E"/>
    <w:rsid w:val="00AE27E8"/>
    <w:rsid w:val="00AE2DBD"/>
    <w:rsid w:val="00AE2E35"/>
    <w:rsid w:val="00AE33B2"/>
    <w:rsid w:val="00AE349B"/>
    <w:rsid w:val="00AE37B3"/>
    <w:rsid w:val="00AE387A"/>
    <w:rsid w:val="00AE38BE"/>
    <w:rsid w:val="00AE392C"/>
    <w:rsid w:val="00AE4297"/>
    <w:rsid w:val="00AE42CA"/>
    <w:rsid w:val="00AE43EC"/>
    <w:rsid w:val="00AE4640"/>
    <w:rsid w:val="00AE4CD0"/>
    <w:rsid w:val="00AE4DD3"/>
    <w:rsid w:val="00AE4E35"/>
    <w:rsid w:val="00AE5200"/>
    <w:rsid w:val="00AE53EE"/>
    <w:rsid w:val="00AE54E6"/>
    <w:rsid w:val="00AE571F"/>
    <w:rsid w:val="00AE574F"/>
    <w:rsid w:val="00AE5A9F"/>
    <w:rsid w:val="00AE5C05"/>
    <w:rsid w:val="00AE5C1F"/>
    <w:rsid w:val="00AE5CC7"/>
    <w:rsid w:val="00AE5CC8"/>
    <w:rsid w:val="00AE5CFD"/>
    <w:rsid w:val="00AE5E44"/>
    <w:rsid w:val="00AE6093"/>
    <w:rsid w:val="00AE60C5"/>
    <w:rsid w:val="00AE6358"/>
    <w:rsid w:val="00AE66CF"/>
    <w:rsid w:val="00AE68B5"/>
    <w:rsid w:val="00AE6901"/>
    <w:rsid w:val="00AE6AAF"/>
    <w:rsid w:val="00AE6ABA"/>
    <w:rsid w:val="00AE6B11"/>
    <w:rsid w:val="00AE6C6A"/>
    <w:rsid w:val="00AE6CEE"/>
    <w:rsid w:val="00AE732E"/>
    <w:rsid w:val="00AE7331"/>
    <w:rsid w:val="00AE7403"/>
    <w:rsid w:val="00AE7A43"/>
    <w:rsid w:val="00AE7C87"/>
    <w:rsid w:val="00AE7E96"/>
    <w:rsid w:val="00AF0314"/>
    <w:rsid w:val="00AF0342"/>
    <w:rsid w:val="00AF0629"/>
    <w:rsid w:val="00AF08A8"/>
    <w:rsid w:val="00AF08D5"/>
    <w:rsid w:val="00AF0CF3"/>
    <w:rsid w:val="00AF1357"/>
    <w:rsid w:val="00AF1361"/>
    <w:rsid w:val="00AF13A7"/>
    <w:rsid w:val="00AF13FB"/>
    <w:rsid w:val="00AF185F"/>
    <w:rsid w:val="00AF1886"/>
    <w:rsid w:val="00AF1A57"/>
    <w:rsid w:val="00AF1CE3"/>
    <w:rsid w:val="00AF1DE4"/>
    <w:rsid w:val="00AF23D1"/>
    <w:rsid w:val="00AF27D9"/>
    <w:rsid w:val="00AF282C"/>
    <w:rsid w:val="00AF283B"/>
    <w:rsid w:val="00AF2DBE"/>
    <w:rsid w:val="00AF2E39"/>
    <w:rsid w:val="00AF2E5D"/>
    <w:rsid w:val="00AF372A"/>
    <w:rsid w:val="00AF389C"/>
    <w:rsid w:val="00AF3A03"/>
    <w:rsid w:val="00AF3F41"/>
    <w:rsid w:val="00AF40AE"/>
    <w:rsid w:val="00AF4109"/>
    <w:rsid w:val="00AF4354"/>
    <w:rsid w:val="00AF4530"/>
    <w:rsid w:val="00AF4894"/>
    <w:rsid w:val="00AF48D1"/>
    <w:rsid w:val="00AF4D9D"/>
    <w:rsid w:val="00AF4FEB"/>
    <w:rsid w:val="00AF5090"/>
    <w:rsid w:val="00AF5439"/>
    <w:rsid w:val="00AF54B2"/>
    <w:rsid w:val="00AF55EE"/>
    <w:rsid w:val="00AF5881"/>
    <w:rsid w:val="00AF5A33"/>
    <w:rsid w:val="00AF5AFD"/>
    <w:rsid w:val="00AF5B87"/>
    <w:rsid w:val="00AF5C25"/>
    <w:rsid w:val="00AF5CB4"/>
    <w:rsid w:val="00AF5D48"/>
    <w:rsid w:val="00AF5D76"/>
    <w:rsid w:val="00AF63AE"/>
    <w:rsid w:val="00AF646F"/>
    <w:rsid w:val="00AF68F5"/>
    <w:rsid w:val="00AF6933"/>
    <w:rsid w:val="00AF69F6"/>
    <w:rsid w:val="00AF6C36"/>
    <w:rsid w:val="00AF6D4A"/>
    <w:rsid w:val="00AF7406"/>
    <w:rsid w:val="00AF7578"/>
    <w:rsid w:val="00AF75BD"/>
    <w:rsid w:val="00AF7815"/>
    <w:rsid w:val="00AF7B40"/>
    <w:rsid w:val="00AF7C79"/>
    <w:rsid w:val="00AF7E18"/>
    <w:rsid w:val="00B000DC"/>
    <w:rsid w:val="00B00758"/>
    <w:rsid w:val="00B00780"/>
    <w:rsid w:val="00B00903"/>
    <w:rsid w:val="00B00989"/>
    <w:rsid w:val="00B00B31"/>
    <w:rsid w:val="00B00E92"/>
    <w:rsid w:val="00B01122"/>
    <w:rsid w:val="00B012F1"/>
    <w:rsid w:val="00B013C4"/>
    <w:rsid w:val="00B015AA"/>
    <w:rsid w:val="00B01651"/>
    <w:rsid w:val="00B01735"/>
    <w:rsid w:val="00B0180C"/>
    <w:rsid w:val="00B0195B"/>
    <w:rsid w:val="00B01B0A"/>
    <w:rsid w:val="00B01E11"/>
    <w:rsid w:val="00B01E85"/>
    <w:rsid w:val="00B01EDB"/>
    <w:rsid w:val="00B0205B"/>
    <w:rsid w:val="00B02A6E"/>
    <w:rsid w:val="00B02AE9"/>
    <w:rsid w:val="00B02B75"/>
    <w:rsid w:val="00B02D09"/>
    <w:rsid w:val="00B03511"/>
    <w:rsid w:val="00B035A7"/>
    <w:rsid w:val="00B037FA"/>
    <w:rsid w:val="00B03F6A"/>
    <w:rsid w:val="00B040E2"/>
    <w:rsid w:val="00B04112"/>
    <w:rsid w:val="00B042AC"/>
    <w:rsid w:val="00B0439D"/>
    <w:rsid w:val="00B0456C"/>
    <w:rsid w:val="00B04864"/>
    <w:rsid w:val="00B04B9B"/>
    <w:rsid w:val="00B04DFC"/>
    <w:rsid w:val="00B0529B"/>
    <w:rsid w:val="00B0531E"/>
    <w:rsid w:val="00B058B4"/>
    <w:rsid w:val="00B05B58"/>
    <w:rsid w:val="00B05CF6"/>
    <w:rsid w:val="00B05E3C"/>
    <w:rsid w:val="00B05E54"/>
    <w:rsid w:val="00B06089"/>
    <w:rsid w:val="00B065F2"/>
    <w:rsid w:val="00B065F7"/>
    <w:rsid w:val="00B06613"/>
    <w:rsid w:val="00B06B58"/>
    <w:rsid w:val="00B06CBC"/>
    <w:rsid w:val="00B06E0E"/>
    <w:rsid w:val="00B0720D"/>
    <w:rsid w:val="00B072F3"/>
    <w:rsid w:val="00B073D9"/>
    <w:rsid w:val="00B07A70"/>
    <w:rsid w:val="00B07AC5"/>
    <w:rsid w:val="00B07E98"/>
    <w:rsid w:val="00B07FC7"/>
    <w:rsid w:val="00B10347"/>
    <w:rsid w:val="00B105AD"/>
    <w:rsid w:val="00B10AE2"/>
    <w:rsid w:val="00B10DE1"/>
    <w:rsid w:val="00B10E6D"/>
    <w:rsid w:val="00B117A0"/>
    <w:rsid w:val="00B11873"/>
    <w:rsid w:val="00B1203C"/>
    <w:rsid w:val="00B120D7"/>
    <w:rsid w:val="00B12216"/>
    <w:rsid w:val="00B1230A"/>
    <w:rsid w:val="00B1232F"/>
    <w:rsid w:val="00B12368"/>
    <w:rsid w:val="00B12473"/>
    <w:rsid w:val="00B126DD"/>
    <w:rsid w:val="00B127F0"/>
    <w:rsid w:val="00B129C1"/>
    <w:rsid w:val="00B12A5A"/>
    <w:rsid w:val="00B12A99"/>
    <w:rsid w:val="00B13477"/>
    <w:rsid w:val="00B139A4"/>
    <w:rsid w:val="00B13CF7"/>
    <w:rsid w:val="00B13CFA"/>
    <w:rsid w:val="00B13F34"/>
    <w:rsid w:val="00B14246"/>
    <w:rsid w:val="00B1454C"/>
    <w:rsid w:val="00B1491E"/>
    <w:rsid w:val="00B14A7D"/>
    <w:rsid w:val="00B14F1E"/>
    <w:rsid w:val="00B14FAC"/>
    <w:rsid w:val="00B15432"/>
    <w:rsid w:val="00B1557E"/>
    <w:rsid w:val="00B1578C"/>
    <w:rsid w:val="00B158DA"/>
    <w:rsid w:val="00B15BCD"/>
    <w:rsid w:val="00B15D9F"/>
    <w:rsid w:val="00B15E10"/>
    <w:rsid w:val="00B160E3"/>
    <w:rsid w:val="00B16436"/>
    <w:rsid w:val="00B1661C"/>
    <w:rsid w:val="00B16656"/>
    <w:rsid w:val="00B16685"/>
    <w:rsid w:val="00B1676D"/>
    <w:rsid w:val="00B16F57"/>
    <w:rsid w:val="00B170DF"/>
    <w:rsid w:val="00B173DF"/>
    <w:rsid w:val="00B174C1"/>
    <w:rsid w:val="00B1761E"/>
    <w:rsid w:val="00B176FD"/>
    <w:rsid w:val="00B177BA"/>
    <w:rsid w:val="00B1792F"/>
    <w:rsid w:val="00B17CDF"/>
    <w:rsid w:val="00B17D3E"/>
    <w:rsid w:val="00B17DF8"/>
    <w:rsid w:val="00B203FB"/>
    <w:rsid w:val="00B204BC"/>
    <w:rsid w:val="00B20679"/>
    <w:rsid w:val="00B2071C"/>
    <w:rsid w:val="00B20A5D"/>
    <w:rsid w:val="00B20B1B"/>
    <w:rsid w:val="00B20D6B"/>
    <w:rsid w:val="00B20ED1"/>
    <w:rsid w:val="00B21315"/>
    <w:rsid w:val="00B21821"/>
    <w:rsid w:val="00B2203C"/>
    <w:rsid w:val="00B22630"/>
    <w:rsid w:val="00B22736"/>
    <w:rsid w:val="00B227E8"/>
    <w:rsid w:val="00B23079"/>
    <w:rsid w:val="00B23083"/>
    <w:rsid w:val="00B23871"/>
    <w:rsid w:val="00B23C48"/>
    <w:rsid w:val="00B23D3B"/>
    <w:rsid w:val="00B23E21"/>
    <w:rsid w:val="00B241A9"/>
    <w:rsid w:val="00B24227"/>
    <w:rsid w:val="00B2426E"/>
    <w:rsid w:val="00B24360"/>
    <w:rsid w:val="00B2447E"/>
    <w:rsid w:val="00B24BAC"/>
    <w:rsid w:val="00B24D30"/>
    <w:rsid w:val="00B24F7C"/>
    <w:rsid w:val="00B251DC"/>
    <w:rsid w:val="00B252DF"/>
    <w:rsid w:val="00B253BA"/>
    <w:rsid w:val="00B254A2"/>
    <w:rsid w:val="00B25837"/>
    <w:rsid w:val="00B259E0"/>
    <w:rsid w:val="00B25A03"/>
    <w:rsid w:val="00B25A27"/>
    <w:rsid w:val="00B25BA9"/>
    <w:rsid w:val="00B260E1"/>
    <w:rsid w:val="00B2625D"/>
    <w:rsid w:val="00B263CA"/>
    <w:rsid w:val="00B265C5"/>
    <w:rsid w:val="00B265DE"/>
    <w:rsid w:val="00B267A6"/>
    <w:rsid w:val="00B268A8"/>
    <w:rsid w:val="00B26AC0"/>
    <w:rsid w:val="00B26BDA"/>
    <w:rsid w:val="00B26C0F"/>
    <w:rsid w:val="00B26EC9"/>
    <w:rsid w:val="00B26EF0"/>
    <w:rsid w:val="00B26FE6"/>
    <w:rsid w:val="00B2767A"/>
    <w:rsid w:val="00B278CC"/>
    <w:rsid w:val="00B27B4E"/>
    <w:rsid w:val="00B27B76"/>
    <w:rsid w:val="00B30179"/>
    <w:rsid w:val="00B30219"/>
    <w:rsid w:val="00B304F7"/>
    <w:rsid w:val="00B30AFC"/>
    <w:rsid w:val="00B30EC3"/>
    <w:rsid w:val="00B3105F"/>
    <w:rsid w:val="00B31103"/>
    <w:rsid w:val="00B3120B"/>
    <w:rsid w:val="00B314D6"/>
    <w:rsid w:val="00B31507"/>
    <w:rsid w:val="00B318EA"/>
    <w:rsid w:val="00B32024"/>
    <w:rsid w:val="00B324C2"/>
    <w:rsid w:val="00B326D3"/>
    <w:rsid w:val="00B32775"/>
    <w:rsid w:val="00B32968"/>
    <w:rsid w:val="00B32A83"/>
    <w:rsid w:val="00B32D0A"/>
    <w:rsid w:val="00B32E6B"/>
    <w:rsid w:val="00B330AF"/>
    <w:rsid w:val="00B336D3"/>
    <w:rsid w:val="00B336E5"/>
    <w:rsid w:val="00B338FC"/>
    <w:rsid w:val="00B33923"/>
    <w:rsid w:val="00B33941"/>
    <w:rsid w:val="00B33C07"/>
    <w:rsid w:val="00B33DC6"/>
    <w:rsid w:val="00B34066"/>
    <w:rsid w:val="00B341BF"/>
    <w:rsid w:val="00B3424B"/>
    <w:rsid w:val="00B344F4"/>
    <w:rsid w:val="00B34AD2"/>
    <w:rsid w:val="00B34B0A"/>
    <w:rsid w:val="00B34DF5"/>
    <w:rsid w:val="00B34EC3"/>
    <w:rsid w:val="00B35113"/>
    <w:rsid w:val="00B3544E"/>
    <w:rsid w:val="00B35664"/>
    <w:rsid w:val="00B357D3"/>
    <w:rsid w:val="00B35DC9"/>
    <w:rsid w:val="00B35F23"/>
    <w:rsid w:val="00B36026"/>
    <w:rsid w:val="00B360BF"/>
    <w:rsid w:val="00B363A3"/>
    <w:rsid w:val="00B36439"/>
    <w:rsid w:val="00B36468"/>
    <w:rsid w:val="00B36660"/>
    <w:rsid w:val="00B366B4"/>
    <w:rsid w:val="00B3691A"/>
    <w:rsid w:val="00B36B33"/>
    <w:rsid w:val="00B36C27"/>
    <w:rsid w:val="00B36C48"/>
    <w:rsid w:val="00B3755A"/>
    <w:rsid w:val="00B3760D"/>
    <w:rsid w:val="00B379C1"/>
    <w:rsid w:val="00B37BAC"/>
    <w:rsid w:val="00B37C18"/>
    <w:rsid w:val="00B37E74"/>
    <w:rsid w:val="00B37ECE"/>
    <w:rsid w:val="00B37F1C"/>
    <w:rsid w:val="00B4018B"/>
    <w:rsid w:val="00B402EC"/>
    <w:rsid w:val="00B404A1"/>
    <w:rsid w:val="00B40541"/>
    <w:rsid w:val="00B4068C"/>
    <w:rsid w:val="00B406DC"/>
    <w:rsid w:val="00B406DE"/>
    <w:rsid w:val="00B407C6"/>
    <w:rsid w:val="00B407CC"/>
    <w:rsid w:val="00B40AF8"/>
    <w:rsid w:val="00B40BA6"/>
    <w:rsid w:val="00B40DB5"/>
    <w:rsid w:val="00B40E45"/>
    <w:rsid w:val="00B40EB0"/>
    <w:rsid w:val="00B413E7"/>
    <w:rsid w:val="00B414D4"/>
    <w:rsid w:val="00B4165A"/>
    <w:rsid w:val="00B41832"/>
    <w:rsid w:val="00B41AC3"/>
    <w:rsid w:val="00B41BA4"/>
    <w:rsid w:val="00B41E26"/>
    <w:rsid w:val="00B41EC3"/>
    <w:rsid w:val="00B4214D"/>
    <w:rsid w:val="00B423E1"/>
    <w:rsid w:val="00B423F8"/>
    <w:rsid w:val="00B42437"/>
    <w:rsid w:val="00B425B1"/>
    <w:rsid w:val="00B42645"/>
    <w:rsid w:val="00B42ABE"/>
    <w:rsid w:val="00B42B5E"/>
    <w:rsid w:val="00B42B79"/>
    <w:rsid w:val="00B42D3E"/>
    <w:rsid w:val="00B432A9"/>
    <w:rsid w:val="00B432C8"/>
    <w:rsid w:val="00B43470"/>
    <w:rsid w:val="00B434B7"/>
    <w:rsid w:val="00B43552"/>
    <w:rsid w:val="00B43975"/>
    <w:rsid w:val="00B43E98"/>
    <w:rsid w:val="00B44040"/>
    <w:rsid w:val="00B440C4"/>
    <w:rsid w:val="00B444FC"/>
    <w:rsid w:val="00B44643"/>
    <w:rsid w:val="00B44980"/>
    <w:rsid w:val="00B449D3"/>
    <w:rsid w:val="00B44A26"/>
    <w:rsid w:val="00B44AEF"/>
    <w:rsid w:val="00B44D11"/>
    <w:rsid w:val="00B44D9A"/>
    <w:rsid w:val="00B45131"/>
    <w:rsid w:val="00B45138"/>
    <w:rsid w:val="00B4528B"/>
    <w:rsid w:val="00B45600"/>
    <w:rsid w:val="00B457F8"/>
    <w:rsid w:val="00B459D4"/>
    <w:rsid w:val="00B459F8"/>
    <w:rsid w:val="00B45BC0"/>
    <w:rsid w:val="00B45DFF"/>
    <w:rsid w:val="00B45E1B"/>
    <w:rsid w:val="00B45E94"/>
    <w:rsid w:val="00B46081"/>
    <w:rsid w:val="00B46198"/>
    <w:rsid w:val="00B462EB"/>
    <w:rsid w:val="00B46525"/>
    <w:rsid w:val="00B46633"/>
    <w:rsid w:val="00B46890"/>
    <w:rsid w:val="00B46F40"/>
    <w:rsid w:val="00B470D6"/>
    <w:rsid w:val="00B474CA"/>
    <w:rsid w:val="00B479FB"/>
    <w:rsid w:val="00B47A6F"/>
    <w:rsid w:val="00B47E6C"/>
    <w:rsid w:val="00B47FDB"/>
    <w:rsid w:val="00B50152"/>
    <w:rsid w:val="00B50345"/>
    <w:rsid w:val="00B503FC"/>
    <w:rsid w:val="00B50D20"/>
    <w:rsid w:val="00B50EA2"/>
    <w:rsid w:val="00B51027"/>
    <w:rsid w:val="00B51028"/>
    <w:rsid w:val="00B511B0"/>
    <w:rsid w:val="00B51501"/>
    <w:rsid w:val="00B5156B"/>
    <w:rsid w:val="00B516AB"/>
    <w:rsid w:val="00B516B4"/>
    <w:rsid w:val="00B516BF"/>
    <w:rsid w:val="00B51B01"/>
    <w:rsid w:val="00B51E77"/>
    <w:rsid w:val="00B51E9C"/>
    <w:rsid w:val="00B527C4"/>
    <w:rsid w:val="00B52B29"/>
    <w:rsid w:val="00B52C8B"/>
    <w:rsid w:val="00B52DCA"/>
    <w:rsid w:val="00B52F80"/>
    <w:rsid w:val="00B530C8"/>
    <w:rsid w:val="00B53113"/>
    <w:rsid w:val="00B5311A"/>
    <w:rsid w:val="00B53235"/>
    <w:rsid w:val="00B53865"/>
    <w:rsid w:val="00B53B6C"/>
    <w:rsid w:val="00B53BB4"/>
    <w:rsid w:val="00B54138"/>
    <w:rsid w:val="00B544C8"/>
    <w:rsid w:val="00B5470F"/>
    <w:rsid w:val="00B5472B"/>
    <w:rsid w:val="00B54785"/>
    <w:rsid w:val="00B5492D"/>
    <w:rsid w:val="00B54938"/>
    <w:rsid w:val="00B54A1D"/>
    <w:rsid w:val="00B54A39"/>
    <w:rsid w:val="00B54E8C"/>
    <w:rsid w:val="00B54F29"/>
    <w:rsid w:val="00B54F65"/>
    <w:rsid w:val="00B551F1"/>
    <w:rsid w:val="00B55279"/>
    <w:rsid w:val="00B5557E"/>
    <w:rsid w:val="00B556ED"/>
    <w:rsid w:val="00B559B3"/>
    <w:rsid w:val="00B55A36"/>
    <w:rsid w:val="00B55AFE"/>
    <w:rsid w:val="00B55BB2"/>
    <w:rsid w:val="00B55C0A"/>
    <w:rsid w:val="00B55D1C"/>
    <w:rsid w:val="00B56292"/>
    <w:rsid w:val="00B5660D"/>
    <w:rsid w:val="00B5662E"/>
    <w:rsid w:val="00B5685D"/>
    <w:rsid w:val="00B56CA3"/>
    <w:rsid w:val="00B571E7"/>
    <w:rsid w:val="00B57222"/>
    <w:rsid w:val="00B572AF"/>
    <w:rsid w:val="00B574A3"/>
    <w:rsid w:val="00B57704"/>
    <w:rsid w:val="00B5770E"/>
    <w:rsid w:val="00B57A0D"/>
    <w:rsid w:val="00B57C96"/>
    <w:rsid w:val="00B57DBE"/>
    <w:rsid w:val="00B603AB"/>
    <w:rsid w:val="00B603C3"/>
    <w:rsid w:val="00B60405"/>
    <w:rsid w:val="00B60650"/>
    <w:rsid w:val="00B60CA8"/>
    <w:rsid w:val="00B60E09"/>
    <w:rsid w:val="00B60E66"/>
    <w:rsid w:val="00B61004"/>
    <w:rsid w:val="00B613C6"/>
    <w:rsid w:val="00B613EC"/>
    <w:rsid w:val="00B61D79"/>
    <w:rsid w:val="00B62446"/>
    <w:rsid w:val="00B624BA"/>
    <w:rsid w:val="00B62736"/>
    <w:rsid w:val="00B627A1"/>
    <w:rsid w:val="00B62818"/>
    <w:rsid w:val="00B62885"/>
    <w:rsid w:val="00B62A85"/>
    <w:rsid w:val="00B6301F"/>
    <w:rsid w:val="00B63124"/>
    <w:rsid w:val="00B632A6"/>
    <w:rsid w:val="00B63531"/>
    <w:rsid w:val="00B63BCE"/>
    <w:rsid w:val="00B64177"/>
    <w:rsid w:val="00B641E2"/>
    <w:rsid w:val="00B642E8"/>
    <w:rsid w:val="00B643EC"/>
    <w:rsid w:val="00B6445C"/>
    <w:rsid w:val="00B6454F"/>
    <w:rsid w:val="00B64C4E"/>
    <w:rsid w:val="00B6540C"/>
    <w:rsid w:val="00B65440"/>
    <w:rsid w:val="00B6550E"/>
    <w:rsid w:val="00B658EB"/>
    <w:rsid w:val="00B65A25"/>
    <w:rsid w:val="00B65A7D"/>
    <w:rsid w:val="00B65B51"/>
    <w:rsid w:val="00B65B85"/>
    <w:rsid w:val="00B65E4D"/>
    <w:rsid w:val="00B6653C"/>
    <w:rsid w:val="00B6655C"/>
    <w:rsid w:val="00B66B79"/>
    <w:rsid w:val="00B66C7F"/>
    <w:rsid w:val="00B66D03"/>
    <w:rsid w:val="00B66DAF"/>
    <w:rsid w:val="00B66E82"/>
    <w:rsid w:val="00B66EFA"/>
    <w:rsid w:val="00B671EB"/>
    <w:rsid w:val="00B67707"/>
    <w:rsid w:val="00B67779"/>
    <w:rsid w:val="00B67B5D"/>
    <w:rsid w:val="00B67C21"/>
    <w:rsid w:val="00B67EAD"/>
    <w:rsid w:val="00B67EC5"/>
    <w:rsid w:val="00B7013B"/>
    <w:rsid w:val="00B70271"/>
    <w:rsid w:val="00B704A3"/>
    <w:rsid w:val="00B70B80"/>
    <w:rsid w:val="00B70C97"/>
    <w:rsid w:val="00B70CDD"/>
    <w:rsid w:val="00B70CFC"/>
    <w:rsid w:val="00B71089"/>
    <w:rsid w:val="00B711DD"/>
    <w:rsid w:val="00B711EE"/>
    <w:rsid w:val="00B71341"/>
    <w:rsid w:val="00B71375"/>
    <w:rsid w:val="00B715AE"/>
    <w:rsid w:val="00B717B9"/>
    <w:rsid w:val="00B71826"/>
    <w:rsid w:val="00B718EF"/>
    <w:rsid w:val="00B7198D"/>
    <w:rsid w:val="00B71AE7"/>
    <w:rsid w:val="00B71C16"/>
    <w:rsid w:val="00B71CBC"/>
    <w:rsid w:val="00B71D21"/>
    <w:rsid w:val="00B71F2C"/>
    <w:rsid w:val="00B7221D"/>
    <w:rsid w:val="00B723C9"/>
    <w:rsid w:val="00B72BED"/>
    <w:rsid w:val="00B73273"/>
    <w:rsid w:val="00B73AF4"/>
    <w:rsid w:val="00B73BFF"/>
    <w:rsid w:val="00B73C4E"/>
    <w:rsid w:val="00B7465B"/>
    <w:rsid w:val="00B74A9D"/>
    <w:rsid w:val="00B74AA5"/>
    <w:rsid w:val="00B74B7E"/>
    <w:rsid w:val="00B74BDD"/>
    <w:rsid w:val="00B74C76"/>
    <w:rsid w:val="00B75010"/>
    <w:rsid w:val="00B7506D"/>
    <w:rsid w:val="00B75093"/>
    <w:rsid w:val="00B750C0"/>
    <w:rsid w:val="00B7513A"/>
    <w:rsid w:val="00B751D0"/>
    <w:rsid w:val="00B75291"/>
    <w:rsid w:val="00B7550D"/>
    <w:rsid w:val="00B75880"/>
    <w:rsid w:val="00B75A9D"/>
    <w:rsid w:val="00B75AAE"/>
    <w:rsid w:val="00B75DC5"/>
    <w:rsid w:val="00B75EBC"/>
    <w:rsid w:val="00B761BF"/>
    <w:rsid w:val="00B76372"/>
    <w:rsid w:val="00B76776"/>
    <w:rsid w:val="00B76792"/>
    <w:rsid w:val="00B767E4"/>
    <w:rsid w:val="00B76DEC"/>
    <w:rsid w:val="00B76F0E"/>
    <w:rsid w:val="00B77291"/>
    <w:rsid w:val="00B77324"/>
    <w:rsid w:val="00B776A5"/>
    <w:rsid w:val="00B77B17"/>
    <w:rsid w:val="00B77C00"/>
    <w:rsid w:val="00B77E2A"/>
    <w:rsid w:val="00B77FAD"/>
    <w:rsid w:val="00B77FC9"/>
    <w:rsid w:val="00B8025A"/>
    <w:rsid w:val="00B8036E"/>
    <w:rsid w:val="00B805D7"/>
    <w:rsid w:val="00B8098A"/>
    <w:rsid w:val="00B80A9F"/>
    <w:rsid w:val="00B80AA0"/>
    <w:rsid w:val="00B80EA8"/>
    <w:rsid w:val="00B80ED6"/>
    <w:rsid w:val="00B80FBF"/>
    <w:rsid w:val="00B810D1"/>
    <w:rsid w:val="00B810E1"/>
    <w:rsid w:val="00B81553"/>
    <w:rsid w:val="00B818B2"/>
    <w:rsid w:val="00B819C8"/>
    <w:rsid w:val="00B81C14"/>
    <w:rsid w:val="00B821FE"/>
    <w:rsid w:val="00B82268"/>
    <w:rsid w:val="00B82374"/>
    <w:rsid w:val="00B8250E"/>
    <w:rsid w:val="00B8254F"/>
    <w:rsid w:val="00B82605"/>
    <w:rsid w:val="00B8263C"/>
    <w:rsid w:val="00B82830"/>
    <w:rsid w:val="00B83553"/>
    <w:rsid w:val="00B835EF"/>
    <w:rsid w:val="00B835FC"/>
    <w:rsid w:val="00B8368B"/>
    <w:rsid w:val="00B83704"/>
    <w:rsid w:val="00B8376D"/>
    <w:rsid w:val="00B83980"/>
    <w:rsid w:val="00B83ED1"/>
    <w:rsid w:val="00B84039"/>
    <w:rsid w:val="00B843D3"/>
    <w:rsid w:val="00B8446E"/>
    <w:rsid w:val="00B844F2"/>
    <w:rsid w:val="00B84D95"/>
    <w:rsid w:val="00B84F35"/>
    <w:rsid w:val="00B851B1"/>
    <w:rsid w:val="00B854DF"/>
    <w:rsid w:val="00B85733"/>
    <w:rsid w:val="00B85828"/>
    <w:rsid w:val="00B85AE2"/>
    <w:rsid w:val="00B85B70"/>
    <w:rsid w:val="00B85D97"/>
    <w:rsid w:val="00B860C8"/>
    <w:rsid w:val="00B860D6"/>
    <w:rsid w:val="00B862E0"/>
    <w:rsid w:val="00B863E1"/>
    <w:rsid w:val="00B864B7"/>
    <w:rsid w:val="00B865F7"/>
    <w:rsid w:val="00B86BD5"/>
    <w:rsid w:val="00B86FA3"/>
    <w:rsid w:val="00B8730F"/>
    <w:rsid w:val="00B875EF"/>
    <w:rsid w:val="00B8760C"/>
    <w:rsid w:val="00B87871"/>
    <w:rsid w:val="00B8789C"/>
    <w:rsid w:val="00B87AA7"/>
    <w:rsid w:val="00B87B56"/>
    <w:rsid w:val="00B9000E"/>
    <w:rsid w:val="00B90157"/>
    <w:rsid w:val="00B904DF"/>
    <w:rsid w:val="00B907A9"/>
    <w:rsid w:val="00B908A6"/>
    <w:rsid w:val="00B909D0"/>
    <w:rsid w:val="00B90B59"/>
    <w:rsid w:val="00B90D87"/>
    <w:rsid w:val="00B90ED6"/>
    <w:rsid w:val="00B91164"/>
    <w:rsid w:val="00B912BF"/>
    <w:rsid w:val="00B913DA"/>
    <w:rsid w:val="00B9146B"/>
    <w:rsid w:val="00B914FB"/>
    <w:rsid w:val="00B917D6"/>
    <w:rsid w:val="00B91BC8"/>
    <w:rsid w:val="00B91D6A"/>
    <w:rsid w:val="00B921A5"/>
    <w:rsid w:val="00B921C5"/>
    <w:rsid w:val="00B925E7"/>
    <w:rsid w:val="00B92693"/>
    <w:rsid w:val="00B92849"/>
    <w:rsid w:val="00B92931"/>
    <w:rsid w:val="00B92C86"/>
    <w:rsid w:val="00B92E9F"/>
    <w:rsid w:val="00B93019"/>
    <w:rsid w:val="00B9321F"/>
    <w:rsid w:val="00B932CD"/>
    <w:rsid w:val="00B93625"/>
    <w:rsid w:val="00B936B1"/>
    <w:rsid w:val="00B939A0"/>
    <w:rsid w:val="00B939A3"/>
    <w:rsid w:val="00B93B18"/>
    <w:rsid w:val="00B93E57"/>
    <w:rsid w:val="00B93F76"/>
    <w:rsid w:val="00B942C4"/>
    <w:rsid w:val="00B94425"/>
    <w:rsid w:val="00B94649"/>
    <w:rsid w:val="00B946DB"/>
    <w:rsid w:val="00B94899"/>
    <w:rsid w:val="00B94B3B"/>
    <w:rsid w:val="00B94D4E"/>
    <w:rsid w:val="00B94DB4"/>
    <w:rsid w:val="00B94DF6"/>
    <w:rsid w:val="00B94E7D"/>
    <w:rsid w:val="00B94F55"/>
    <w:rsid w:val="00B95177"/>
    <w:rsid w:val="00B954DE"/>
    <w:rsid w:val="00B95B7A"/>
    <w:rsid w:val="00B95CC2"/>
    <w:rsid w:val="00B95F12"/>
    <w:rsid w:val="00B95FD8"/>
    <w:rsid w:val="00B95FE0"/>
    <w:rsid w:val="00B960AB"/>
    <w:rsid w:val="00B960E5"/>
    <w:rsid w:val="00B9635F"/>
    <w:rsid w:val="00B96534"/>
    <w:rsid w:val="00B9660B"/>
    <w:rsid w:val="00B966B1"/>
    <w:rsid w:val="00B966B8"/>
    <w:rsid w:val="00B967BE"/>
    <w:rsid w:val="00B96B58"/>
    <w:rsid w:val="00B96D7F"/>
    <w:rsid w:val="00B96EB1"/>
    <w:rsid w:val="00B96F5F"/>
    <w:rsid w:val="00B97130"/>
    <w:rsid w:val="00B97165"/>
    <w:rsid w:val="00B971A9"/>
    <w:rsid w:val="00B97386"/>
    <w:rsid w:val="00B9773C"/>
    <w:rsid w:val="00B97814"/>
    <w:rsid w:val="00B9796A"/>
    <w:rsid w:val="00B979DD"/>
    <w:rsid w:val="00B97AD2"/>
    <w:rsid w:val="00BA0174"/>
    <w:rsid w:val="00BA03B5"/>
    <w:rsid w:val="00BA05DF"/>
    <w:rsid w:val="00BA072D"/>
    <w:rsid w:val="00BA07C9"/>
    <w:rsid w:val="00BA08B1"/>
    <w:rsid w:val="00BA1672"/>
    <w:rsid w:val="00BA1978"/>
    <w:rsid w:val="00BA1A5C"/>
    <w:rsid w:val="00BA1B05"/>
    <w:rsid w:val="00BA1C88"/>
    <w:rsid w:val="00BA1D21"/>
    <w:rsid w:val="00BA1E8D"/>
    <w:rsid w:val="00BA1FD6"/>
    <w:rsid w:val="00BA24EC"/>
    <w:rsid w:val="00BA29C7"/>
    <w:rsid w:val="00BA2B49"/>
    <w:rsid w:val="00BA2E19"/>
    <w:rsid w:val="00BA2E75"/>
    <w:rsid w:val="00BA2EB6"/>
    <w:rsid w:val="00BA3371"/>
    <w:rsid w:val="00BA33CC"/>
    <w:rsid w:val="00BA3485"/>
    <w:rsid w:val="00BA35B8"/>
    <w:rsid w:val="00BA35CF"/>
    <w:rsid w:val="00BA392D"/>
    <w:rsid w:val="00BA3AAD"/>
    <w:rsid w:val="00BA3BAB"/>
    <w:rsid w:val="00BA4358"/>
    <w:rsid w:val="00BA4428"/>
    <w:rsid w:val="00BA4640"/>
    <w:rsid w:val="00BA4893"/>
    <w:rsid w:val="00BA48C4"/>
    <w:rsid w:val="00BA50D9"/>
    <w:rsid w:val="00BA52BA"/>
    <w:rsid w:val="00BA580E"/>
    <w:rsid w:val="00BA5812"/>
    <w:rsid w:val="00BA596F"/>
    <w:rsid w:val="00BA5B6F"/>
    <w:rsid w:val="00BA5D8E"/>
    <w:rsid w:val="00BA654F"/>
    <w:rsid w:val="00BA6655"/>
    <w:rsid w:val="00BA69EE"/>
    <w:rsid w:val="00BA6B3A"/>
    <w:rsid w:val="00BA6C3A"/>
    <w:rsid w:val="00BA6ED6"/>
    <w:rsid w:val="00BA733D"/>
    <w:rsid w:val="00BA7506"/>
    <w:rsid w:val="00BA7674"/>
    <w:rsid w:val="00BA7816"/>
    <w:rsid w:val="00BA789B"/>
    <w:rsid w:val="00BA7E47"/>
    <w:rsid w:val="00BA7ED3"/>
    <w:rsid w:val="00BA7F7B"/>
    <w:rsid w:val="00BA7FBD"/>
    <w:rsid w:val="00BB00B8"/>
    <w:rsid w:val="00BB01EB"/>
    <w:rsid w:val="00BB040C"/>
    <w:rsid w:val="00BB04AA"/>
    <w:rsid w:val="00BB0929"/>
    <w:rsid w:val="00BB0B11"/>
    <w:rsid w:val="00BB0B6D"/>
    <w:rsid w:val="00BB0CFE"/>
    <w:rsid w:val="00BB0FE9"/>
    <w:rsid w:val="00BB11B3"/>
    <w:rsid w:val="00BB1461"/>
    <w:rsid w:val="00BB1510"/>
    <w:rsid w:val="00BB18FA"/>
    <w:rsid w:val="00BB19DD"/>
    <w:rsid w:val="00BB1A4C"/>
    <w:rsid w:val="00BB1CFD"/>
    <w:rsid w:val="00BB245D"/>
    <w:rsid w:val="00BB2607"/>
    <w:rsid w:val="00BB2EBF"/>
    <w:rsid w:val="00BB30A5"/>
    <w:rsid w:val="00BB32AF"/>
    <w:rsid w:val="00BB32D1"/>
    <w:rsid w:val="00BB3315"/>
    <w:rsid w:val="00BB34E5"/>
    <w:rsid w:val="00BB362F"/>
    <w:rsid w:val="00BB3859"/>
    <w:rsid w:val="00BB390A"/>
    <w:rsid w:val="00BB3DA0"/>
    <w:rsid w:val="00BB3E44"/>
    <w:rsid w:val="00BB3ECD"/>
    <w:rsid w:val="00BB3F69"/>
    <w:rsid w:val="00BB3FFB"/>
    <w:rsid w:val="00BB4074"/>
    <w:rsid w:val="00BB40D6"/>
    <w:rsid w:val="00BB4366"/>
    <w:rsid w:val="00BB44DD"/>
    <w:rsid w:val="00BB4576"/>
    <w:rsid w:val="00BB4608"/>
    <w:rsid w:val="00BB4923"/>
    <w:rsid w:val="00BB495B"/>
    <w:rsid w:val="00BB4A25"/>
    <w:rsid w:val="00BB4A9B"/>
    <w:rsid w:val="00BB4BB2"/>
    <w:rsid w:val="00BB4F05"/>
    <w:rsid w:val="00BB5311"/>
    <w:rsid w:val="00BB56D2"/>
    <w:rsid w:val="00BB598C"/>
    <w:rsid w:val="00BB59F2"/>
    <w:rsid w:val="00BB5F84"/>
    <w:rsid w:val="00BB5FC9"/>
    <w:rsid w:val="00BB600D"/>
    <w:rsid w:val="00BB63FC"/>
    <w:rsid w:val="00BB65BA"/>
    <w:rsid w:val="00BB66FB"/>
    <w:rsid w:val="00BB689D"/>
    <w:rsid w:val="00BB6986"/>
    <w:rsid w:val="00BB6E6E"/>
    <w:rsid w:val="00BB6F9A"/>
    <w:rsid w:val="00BB71C3"/>
    <w:rsid w:val="00BB7324"/>
    <w:rsid w:val="00BB73C0"/>
    <w:rsid w:val="00BB759F"/>
    <w:rsid w:val="00BB7623"/>
    <w:rsid w:val="00BB7885"/>
    <w:rsid w:val="00BB791A"/>
    <w:rsid w:val="00BB7A39"/>
    <w:rsid w:val="00BB7BC5"/>
    <w:rsid w:val="00BB7FA1"/>
    <w:rsid w:val="00BC07B3"/>
    <w:rsid w:val="00BC0852"/>
    <w:rsid w:val="00BC0AB4"/>
    <w:rsid w:val="00BC0AC0"/>
    <w:rsid w:val="00BC0B6A"/>
    <w:rsid w:val="00BC0CCB"/>
    <w:rsid w:val="00BC0D3D"/>
    <w:rsid w:val="00BC0D7E"/>
    <w:rsid w:val="00BC0E00"/>
    <w:rsid w:val="00BC0EA4"/>
    <w:rsid w:val="00BC11E3"/>
    <w:rsid w:val="00BC1298"/>
    <w:rsid w:val="00BC12B3"/>
    <w:rsid w:val="00BC15A4"/>
    <w:rsid w:val="00BC1ACB"/>
    <w:rsid w:val="00BC20AC"/>
    <w:rsid w:val="00BC2131"/>
    <w:rsid w:val="00BC2558"/>
    <w:rsid w:val="00BC29F3"/>
    <w:rsid w:val="00BC2B82"/>
    <w:rsid w:val="00BC2CFC"/>
    <w:rsid w:val="00BC2E9F"/>
    <w:rsid w:val="00BC2EAD"/>
    <w:rsid w:val="00BC2FB0"/>
    <w:rsid w:val="00BC2FBD"/>
    <w:rsid w:val="00BC31DB"/>
    <w:rsid w:val="00BC327C"/>
    <w:rsid w:val="00BC3292"/>
    <w:rsid w:val="00BC335C"/>
    <w:rsid w:val="00BC383A"/>
    <w:rsid w:val="00BC3B40"/>
    <w:rsid w:val="00BC3E52"/>
    <w:rsid w:val="00BC4090"/>
    <w:rsid w:val="00BC4179"/>
    <w:rsid w:val="00BC4209"/>
    <w:rsid w:val="00BC43FA"/>
    <w:rsid w:val="00BC466B"/>
    <w:rsid w:val="00BC46A3"/>
    <w:rsid w:val="00BC47BC"/>
    <w:rsid w:val="00BC48D8"/>
    <w:rsid w:val="00BC4A98"/>
    <w:rsid w:val="00BC4DEF"/>
    <w:rsid w:val="00BC4F4F"/>
    <w:rsid w:val="00BC4F66"/>
    <w:rsid w:val="00BC52CB"/>
    <w:rsid w:val="00BC5752"/>
    <w:rsid w:val="00BC57DF"/>
    <w:rsid w:val="00BC58DE"/>
    <w:rsid w:val="00BC5915"/>
    <w:rsid w:val="00BC5AAB"/>
    <w:rsid w:val="00BC5D21"/>
    <w:rsid w:val="00BC5D78"/>
    <w:rsid w:val="00BC60A9"/>
    <w:rsid w:val="00BC62D0"/>
    <w:rsid w:val="00BC640B"/>
    <w:rsid w:val="00BC646B"/>
    <w:rsid w:val="00BC654E"/>
    <w:rsid w:val="00BC65AE"/>
    <w:rsid w:val="00BC67BC"/>
    <w:rsid w:val="00BC7746"/>
    <w:rsid w:val="00BC7EEB"/>
    <w:rsid w:val="00BD00BD"/>
    <w:rsid w:val="00BD043E"/>
    <w:rsid w:val="00BD045B"/>
    <w:rsid w:val="00BD0902"/>
    <w:rsid w:val="00BD0A74"/>
    <w:rsid w:val="00BD0CB5"/>
    <w:rsid w:val="00BD0CFF"/>
    <w:rsid w:val="00BD0E05"/>
    <w:rsid w:val="00BD1253"/>
    <w:rsid w:val="00BD1285"/>
    <w:rsid w:val="00BD15ED"/>
    <w:rsid w:val="00BD185E"/>
    <w:rsid w:val="00BD1AD6"/>
    <w:rsid w:val="00BD2718"/>
    <w:rsid w:val="00BD2823"/>
    <w:rsid w:val="00BD2A76"/>
    <w:rsid w:val="00BD2EA7"/>
    <w:rsid w:val="00BD2EE6"/>
    <w:rsid w:val="00BD3056"/>
    <w:rsid w:val="00BD30DC"/>
    <w:rsid w:val="00BD32CC"/>
    <w:rsid w:val="00BD331A"/>
    <w:rsid w:val="00BD3346"/>
    <w:rsid w:val="00BD3CD1"/>
    <w:rsid w:val="00BD3F1E"/>
    <w:rsid w:val="00BD4211"/>
    <w:rsid w:val="00BD4224"/>
    <w:rsid w:val="00BD4234"/>
    <w:rsid w:val="00BD46BC"/>
    <w:rsid w:val="00BD473B"/>
    <w:rsid w:val="00BD49F9"/>
    <w:rsid w:val="00BD4B05"/>
    <w:rsid w:val="00BD4EAC"/>
    <w:rsid w:val="00BD4EE9"/>
    <w:rsid w:val="00BD4F30"/>
    <w:rsid w:val="00BD5105"/>
    <w:rsid w:val="00BD510E"/>
    <w:rsid w:val="00BD515B"/>
    <w:rsid w:val="00BD52CC"/>
    <w:rsid w:val="00BD5411"/>
    <w:rsid w:val="00BD56DE"/>
    <w:rsid w:val="00BD5B66"/>
    <w:rsid w:val="00BD5F86"/>
    <w:rsid w:val="00BD6445"/>
    <w:rsid w:val="00BD65F9"/>
    <w:rsid w:val="00BD66C4"/>
    <w:rsid w:val="00BD679E"/>
    <w:rsid w:val="00BD67F9"/>
    <w:rsid w:val="00BD6C67"/>
    <w:rsid w:val="00BD6E24"/>
    <w:rsid w:val="00BD6ED5"/>
    <w:rsid w:val="00BD73E4"/>
    <w:rsid w:val="00BD76F5"/>
    <w:rsid w:val="00BD7722"/>
    <w:rsid w:val="00BD7731"/>
    <w:rsid w:val="00BD7852"/>
    <w:rsid w:val="00BD7AA0"/>
    <w:rsid w:val="00BD7AEF"/>
    <w:rsid w:val="00BD7BC3"/>
    <w:rsid w:val="00BD7D14"/>
    <w:rsid w:val="00BE000E"/>
    <w:rsid w:val="00BE014E"/>
    <w:rsid w:val="00BE0539"/>
    <w:rsid w:val="00BE0655"/>
    <w:rsid w:val="00BE0755"/>
    <w:rsid w:val="00BE07A5"/>
    <w:rsid w:val="00BE0BF0"/>
    <w:rsid w:val="00BE0BF8"/>
    <w:rsid w:val="00BE0E25"/>
    <w:rsid w:val="00BE0F31"/>
    <w:rsid w:val="00BE1076"/>
    <w:rsid w:val="00BE10D0"/>
    <w:rsid w:val="00BE12F3"/>
    <w:rsid w:val="00BE1585"/>
    <w:rsid w:val="00BE1770"/>
    <w:rsid w:val="00BE18CC"/>
    <w:rsid w:val="00BE1901"/>
    <w:rsid w:val="00BE1AAC"/>
    <w:rsid w:val="00BE1DD9"/>
    <w:rsid w:val="00BE24BC"/>
    <w:rsid w:val="00BE2D70"/>
    <w:rsid w:val="00BE325A"/>
    <w:rsid w:val="00BE325E"/>
    <w:rsid w:val="00BE342D"/>
    <w:rsid w:val="00BE35E2"/>
    <w:rsid w:val="00BE3E7B"/>
    <w:rsid w:val="00BE40CD"/>
    <w:rsid w:val="00BE40EF"/>
    <w:rsid w:val="00BE4451"/>
    <w:rsid w:val="00BE465D"/>
    <w:rsid w:val="00BE4761"/>
    <w:rsid w:val="00BE49C8"/>
    <w:rsid w:val="00BE49D0"/>
    <w:rsid w:val="00BE4B22"/>
    <w:rsid w:val="00BE5295"/>
    <w:rsid w:val="00BE5396"/>
    <w:rsid w:val="00BE54A4"/>
    <w:rsid w:val="00BE5B30"/>
    <w:rsid w:val="00BE5F70"/>
    <w:rsid w:val="00BE616E"/>
    <w:rsid w:val="00BE6298"/>
    <w:rsid w:val="00BE6466"/>
    <w:rsid w:val="00BE6518"/>
    <w:rsid w:val="00BE660F"/>
    <w:rsid w:val="00BE6654"/>
    <w:rsid w:val="00BE665A"/>
    <w:rsid w:val="00BE675F"/>
    <w:rsid w:val="00BE680D"/>
    <w:rsid w:val="00BE6983"/>
    <w:rsid w:val="00BE6B02"/>
    <w:rsid w:val="00BE7168"/>
    <w:rsid w:val="00BE7319"/>
    <w:rsid w:val="00BE755D"/>
    <w:rsid w:val="00BE76E6"/>
    <w:rsid w:val="00BE76EF"/>
    <w:rsid w:val="00BE7761"/>
    <w:rsid w:val="00BE7789"/>
    <w:rsid w:val="00BE7803"/>
    <w:rsid w:val="00BE7BB3"/>
    <w:rsid w:val="00BE7C29"/>
    <w:rsid w:val="00BF0059"/>
    <w:rsid w:val="00BF01FA"/>
    <w:rsid w:val="00BF036F"/>
    <w:rsid w:val="00BF03E1"/>
    <w:rsid w:val="00BF045D"/>
    <w:rsid w:val="00BF0605"/>
    <w:rsid w:val="00BF0889"/>
    <w:rsid w:val="00BF0958"/>
    <w:rsid w:val="00BF0A98"/>
    <w:rsid w:val="00BF0C95"/>
    <w:rsid w:val="00BF0D34"/>
    <w:rsid w:val="00BF0D35"/>
    <w:rsid w:val="00BF144D"/>
    <w:rsid w:val="00BF1880"/>
    <w:rsid w:val="00BF1BAD"/>
    <w:rsid w:val="00BF1D1D"/>
    <w:rsid w:val="00BF1FAF"/>
    <w:rsid w:val="00BF21F1"/>
    <w:rsid w:val="00BF24FA"/>
    <w:rsid w:val="00BF2607"/>
    <w:rsid w:val="00BF2628"/>
    <w:rsid w:val="00BF2C0C"/>
    <w:rsid w:val="00BF2FF5"/>
    <w:rsid w:val="00BF3049"/>
    <w:rsid w:val="00BF30F2"/>
    <w:rsid w:val="00BF3124"/>
    <w:rsid w:val="00BF313B"/>
    <w:rsid w:val="00BF31D5"/>
    <w:rsid w:val="00BF31E0"/>
    <w:rsid w:val="00BF333F"/>
    <w:rsid w:val="00BF3468"/>
    <w:rsid w:val="00BF3824"/>
    <w:rsid w:val="00BF387B"/>
    <w:rsid w:val="00BF39DC"/>
    <w:rsid w:val="00BF3B50"/>
    <w:rsid w:val="00BF4365"/>
    <w:rsid w:val="00BF4590"/>
    <w:rsid w:val="00BF46C7"/>
    <w:rsid w:val="00BF4763"/>
    <w:rsid w:val="00BF4846"/>
    <w:rsid w:val="00BF485E"/>
    <w:rsid w:val="00BF491C"/>
    <w:rsid w:val="00BF4ACD"/>
    <w:rsid w:val="00BF4BBB"/>
    <w:rsid w:val="00BF4CDD"/>
    <w:rsid w:val="00BF4FE8"/>
    <w:rsid w:val="00BF5205"/>
    <w:rsid w:val="00BF5290"/>
    <w:rsid w:val="00BF53A1"/>
    <w:rsid w:val="00BF53E9"/>
    <w:rsid w:val="00BF57DF"/>
    <w:rsid w:val="00BF5AE0"/>
    <w:rsid w:val="00BF5C76"/>
    <w:rsid w:val="00BF5E6E"/>
    <w:rsid w:val="00BF5EDE"/>
    <w:rsid w:val="00BF5FA5"/>
    <w:rsid w:val="00BF6120"/>
    <w:rsid w:val="00BF6751"/>
    <w:rsid w:val="00BF68A7"/>
    <w:rsid w:val="00BF68FA"/>
    <w:rsid w:val="00BF6BA4"/>
    <w:rsid w:val="00BF6BF5"/>
    <w:rsid w:val="00BF6C2B"/>
    <w:rsid w:val="00BF6C3A"/>
    <w:rsid w:val="00BF6D88"/>
    <w:rsid w:val="00BF6D91"/>
    <w:rsid w:val="00BF6DB0"/>
    <w:rsid w:val="00BF6E62"/>
    <w:rsid w:val="00BF6E65"/>
    <w:rsid w:val="00BF7095"/>
    <w:rsid w:val="00BF713D"/>
    <w:rsid w:val="00BF723C"/>
    <w:rsid w:val="00BF784D"/>
    <w:rsid w:val="00BF78F4"/>
    <w:rsid w:val="00BF79C0"/>
    <w:rsid w:val="00BF7AF8"/>
    <w:rsid w:val="00BF7C83"/>
    <w:rsid w:val="00BF7DC7"/>
    <w:rsid w:val="00C00218"/>
    <w:rsid w:val="00C00479"/>
    <w:rsid w:val="00C0050A"/>
    <w:rsid w:val="00C0055B"/>
    <w:rsid w:val="00C0065C"/>
    <w:rsid w:val="00C0093D"/>
    <w:rsid w:val="00C00B88"/>
    <w:rsid w:val="00C01086"/>
    <w:rsid w:val="00C010A7"/>
    <w:rsid w:val="00C010BF"/>
    <w:rsid w:val="00C01141"/>
    <w:rsid w:val="00C014A3"/>
    <w:rsid w:val="00C01C3E"/>
    <w:rsid w:val="00C01CFC"/>
    <w:rsid w:val="00C01E37"/>
    <w:rsid w:val="00C023EB"/>
    <w:rsid w:val="00C02489"/>
    <w:rsid w:val="00C02769"/>
    <w:rsid w:val="00C02C6B"/>
    <w:rsid w:val="00C03552"/>
    <w:rsid w:val="00C035F5"/>
    <w:rsid w:val="00C03704"/>
    <w:rsid w:val="00C03BF4"/>
    <w:rsid w:val="00C03CFB"/>
    <w:rsid w:val="00C03E41"/>
    <w:rsid w:val="00C03F8E"/>
    <w:rsid w:val="00C0403D"/>
    <w:rsid w:val="00C04276"/>
    <w:rsid w:val="00C04507"/>
    <w:rsid w:val="00C0456F"/>
    <w:rsid w:val="00C04632"/>
    <w:rsid w:val="00C046A5"/>
    <w:rsid w:val="00C046A7"/>
    <w:rsid w:val="00C0494C"/>
    <w:rsid w:val="00C04C2C"/>
    <w:rsid w:val="00C04C4C"/>
    <w:rsid w:val="00C04FCF"/>
    <w:rsid w:val="00C050B4"/>
    <w:rsid w:val="00C0527C"/>
    <w:rsid w:val="00C05B78"/>
    <w:rsid w:val="00C05F1A"/>
    <w:rsid w:val="00C061DA"/>
    <w:rsid w:val="00C06213"/>
    <w:rsid w:val="00C06467"/>
    <w:rsid w:val="00C0674A"/>
    <w:rsid w:val="00C0682A"/>
    <w:rsid w:val="00C069AD"/>
    <w:rsid w:val="00C06B3F"/>
    <w:rsid w:val="00C06D7E"/>
    <w:rsid w:val="00C06F76"/>
    <w:rsid w:val="00C06FBF"/>
    <w:rsid w:val="00C06FD8"/>
    <w:rsid w:val="00C07095"/>
    <w:rsid w:val="00C071E3"/>
    <w:rsid w:val="00C077BE"/>
    <w:rsid w:val="00C07803"/>
    <w:rsid w:val="00C07C4A"/>
    <w:rsid w:val="00C07C8B"/>
    <w:rsid w:val="00C07D8D"/>
    <w:rsid w:val="00C07E8B"/>
    <w:rsid w:val="00C1019F"/>
    <w:rsid w:val="00C102D6"/>
    <w:rsid w:val="00C104D2"/>
    <w:rsid w:val="00C10517"/>
    <w:rsid w:val="00C1076D"/>
    <w:rsid w:val="00C10830"/>
    <w:rsid w:val="00C10C60"/>
    <w:rsid w:val="00C10E42"/>
    <w:rsid w:val="00C10FFE"/>
    <w:rsid w:val="00C11011"/>
    <w:rsid w:val="00C112DC"/>
    <w:rsid w:val="00C118DB"/>
    <w:rsid w:val="00C11A65"/>
    <w:rsid w:val="00C11B42"/>
    <w:rsid w:val="00C12148"/>
    <w:rsid w:val="00C12665"/>
    <w:rsid w:val="00C127E9"/>
    <w:rsid w:val="00C12809"/>
    <w:rsid w:val="00C12A20"/>
    <w:rsid w:val="00C12AE1"/>
    <w:rsid w:val="00C12C4E"/>
    <w:rsid w:val="00C12F96"/>
    <w:rsid w:val="00C13134"/>
    <w:rsid w:val="00C13149"/>
    <w:rsid w:val="00C13167"/>
    <w:rsid w:val="00C13385"/>
    <w:rsid w:val="00C1352A"/>
    <w:rsid w:val="00C137F9"/>
    <w:rsid w:val="00C139B5"/>
    <w:rsid w:val="00C13C3A"/>
    <w:rsid w:val="00C13ED4"/>
    <w:rsid w:val="00C1411A"/>
    <w:rsid w:val="00C14346"/>
    <w:rsid w:val="00C1445C"/>
    <w:rsid w:val="00C14616"/>
    <w:rsid w:val="00C14CB6"/>
    <w:rsid w:val="00C14D6F"/>
    <w:rsid w:val="00C15314"/>
    <w:rsid w:val="00C1555F"/>
    <w:rsid w:val="00C1598D"/>
    <w:rsid w:val="00C15B4A"/>
    <w:rsid w:val="00C15FA7"/>
    <w:rsid w:val="00C16312"/>
    <w:rsid w:val="00C164BA"/>
    <w:rsid w:val="00C16659"/>
    <w:rsid w:val="00C166F1"/>
    <w:rsid w:val="00C16C27"/>
    <w:rsid w:val="00C16D3C"/>
    <w:rsid w:val="00C1717D"/>
    <w:rsid w:val="00C17368"/>
    <w:rsid w:val="00C17501"/>
    <w:rsid w:val="00C17557"/>
    <w:rsid w:val="00C17A75"/>
    <w:rsid w:val="00C17C7B"/>
    <w:rsid w:val="00C17F1E"/>
    <w:rsid w:val="00C20083"/>
    <w:rsid w:val="00C2021C"/>
    <w:rsid w:val="00C20352"/>
    <w:rsid w:val="00C206C1"/>
    <w:rsid w:val="00C208E8"/>
    <w:rsid w:val="00C20A9A"/>
    <w:rsid w:val="00C20B4B"/>
    <w:rsid w:val="00C20B86"/>
    <w:rsid w:val="00C20CE5"/>
    <w:rsid w:val="00C20D83"/>
    <w:rsid w:val="00C21116"/>
    <w:rsid w:val="00C2151F"/>
    <w:rsid w:val="00C21754"/>
    <w:rsid w:val="00C218DE"/>
    <w:rsid w:val="00C21958"/>
    <w:rsid w:val="00C21E0E"/>
    <w:rsid w:val="00C22070"/>
    <w:rsid w:val="00C220EF"/>
    <w:rsid w:val="00C2241D"/>
    <w:rsid w:val="00C22A5D"/>
    <w:rsid w:val="00C22BD5"/>
    <w:rsid w:val="00C22CD8"/>
    <w:rsid w:val="00C22D67"/>
    <w:rsid w:val="00C22E65"/>
    <w:rsid w:val="00C23010"/>
    <w:rsid w:val="00C231C5"/>
    <w:rsid w:val="00C232EC"/>
    <w:rsid w:val="00C233C0"/>
    <w:rsid w:val="00C235EC"/>
    <w:rsid w:val="00C2374E"/>
    <w:rsid w:val="00C23B3C"/>
    <w:rsid w:val="00C23DEC"/>
    <w:rsid w:val="00C24D39"/>
    <w:rsid w:val="00C24D6D"/>
    <w:rsid w:val="00C24E16"/>
    <w:rsid w:val="00C25034"/>
    <w:rsid w:val="00C25057"/>
    <w:rsid w:val="00C251CA"/>
    <w:rsid w:val="00C251DE"/>
    <w:rsid w:val="00C25873"/>
    <w:rsid w:val="00C258D1"/>
    <w:rsid w:val="00C25B90"/>
    <w:rsid w:val="00C25BD2"/>
    <w:rsid w:val="00C26022"/>
    <w:rsid w:val="00C260F0"/>
    <w:rsid w:val="00C2633D"/>
    <w:rsid w:val="00C26426"/>
    <w:rsid w:val="00C26654"/>
    <w:rsid w:val="00C267B4"/>
    <w:rsid w:val="00C26997"/>
    <w:rsid w:val="00C26FAF"/>
    <w:rsid w:val="00C26FCB"/>
    <w:rsid w:val="00C27079"/>
    <w:rsid w:val="00C2750B"/>
    <w:rsid w:val="00C27590"/>
    <w:rsid w:val="00C275CF"/>
    <w:rsid w:val="00C27B7C"/>
    <w:rsid w:val="00C27C80"/>
    <w:rsid w:val="00C27E52"/>
    <w:rsid w:val="00C27E98"/>
    <w:rsid w:val="00C3011F"/>
    <w:rsid w:val="00C3019F"/>
    <w:rsid w:val="00C301EB"/>
    <w:rsid w:val="00C30BF1"/>
    <w:rsid w:val="00C30D0D"/>
    <w:rsid w:val="00C30D46"/>
    <w:rsid w:val="00C30D83"/>
    <w:rsid w:val="00C31127"/>
    <w:rsid w:val="00C312AA"/>
    <w:rsid w:val="00C312CE"/>
    <w:rsid w:val="00C316BC"/>
    <w:rsid w:val="00C316BF"/>
    <w:rsid w:val="00C318A4"/>
    <w:rsid w:val="00C31C8F"/>
    <w:rsid w:val="00C31D61"/>
    <w:rsid w:val="00C31F62"/>
    <w:rsid w:val="00C31F90"/>
    <w:rsid w:val="00C32143"/>
    <w:rsid w:val="00C3251D"/>
    <w:rsid w:val="00C3252A"/>
    <w:rsid w:val="00C325C8"/>
    <w:rsid w:val="00C32C39"/>
    <w:rsid w:val="00C32CBB"/>
    <w:rsid w:val="00C32D63"/>
    <w:rsid w:val="00C33087"/>
    <w:rsid w:val="00C330E0"/>
    <w:rsid w:val="00C33531"/>
    <w:rsid w:val="00C33782"/>
    <w:rsid w:val="00C33786"/>
    <w:rsid w:val="00C338B7"/>
    <w:rsid w:val="00C33A25"/>
    <w:rsid w:val="00C33C49"/>
    <w:rsid w:val="00C33EBB"/>
    <w:rsid w:val="00C3407D"/>
    <w:rsid w:val="00C340CC"/>
    <w:rsid w:val="00C34329"/>
    <w:rsid w:val="00C34814"/>
    <w:rsid w:val="00C349B8"/>
    <w:rsid w:val="00C34AB4"/>
    <w:rsid w:val="00C34AC1"/>
    <w:rsid w:val="00C34AE4"/>
    <w:rsid w:val="00C34EE9"/>
    <w:rsid w:val="00C3535F"/>
    <w:rsid w:val="00C3557F"/>
    <w:rsid w:val="00C3560D"/>
    <w:rsid w:val="00C35AD6"/>
    <w:rsid w:val="00C35D30"/>
    <w:rsid w:val="00C3632B"/>
    <w:rsid w:val="00C366D2"/>
    <w:rsid w:val="00C36D29"/>
    <w:rsid w:val="00C36E30"/>
    <w:rsid w:val="00C37444"/>
    <w:rsid w:val="00C3768C"/>
    <w:rsid w:val="00C37914"/>
    <w:rsid w:val="00C37985"/>
    <w:rsid w:val="00C37D7F"/>
    <w:rsid w:val="00C37DD8"/>
    <w:rsid w:val="00C40022"/>
    <w:rsid w:val="00C4024A"/>
    <w:rsid w:val="00C4065F"/>
    <w:rsid w:val="00C406E0"/>
    <w:rsid w:val="00C40791"/>
    <w:rsid w:val="00C40BEF"/>
    <w:rsid w:val="00C40CDB"/>
    <w:rsid w:val="00C40DB1"/>
    <w:rsid w:val="00C4110E"/>
    <w:rsid w:val="00C419C5"/>
    <w:rsid w:val="00C420E0"/>
    <w:rsid w:val="00C4223F"/>
    <w:rsid w:val="00C42374"/>
    <w:rsid w:val="00C4240F"/>
    <w:rsid w:val="00C424FE"/>
    <w:rsid w:val="00C42752"/>
    <w:rsid w:val="00C42771"/>
    <w:rsid w:val="00C42784"/>
    <w:rsid w:val="00C429A1"/>
    <w:rsid w:val="00C429DC"/>
    <w:rsid w:val="00C42A8D"/>
    <w:rsid w:val="00C42AB2"/>
    <w:rsid w:val="00C42D6E"/>
    <w:rsid w:val="00C42F03"/>
    <w:rsid w:val="00C42FA8"/>
    <w:rsid w:val="00C43553"/>
    <w:rsid w:val="00C436D3"/>
    <w:rsid w:val="00C439E7"/>
    <w:rsid w:val="00C43B1C"/>
    <w:rsid w:val="00C43CB3"/>
    <w:rsid w:val="00C43E64"/>
    <w:rsid w:val="00C43F22"/>
    <w:rsid w:val="00C44300"/>
    <w:rsid w:val="00C443EE"/>
    <w:rsid w:val="00C447BD"/>
    <w:rsid w:val="00C44C27"/>
    <w:rsid w:val="00C44ED4"/>
    <w:rsid w:val="00C44F65"/>
    <w:rsid w:val="00C44FEF"/>
    <w:rsid w:val="00C450BA"/>
    <w:rsid w:val="00C45BCD"/>
    <w:rsid w:val="00C45C97"/>
    <w:rsid w:val="00C45D67"/>
    <w:rsid w:val="00C46084"/>
    <w:rsid w:val="00C460D9"/>
    <w:rsid w:val="00C4614D"/>
    <w:rsid w:val="00C462F7"/>
    <w:rsid w:val="00C463E2"/>
    <w:rsid w:val="00C465A5"/>
    <w:rsid w:val="00C466EB"/>
    <w:rsid w:val="00C4677D"/>
    <w:rsid w:val="00C46788"/>
    <w:rsid w:val="00C46931"/>
    <w:rsid w:val="00C469F8"/>
    <w:rsid w:val="00C46A19"/>
    <w:rsid w:val="00C46A95"/>
    <w:rsid w:val="00C46D4D"/>
    <w:rsid w:val="00C46D65"/>
    <w:rsid w:val="00C46D6A"/>
    <w:rsid w:val="00C46DF2"/>
    <w:rsid w:val="00C4728E"/>
    <w:rsid w:val="00C4768E"/>
    <w:rsid w:val="00C478DE"/>
    <w:rsid w:val="00C47A80"/>
    <w:rsid w:val="00C47D83"/>
    <w:rsid w:val="00C47DC0"/>
    <w:rsid w:val="00C500D0"/>
    <w:rsid w:val="00C50823"/>
    <w:rsid w:val="00C508DF"/>
    <w:rsid w:val="00C5092E"/>
    <w:rsid w:val="00C5094A"/>
    <w:rsid w:val="00C509D8"/>
    <w:rsid w:val="00C50A37"/>
    <w:rsid w:val="00C50ACF"/>
    <w:rsid w:val="00C50D1A"/>
    <w:rsid w:val="00C50E41"/>
    <w:rsid w:val="00C50EC5"/>
    <w:rsid w:val="00C510EB"/>
    <w:rsid w:val="00C514C0"/>
    <w:rsid w:val="00C5155D"/>
    <w:rsid w:val="00C519F2"/>
    <w:rsid w:val="00C51A3A"/>
    <w:rsid w:val="00C51C3C"/>
    <w:rsid w:val="00C51DAC"/>
    <w:rsid w:val="00C51DE5"/>
    <w:rsid w:val="00C51DF8"/>
    <w:rsid w:val="00C529BC"/>
    <w:rsid w:val="00C5308A"/>
    <w:rsid w:val="00C533E5"/>
    <w:rsid w:val="00C539D1"/>
    <w:rsid w:val="00C53C0C"/>
    <w:rsid w:val="00C53CE3"/>
    <w:rsid w:val="00C53D67"/>
    <w:rsid w:val="00C5413C"/>
    <w:rsid w:val="00C543A6"/>
    <w:rsid w:val="00C54598"/>
    <w:rsid w:val="00C545D6"/>
    <w:rsid w:val="00C54829"/>
    <w:rsid w:val="00C54930"/>
    <w:rsid w:val="00C54FB4"/>
    <w:rsid w:val="00C551AD"/>
    <w:rsid w:val="00C5568B"/>
    <w:rsid w:val="00C560EF"/>
    <w:rsid w:val="00C56155"/>
    <w:rsid w:val="00C561F0"/>
    <w:rsid w:val="00C56237"/>
    <w:rsid w:val="00C564F5"/>
    <w:rsid w:val="00C5677A"/>
    <w:rsid w:val="00C567F3"/>
    <w:rsid w:val="00C56E5B"/>
    <w:rsid w:val="00C57395"/>
    <w:rsid w:val="00C57425"/>
    <w:rsid w:val="00C57547"/>
    <w:rsid w:val="00C57856"/>
    <w:rsid w:val="00C579FB"/>
    <w:rsid w:val="00C57AB8"/>
    <w:rsid w:val="00C57B80"/>
    <w:rsid w:val="00C57C3E"/>
    <w:rsid w:val="00C601A8"/>
    <w:rsid w:val="00C60264"/>
    <w:rsid w:val="00C602B4"/>
    <w:rsid w:val="00C6043E"/>
    <w:rsid w:val="00C60459"/>
    <w:rsid w:val="00C60B06"/>
    <w:rsid w:val="00C60BF4"/>
    <w:rsid w:val="00C60C0A"/>
    <w:rsid w:val="00C610EC"/>
    <w:rsid w:val="00C611C3"/>
    <w:rsid w:val="00C6175F"/>
    <w:rsid w:val="00C61B0A"/>
    <w:rsid w:val="00C61C70"/>
    <w:rsid w:val="00C62098"/>
    <w:rsid w:val="00C620DF"/>
    <w:rsid w:val="00C6226A"/>
    <w:rsid w:val="00C62382"/>
    <w:rsid w:val="00C624E9"/>
    <w:rsid w:val="00C6262D"/>
    <w:rsid w:val="00C62877"/>
    <w:rsid w:val="00C629C4"/>
    <w:rsid w:val="00C62A65"/>
    <w:rsid w:val="00C62E9D"/>
    <w:rsid w:val="00C63525"/>
    <w:rsid w:val="00C63580"/>
    <w:rsid w:val="00C635FE"/>
    <w:rsid w:val="00C63730"/>
    <w:rsid w:val="00C6381D"/>
    <w:rsid w:val="00C63A88"/>
    <w:rsid w:val="00C63B4E"/>
    <w:rsid w:val="00C63CE7"/>
    <w:rsid w:val="00C640DB"/>
    <w:rsid w:val="00C640E3"/>
    <w:rsid w:val="00C64189"/>
    <w:rsid w:val="00C644F1"/>
    <w:rsid w:val="00C6455F"/>
    <w:rsid w:val="00C6485A"/>
    <w:rsid w:val="00C64AD4"/>
    <w:rsid w:val="00C65005"/>
    <w:rsid w:val="00C650CE"/>
    <w:rsid w:val="00C650D7"/>
    <w:rsid w:val="00C6537A"/>
    <w:rsid w:val="00C653C2"/>
    <w:rsid w:val="00C659C1"/>
    <w:rsid w:val="00C661E4"/>
    <w:rsid w:val="00C662BA"/>
    <w:rsid w:val="00C66594"/>
    <w:rsid w:val="00C665CB"/>
    <w:rsid w:val="00C66691"/>
    <w:rsid w:val="00C66CB6"/>
    <w:rsid w:val="00C66F01"/>
    <w:rsid w:val="00C671D1"/>
    <w:rsid w:val="00C67209"/>
    <w:rsid w:val="00C675FF"/>
    <w:rsid w:val="00C67602"/>
    <w:rsid w:val="00C67A52"/>
    <w:rsid w:val="00C67A6E"/>
    <w:rsid w:val="00C67B70"/>
    <w:rsid w:val="00C67F2E"/>
    <w:rsid w:val="00C67FAF"/>
    <w:rsid w:val="00C67FF2"/>
    <w:rsid w:val="00C7001C"/>
    <w:rsid w:val="00C7011B"/>
    <w:rsid w:val="00C70130"/>
    <w:rsid w:val="00C702A7"/>
    <w:rsid w:val="00C70959"/>
    <w:rsid w:val="00C70A71"/>
    <w:rsid w:val="00C70B77"/>
    <w:rsid w:val="00C70D09"/>
    <w:rsid w:val="00C710C5"/>
    <w:rsid w:val="00C7114E"/>
    <w:rsid w:val="00C71167"/>
    <w:rsid w:val="00C711F0"/>
    <w:rsid w:val="00C712AA"/>
    <w:rsid w:val="00C71714"/>
    <w:rsid w:val="00C71739"/>
    <w:rsid w:val="00C71A85"/>
    <w:rsid w:val="00C71C32"/>
    <w:rsid w:val="00C71C99"/>
    <w:rsid w:val="00C71ECF"/>
    <w:rsid w:val="00C71F63"/>
    <w:rsid w:val="00C71FFC"/>
    <w:rsid w:val="00C72056"/>
    <w:rsid w:val="00C72293"/>
    <w:rsid w:val="00C722CB"/>
    <w:rsid w:val="00C72503"/>
    <w:rsid w:val="00C728A1"/>
    <w:rsid w:val="00C7293F"/>
    <w:rsid w:val="00C72C44"/>
    <w:rsid w:val="00C72C75"/>
    <w:rsid w:val="00C72ECC"/>
    <w:rsid w:val="00C73092"/>
    <w:rsid w:val="00C73970"/>
    <w:rsid w:val="00C7446D"/>
    <w:rsid w:val="00C74480"/>
    <w:rsid w:val="00C745C0"/>
    <w:rsid w:val="00C74A3E"/>
    <w:rsid w:val="00C74BAA"/>
    <w:rsid w:val="00C74F30"/>
    <w:rsid w:val="00C7527D"/>
    <w:rsid w:val="00C754DC"/>
    <w:rsid w:val="00C755C2"/>
    <w:rsid w:val="00C75928"/>
    <w:rsid w:val="00C75AFE"/>
    <w:rsid w:val="00C75C0B"/>
    <w:rsid w:val="00C75C25"/>
    <w:rsid w:val="00C760C9"/>
    <w:rsid w:val="00C7632D"/>
    <w:rsid w:val="00C76613"/>
    <w:rsid w:val="00C7677C"/>
    <w:rsid w:val="00C76873"/>
    <w:rsid w:val="00C76916"/>
    <w:rsid w:val="00C769EE"/>
    <w:rsid w:val="00C76A7B"/>
    <w:rsid w:val="00C76D03"/>
    <w:rsid w:val="00C76DD1"/>
    <w:rsid w:val="00C76E75"/>
    <w:rsid w:val="00C7715D"/>
    <w:rsid w:val="00C7733D"/>
    <w:rsid w:val="00C77904"/>
    <w:rsid w:val="00C779CB"/>
    <w:rsid w:val="00C77B30"/>
    <w:rsid w:val="00C77B7A"/>
    <w:rsid w:val="00C77E9F"/>
    <w:rsid w:val="00C80020"/>
    <w:rsid w:val="00C80122"/>
    <w:rsid w:val="00C804CC"/>
    <w:rsid w:val="00C80626"/>
    <w:rsid w:val="00C808BC"/>
    <w:rsid w:val="00C80B1C"/>
    <w:rsid w:val="00C80E78"/>
    <w:rsid w:val="00C80EFF"/>
    <w:rsid w:val="00C80F2B"/>
    <w:rsid w:val="00C80F92"/>
    <w:rsid w:val="00C80FB2"/>
    <w:rsid w:val="00C812D6"/>
    <w:rsid w:val="00C813D1"/>
    <w:rsid w:val="00C81598"/>
    <w:rsid w:val="00C817A2"/>
    <w:rsid w:val="00C81974"/>
    <w:rsid w:val="00C81BBA"/>
    <w:rsid w:val="00C81CFE"/>
    <w:rsid w:val="00C81D5B"/>
    <w:rsid w:val="00C8217A"/>
    <w:rsid w:val="00C82234"/>
    <w:rsid w:val="00C82249"/>
    <w:rsid w:val="00C823B6"/>
    <w:rsid w:val="00C82644"/>
    <w:rsid w:val="00C82804"/>
    <w:rsid w:val="00C82D2C"/>
    <w:rsid w:val="00C82D5B"/>
    <w:rsid w:val="00C82E39"/>
    <w:rsid w:val="00C82F62"/>
    <w:rsid w:val="00C82F84"/>
    <w:rsid w:val="00C8303A"/>
    <w:rsid w:val="00C8315C"/>
    <w:rsid w:val="00C831C6"/>
    <w:rsid w:val="00C83378"/>
    <w:rsid w:val="00C8368F"/>
    <w:rsid w:val="00C837F6"/>
    <w:rsid w:val="00C83870"/>
    <w:rsid w:val="00C83DF8"/>
    <w:rsid w:val="00C84201"/>
    <w:rsid w:val="00C842B1"/>
    <w:rsid w:val="00C8460C"/>
    <w:rsid w:val="00C84814"/>
    <w:rsid w:val="00C84A27"/>
    <w:rsid w:val="00C84CFA"/>
    <w:rsid w:val="00C84DFE"/>
    <w:rsid w:val="00C84F27"/>
    <w:rsid w:val="00C8503F"/>
    <w:rsid w:val="00C85221"/>
    <w:rsid w:val="00C8528C"/>
    <w:rsid w:val="00C8548B"/>
    <w:rsid w:val="00C8549F"/>
    <w:rsid w:val="00C854D6"/>
    <w:rsid w:val="00C85649"/>
    <w:rsid w:val="00C857A3"/>
    <w:rsid w:val="00C85868"/>
    <w:rsid w:val="00C85D20"/>
    <w:rsid w:val="00C85D8F"/>
    <w:rsid w:val="00C86269"/>
    <w:rsid w:val="00C8637A"/>
    <w:rsid w:val="00C867E5"/>
    <w:rsid w:val="00C86972"/>
    <w:rsid w:val="00C8697A"/>
    <w:rsid w:val="00C86E31"/>
    <w:rsid w:val="00C86FB9"/>
    <w:rsid w:val="00C8713F"/>
    <w:rsid w:val="00C87404"/>
    <w:rsid w:val="00C87425"/>
    <w:rsid w:val="00C8744D"/>
    <w:rsid w:val="00C875BC"/>
    <w:rsid w:val="00C8768D"/>
    <w:rsid w:val="00C87E6A"/>
    <w:rsid w:val="00C87F42"/>
    <w:rsid w:val="00C87FD6"/>
    <w:rsid w:val="00C9001B"/>
    <w:rsid w:val="00C90248"/>
    <w:rsid w:val="00C90291"/>
    <w:rsid w:val="00C903D5"/>
    <w:rsid w:val="00C90496"/>
    <w:rsid w:val="00C90718"/>
    <w:rsid w:val="00C90A78"/>
    <w:rsid w:val="00C90ACB"/>
    <w:rsid w:val="00C90DC6"/>
    <w:rsid w:val="00C90ECA"/>
    <w:rsid w:val="00C91724"/>
    <w:rsid w:val="00C91BC8"/>
    <w:rsid w:val="00C91C28"/>
    <w:rsid w:val="00C91F5D"/>
    <w:rsid w:val="00C9211D"/>
    <w:rsid w:val="00C92164"/>
    <w:rsid w:val="00C922A4"/>
    <w:rsid w:val="00C92B02"/>
    <w:rsid w:val="00C92DC8"/>
    <w:rsid w:val="00C930A6"/>
    <w:rsid w:val="00C930AC"/>
    <w:rsid w:val="00C93283"/>
    <w:rsid w:val="00C9335F"/>
    <w:rsid w:val="00C93419"/>
    <w:rsid w:val="00C93521"/>
    <w:rsid w:val="00C939A4"/>
    <w:rsid w:val="00C93D48"/>
    <w:rsid w:val="00C93F96"/>
    <w:rsid w:val="00C94256"/>
    <w:rsid w:val="00C943CC"/>
    <w:rsid w:val="00C943FC"/>
    <w:rsid w:val="00C94605"/>
    <w:rsid w:val="00C947DE"/>
    <w:rsid w:val="00C94918"/>
    <w:rsid w:val="00C94ABD"/>
    <w:rsid w:val="00C95C0E"/>
    <w:rsid w:val="00C95C64"/>
    <w:rsid w:val="00C95CB1"/>
    <w:rsid w:val="00C95E24"/>
    <w:rsid w:val="00C95E7B"/>
    <w:rsid w:val="00C95F70"/>
    <w:rsid w:val="00C96001"/>
    <w:rsid w:val="00C960A3"/>
    <w:rsid w:val="00C962D5"/>
    <w:rsid w:val="00C964E8"/>
    <w:rsid w:val="00C96620"/>
    <w:rsid w:val="00C96753"/>
    <w:rsid w:val="00C9681F"/>
    <w:rsid w:val="00C96872"/>
    <w:rsid w:val="00C96D48"/>
    <w:rsid w:val="00C96EF6"/>
    <w:rsid w:val="00C975E6"/>
    <w:rsid w:val="00C978F8"/>
    <w:rsid w:val="00C97D43"/>
    <w:rsid w:val="00CA000E"/>
    <w:rsid w:val="00CA031E"/>
    <w:rsid w:val="00CA0343"/>
    <w:rsid w:val="00CA042D"/>
    <w:rsid w:val="00CA05AC"/>
    <w:rsid w:val="00CA086F"/>
    <w:rsid w:val="00CA0CAA"/>
    <w:rsid w:val="00CA1433"/>
    <w:rsid w:val="00CA143C"/>
    <w:rsid w:val="00CA1484"/>
    <w:rsid w:val="00CA15FD"/>
    <w:rsid w:val="00CA178F"/>
    <w:rsid w:val="00CA1AA0"/>
    <w:rsid w:val="00CA1B1B"/>
    <w:rsid w:val="00CA1C39"/>
    <w:rsid w:val="00CA1C3F"/>
    <w:rsid w:val="00CA1C58"/>
    <w:rsid w:val="00CA1CEF"/>
    <w:rsid w:val="00CA1D66"/>
    <w:rsid w:val="00CA1ECD"/>
    <w:rsid w:val="00CA22ED"/>
    <w:rsid w:val="00CA2576"/>
    <w:rsid w:val="00CA28DE"/>
    <w:rsid w:val="00CA290C"/>
    <w:rsid w:val="00CA2A7B"/>
    <w:rsid w:val="00CA2BFE"/>
    <w:rsid w:val="00CA2DD8"/>
    <w:rsid w:val="00CA2F6F"/>
    <w:rsid w:val="00CA2FBE"/>
    <w:rsid w:val="00CA30A0"/>
    <w:rsid w:val="00CA30BE"/>
    <w:rsid w:val="00CA30E2"/>
    <w:rsid w:val="00CA38DA"/>
    <w:rsid w:val="00CA398B"/>
    <w:rsid w:val="00CA3A3B"/>
    <w:rsid w:val="00CA3B9F"/>
    <w:rsid w:val="00CA3C1E"/>
    <w:rsid w:val="00CA44BB"/>
    <w:rsid w:val="00CA4774"/>
    <w:rsid w:val="00CA49B9"/>
    <w:rsid w:val="00CA4BB9"/>
    <w:rsid w:val="00CA4D67"/>
    <w:rsid w:val="00CA512F"/>
    <w:rsid w:val="00CA54C5"/>
    <w:rsid w:val="00CA55D4"/>
    <w:rsid w:val="00CA5669"/>
    <w:rsid w:val="00CA56CC"/>
    <w:rsid w:val="00CA5996"/>
    <w:rsid w:val="00CA5A1F"/>
    <w:rsid w:val="00CA5F3E"/>
    <w:rsid w:val="00CA5FC7"/>
    <w:rsid w:val="00CA612C"/>
    <w:rsid w:val="00CA61FA"/>
    <w:rsid w:val="00CA630A"/>
    <w:rsid w:val="00CA6637"/>
    <w:rsid w:val="00CA678B"/>
    <w:rsid w:val="00CA6AFC"/>
    <w:rsid w:val="00CA6E2E"/>
    <w:rsid w:val="00CA6F89"/>
    <w:rsid w:val="00CA71CD"/>
    <w:rsid w:val="00CA742B"/>
    <w:rsid w:val="00CA7846"/>
    <w:rsid w:val="00CA7918"/>
    <w:rsid w:val="00CA7AEE"/>
    <w:rsid w:val="00CA7D05"/>
    <w:rsid w:val="00CA7D34"/>
    <w:rsid w:val="00CA7E6C"/>
    <w:rsid w:val="00CB01D7"/>
    <w:rsid w:val="00CB04A8"/>
    <w:rsid w:val="00CB04BE"/>
    <w:rsid w:val="00CB051A"/>
    <w:rsid w:val="00CB0D1F"/>
    <w:rsid w:val="00CB0EA1"/>
    <w:rsid w:val="00CB1252"/>
    <w:rsid w:val="00CB14BC"/>
    <w:rsid w:val="00CB168C"/>
    <w:rsid w:val="00CB1955"/>
    <w:rsid w:val="00CB1E93"/>
    <w:rsid w:val="00CB1F55"/>
    <w:rsid w:val="00CB2019"/>
    <w:rsid w:val="00CB233F"/>
    <w:rsid w:val="00CB248B"/>
    <w:rsid w:val="00CB2552"/>
    <w:rsid w:val="00CB2721"/>
    <w:rsid w:val="00CB2B0F"/>
    <w:rsid w:val="00CB2C3F"/>
    <w:rsid w:val="00CB31DE"/>
    <w:rsid w:val="00CB3549"/>
    <w:rsid w:val="00CB355C"/>
    <w:rsid w:val="00CB3861"/>
    <w:rsid w:val="00CB3C33"/>
    <w:rsid w:val="00CB3C55"/>
    <w:rsid w:val="00CB3C78"/>
    <w:rsid w:val="00CB3C7C"/>
    <w:rsid w:val="00CB3CF0"/>
    <w:rsid w:val="00CB3FBF"/>
    <w:rsid w:val="00CB4339"/>
    <w:rsid w:val="00CB438A"/>
    <w:rsid w:val="00CB4478"/>
    <w:rsid w:val="00CB499F"/>
    <w:rsid w:val="00CB49F0"/>
    <w:rsid w:val="00CB4DA1"/>
    <w:rsid w:val="00CB51A7"/>
    <w:rsid w:val="00CB526E"/>
    <w:rsid w:val="00CB54DA"/>
    <w:rsid w:val="00CB5626"/>
    <w:rsid w:val="00CB57CA"/>
    <w:rsid w:val="00CB59C1"/>
    <w:rsid w:val="00CB5C8C"/>
    <w:rsid w:val="00CB5CB1"/>
    <w:rsid w:val="00CB5EE0"/>
    <w:rsid w:val="00CB6111"/>
    <w:rsid w:val="00CB6167"/>
    <w:rsid w:val="00CB6455"/>
    <w:rsid w:val="00CB6837"/>
    <w:rsid w:val="00CB6D28"/>
    <w:rsid w:val="00CB6EC0"/>
    <w:rsid w:val="00CB6EE1"/>
    <w:rsid w:val="00CB706F"/>
    <w:rsid w:val="00CB7283"/>
    <w:rsid w:val="00CB74FB"/>
    <w:rsid w:val="00CB7538"/>
    <w:rsid w:val="00CB78E9"/>
    <w:rsid w:val="00CB7B3A"/>
    <w:rsid w:val="00CB7C80"/>
    <w:rsid w:val="00CC0304"/>
    <w:rsid w:val="00CC03E6"/>
    <w:rsid w:val="00CC074B"/>
    <w:rsid w:val="00CC0892"/>
    <w:rsid w:val="00CC0BEE"/>
    <w:rsid w:val="00CC10C5"/>
    <w:rsid w:val="00CC13A3"/>
    <w:rsid w:val="00CC13FA"/>
    <w:rsid w:val="00CC16B4"/>
    <w:rsid w:val="00CC1ACD"/>
    <w:rsid w:val="00CC1AEB"/>
    <w:rsid w:val="00CC2195"/>
    <w:rsid w:val="00CC22D9"/>
    <w:rsid w:val="00CC2583"/>
    <w:rsid w:val="00CC2707"/>
    <w:rsid w:val="00CC27B8"/>
    <w:rsid w:val="00CC28C9"/>
    <w:rsid w:val="00CC3063"/>
    <w:rsid w:val="00CC31A1"/>
    <w:rsid w:val="00CC3A3A"/>
    <w:rsid w:val="00CC3C5A"/>
    <w:rsid w:val="00CC3CFD"/>
    <w:rsid w:val="00CC42F6"/>
    <w:rsid w:val="00CC4313"/>
    <w:rsid w:val="00CC46C5"/>
    <w:rsid w:val="00CC52BD"/>
    <w:rsid w:val="00CC5454"/>
    <w:rsid w:val="00CC5482"/>
    <w:rsid w:val="00CC5862"/>
    <w:rsid w:val="00CC5AA5"/>
    <w:rsid w:val="00CC5C9A"/>
    <w:rsid w:val="00CC5DE9"/>
    <w:rsid w:val="00CC5F67"/>
    <w:rsid w:val="00CC60AC"/>
    <w:rsid w:val="00CC6132"/>
    <w:rsid w:val="00CC61B2"/>
    <w:rsid w:val="00CC63A7"/>
    <w:rsid w:val="00CC673F"/>
    <w:rsid w:val="00CC6753"/>
    <w:rsid w:val="00CC6850"/>
    <w:rsid w:val="00CC6897"/>
    <w:rsid w:val="00CC6988"/>
    <w:rsid w:val="00CC6A37"/>
    <w:rsid w:val="00CC6B34"/>
    <w:rsid w:val="00CC6BF0"/>
    <w:rsid w:val="00CC6EF8"/>
    <w:rsid w:val="00CC7333"/>
    <w:rsid w:val="00CC7582"/>
    <w:rsid w:val="00CC7C0B"/>
    <w:rsid w:val="00CD0079"/>
    <w:rsid w:val="00CD0636"/>
    <w:rsid w:val="00CD0B3F"/>
    <w:rsid w:val="00CD0F7A"/>
    <w:rsid w:val="00CD1605"/>
    <w:rsid w:val="00CD1B6F"/>
    <w:rsid w:val="00CD1ED9"/>
    <w:rsid w:val="00CD1F60"/>
    <w:rsid w:val="00CD1FEA"/>
    <w:rsid w:val="00CD2532"/>
    <w:rsid w:val="00CD2C70"/>
    <w:rsid w:val="00CD2DAA"/>
    <w:rsid w:val="00CD30B2"/>
    <w:rsid w:val="00CD358C"/>
    <w:rsid w:val="00CD381A"/>
    <w:rsid w:val="00CD3894"/>
    <w:rsid w:val="00CD39F9"/>
    <w:rsid w:val="00CD3AB0"/>
    <w:rsid w:val="00CD3E3B"/>
    <w:rsid w:val="00CD3E93"/>
    <w:rsid w:val="00CD43B0"/>
    <w:rsid w:val="00CD468B"/>
    <w:rsid w:val="00CD46AA"/>
    <w:rsid w:val="00CD48CF"/>
    <w:rsid w:val="00CD4A39"/>
    <w:rsid w:val="00CD4AB7"/>
    <w:rsid w:val="00CD4B42"/>
    <w:rsid w:val="00CD4B78"/>
    <w:rsid w:val="00CD4CD9"/>
    <w:rsid w:val="00CD4F43"/>
    <w:rsid w:val="00CD5000"/>
    <w:rsid w:val="00CD51B2"/>
    <w:rsid w:val="00CD528D"/>
    <w:rsid w:val="00CD5390"/>
    <w:rsid w:val="00CD5557"/>
    <w:rsid w:val="00CD58B7"/>
    <w:rsid w:val="00CD5986"/>
    <w:rsid w:val="00CD5DCC"/>
    <w:rsid w:val="00CD6000"/>
    <w:rsid w:val="00CD62DF"/>
    <w:rsid w:val="00CD6316"/>
    <w:rsid w:val="00CD63CD"/>
    <w:rsid w:val="00CD643D"/>
    <w:rsid w:val="00CD646E"/>
    <w:rsid w:val="00CD69EB"/>
    <w:rsid w:val="00CD6AB0"/>
    <w:rsid w:val="00CD7009"/>
    <w:rsid w:val="00CD709D"/>
    <w:rsid w:val="00CD7105"/>
    <w:rsid w:val="00CD7220"/>
    <w:rsid w:val="00CD7716"/>
    <w:rsid w:val="00CD779C"/>
    <w:rsid w:val="00CD787E"/>
    <w:rsid w:val="00CD78CB"/>
    <w:rsid w:val="00CD7941"/>
    <w:rsid w:val="00CD7998"/>
    <w:rsid w:val="00CD7A07"/>
    <w:rsid w:val="00CD7AD5"/>
    <w:rsid w:val="00CD7DA2"/>
    <w:rsid w:val="00CD7EE0"/>
    <w:rsid w:val="00CD7FC3"/>
    <w:rsid w:val="00CE03F4"/>
    <w:rsid w:val="00CE07ED"/>
    <w:rsid w:val="00CE099E"/>
    <w:rsid w:val="00CE0EB0"/>
    <w:rsid w:val="00CE0F9E"/>
    <w:rsid w:val="00CE0FBB"/>
    <w:rsid w:val="00CE1215"/>
    <w:rsid w:val="00CE124A"/>
    <w:rsid w:val="00CE125F"/>
    <w:rsid w:val="00CE1332"/>
    <w:rsid w:val="00CE1A30"/>
    <w:rsid w:val="00CE2426"/>
    <w:rsid w:val="00CE2571"/>
    <w:rsid w:val="00CE2760"/>
    <w:rsid w:val="00CE2779"/>
    <w:rsid w:val="00CE2A4B"/>
    <w:rsid w:val="00CE2A94"/>
    <w:rsid w:val="00CE2C83"/>
    <w:rsid w:val="00CE2E15"/>
    <w:rsid w:val="00CE34CD"/>
    <w:rsid w:val="00CE38B9"/>
    <w:rsid w:val="00CE3BB7"/>
    <w:rsid w:val="00CE3BF7"/>
    <w:rsid w:val="00CE3C63"/>
    <w:rsid w:val="00CE3CA6"/>
    <w:rsid w:val="00CE3DEB"/>
    <w:rsid w:val="00CE3E88"/>
    <w:rsid w:val="00CE3EA2"/>
    <w:rsid w:val="00CE3F69"/>
    <w:rsid w:val="00CE4138"/>
    <w:rsid w:val="00CE4203"/>
    <w:rsid w:val="00CE421A"/>
    <w:rsid w:val="00CE43DE"/>
    <w:rsid w:val="00CE4422"/>
    <w:rsid w:val="00CE45AC"/>
    <w:rsid w:val="00CE46C3"/>
    <w:rsid w:val="00CE4B64"/>
    <w:rsid w:val="00CE4B6D"/>
    <w:rsid w:val="00CE4DE8"/>
    <w:rsid w:val="00CE5044"/>
    <w:rsid w:val="00CE50B6"/>
    <w:rsid w:val="00CE5663"/>
    <w:rsid w:val="00CE573F"/>
    <w:rsid w:val="00CE596F"/>
    <w:rsid w:val="00CE5C6D"/>
    <w:rsid w:val="00CE636F"/>
    <w:rsid w:val="00CE659C"/>
    <w:rsid w:val="00CE66C5"/>
    <w:rsid w:val="00CE6817"/>
    <w:rsid w:val="00CE68C3"/>
    <w:rsid w:val="00CE68CF"/>
    <w:rsid w:val="00CE6AB9"/>
    <w:rsid w:val="00CE6E6E"/>
    <w:rsid w:val="00CE7004"/>
    <w:rsid w:val="00CE71AB"/>
    <w:rsid w:val="00CE741E"/>
    <w:rsid w:val="00CE76C7"/>
    <w:rsid w:val="00CE7ABD"/>
    <w:rsid w:val="00CE7B10"/>
    <w:rsid w:val="00CE7C10"/>
    <w:rsid w:val="00CE7DB5"/>
    <w:rsid w:val="00CE7F89"/>
    <w:rsid w:val="00CE7F96"/>
    <w:rsid w:val="00CF0693"/>
    <w:rsid w:val="00CF0C65"/>
    <w:rsid w:val="00CF0D2C"/>
    <w:rsid w:val="00CF1232"/>
    <w:rsid w:val="00CF1367"/>
    <w:rsid w:val="00CF15BA"/>
    <w:rsid w:val="00CF17FF"/>
    <w:rsid w:val="00CF1A2A"/>
    <w:rsid w:val="00CF1A36"/>
    <w:rsid w:val="00CF1A45"/>
    <w:rsid w:val="00CF1BB6"/>
    <w:rsid w:val="00CF1E81"/>
    <w:rsid w:val="00CF1FD8"/>
    <w:rsid w:val="00CF207D"/>
    <w:rsid w:val="00CF21EC"/>
    <w:rsid w:val="00CF2276"/>
    <w:rsid w:val="00CF23AF"/>
    <w:rsid w:val="00CF2471"/>
    <w:rsid w:val="00CF257D"/>
    <w:rsid w:val="00CF28BC"/>
    <w:rsid w:val="00CF2B17"/>
    <w:rsid w:val="00CF2E89"/>
    <w:rsid w:val="00CF3384"/>
    <w:rsid w:val="00CF33F7"/>
    <w:rsid w:val="00CF3680"/>
    <w:rsid w:val="00CF3764"/>
    <w:rsid w:val="00CF37A7"/>
    <w:rsid w:val="00CF3E68"/>
    <w:rsid w:val="00CF4408"/>
    <w:rsid w:val="00CF45A1"/>
    <w:rsid w:val="00CF46E2"/>
    <w:rsid w:val="00CF470D"/>
    <w:rsid w:val="00CF4BDF"/>
    <w:rsid w:val="00CF4DA2"/>
    <w:rsid w:val="00CF4DA6"/>
    <w:rsid w:val="00CF4DB2"/>
    <w:rsid w:val="00CF4F9C"/>
    <w:rsid w:val="00CF5133"/>
    <w:rsid w:val="00CF5207"/>
    <w:rsid w:val="00CF55EF"/>
    <w:rsid w:val="00CF5634"/>
    <w:rsid w:val="00CF5868"/>
    <w:rsid w:val="00CF58A3"/>
    <w:rsid w:val="00CF597A"/>
    <w:rsid w:val="00CF59E1"/>
    <w:rsid w:val="00CF5A6B"/>
    <w:rsid w:val="00CF6065"/>
    <w:rsid w:val="00CF6067"/>
    <w:rsid w:val="00CF6124"/>
    <w:rsid w:val="00CF61C9"/>
    <w:rsid w:val="00CF6749"/>
    <w:rsid w:val="00CF67EC"/>
    <w:rsid w:val="00CF6989"/>
    <w:rsid w:val="00CF6B2F"/>
    <w:rsid w:val="00CF6C97"/>
    <w:rsid w:val="00CF6CDD"/>
    <w:rsid w:val="00CF6FC3"/>
    <w:rsid w:val="00CF708A"/>
    <w:rsid w:val="00CF70D4"/>
    <w:rsid w:val="00CF7251"/>
    <w:rsid w:val="00CF7399"/>
    <w:rsid w:val="00CF7478"/>
    <w:rsid w:val="00CF7526"/>
    <w:rsid w:val="00CF76F0"/>
    <w:rsid w:val="00CF77D3"/>
    <w:rsid w:val="00CF78C4"/>
    <w:rsid w:val="00CF7C41"/>
    <w:rsid w:val="00CF7D34"/>
    <w:rsid w:val="00CF7E48"/>
    <w:rsid w:val="00CF7F33"/>
    <w:rsid w:val="00D001D7"/>
    <w:rsid w:val="00D0037F"/>
    <w:rsid w:val="00D003D5"/>
    <w:rsid w:val="00D003E4"/>
    <w:rsid w:val="00D00459"/>
    <w:rsid w:val="00D007A2"/>
    <w:rsid w:val="00D00ADB"/>
    <w:rsid w:val="00D00CB7"/>
    <w:rsid w:val="00D00E6E"/>
    <w:rsid w:val="00D0100B"/>
    <w:rsid w:val="00D01017"/>
    <w:rsid w:val="00D0146D"/>
    <w:rsid w:val="00D016E9"/>
    <w:rsid w:val="00D01831"/>
    <w:rsid w:val="00D01BB9"/>
    <w:rsid w:val="00D01C76"/>
    <w:rsid w:val="00D01CDC"/>
    <w:rsid w:val="00D02048"/>
    <w:rsid w:val="00D0235B"/>
    <w:rsid w:val="00D0255B"/>
    <w:rsid w:val="00D02608"/>
    <w:rsid w:val="00D0261A"/>
    <w:rsid w:val="00D0266E"/>
    <w:rsid w:val="00D0276E"/>
    <w:rsid w:val="00D0280F"/>
    <w:rsid w:val="00D02AAE"/>
    <w:rsid w:val="00D02AB2"/>
    <w:rsid w:val="00D02DD9"/>
    <w:rsid w:val="00D02E66"/>
    <w:rsid w:val="00D03081"/>
    <w:rsid w:val="00D03118"/>
    <w:rsid w:val="00D03138"/>
    <w:rsid w:val="00D0331F"/>
    <w:rsid w:val="00D03341"/>
    <w:rsid w:val="00D03354"/>
    <w:rsid w:val="00D0348F"/>
    <w:rsid w:val="00D03679"/>
    <w:rsid w:val="00D03A25"/>
    <w:rsid w:val="00D03CA3"/>
    <w:rsid w:val="00D03CC8"/>
    <w:rsid w:val="00D03E87"/>
    <w:rsid w:val="00D04212"/>
    <w:rsid w:val="00D04218"/>
    <w:rsid w:val="00D042C3"/>
    <w:rsid w:val="00D044C2"/>
    <w:rsid w:val="00D04734"/>
    <w:rsid w:val="00D04871"/>
    <w:rsid w:val="00D04ADE"/>
    <w:rsid w:val="00D04EB1"/>
    <w:rsid w:val="00D04F86"/>
    <w:rsid w:val="00D050B7"/>
    <w:rsid w:val="00D0547D"/>
    <w:rsid w:val="00D05553"/>
    <w:rsid w:val="00D05586"/>
    <w:rsid w:val="00D05D3A"/>
    <w:rsid w:val="00D05D9D"/>
    <w:rsid w:val="00D0602C"/>
    <w:rsid w:val="00D0604D"/>
    <w:rsid w:val="00D060B4"/>
    <w:rsid w:val="00D0636A"/>
    <w:rsid w:val="00D0655E"/>
    <w:rsid w:val="00D06616"/>
    <w:rsid w:val="00D0662F"/>
    <w:rsid w:val="00D068D6"/>
    <w:rsid w:val="00D06B74"/>
    <w:rsid w:val="00D07352"/>
    <w:rsid w:val="00D07575"/>
    <w:rsid w:val="00D07C8E"/>
    <w:rsid w:val="00D07D29"/>
    <w:rsid w:val="00D07D52"/>
    <w:rsid w:val="00D07DA0"/>
    <w:rsid w:val="00D1035C"/>
    <w:rsid w:val="00D1055C"/>
    <w:rsid w:val="00D10640"/>
    <w:rsid w:val="00D10675"/>
    <w:rsid w:val="00D106B0"/>
    <w:rsid w:val="00D109D3"/>
    <w:rsid w:val="00D109F7"/>
    <w:rsid w:val="00D10B6F"/>
    <w:rsid w:val="00D10B78"/>
    <w:rsid w:val="00D10E7F"/>
    <w:rsid w:val="00D10EC0"/>
    <w:rsid w:val="00D10F62"/>
    <w:rsid w:val="00D1139E"/>
    <w:rsid w:val="00D113DD"/>
    <w:rsid w:val="00D11582"/>
    <w:rsid w:val="00D116DB"/>
    <w:rsid w:val="00D1170A"/>
    <w:rsid w:val="00D119B8"/>
    <w:rsid w:val="00D11B3C"/>
    <w:rsid w:val="00D11BC5"/>
    <w:rsid w:val="00D11CA2"/>
    <w:rsid w:val="00D11DEF"/>
    <w:rsid w:val="00D11F3F"/>
    <w:rsid w:val="00D11FCF"/>
    <w:rsid w:val="00D12190"/>
    <w:rsid w:val="00D12245"/>
    <w:rsid w:val="00D12333"/>
    <w:rsid w:val="00D12513"/>
    <w:rsid w:val="00D12555"/>
    <w:rsid w:val="00D127B3"/>
    <w:rsid w:val="00D12967"/>
    <w:rsid w:val="00D12BC1"/>
    <w:rsid w:val="00D12CF5"/>
    <w:rsid w:val="00D12D9E"/>
    <w:rsid w:val="00D130A3"/>
    <w:rsid w:val="00D13C4C"/>
    <w:rsid w:val="00D13D67"/>
    <w:rsid w:val="00D13F8B"/>
    <w:rsid w:val="00D14294"/>
    <w:rsid w:val="00D143F4"/>
    <w:rsid w:val="00D1456C"/>
    <w:rsid w:val="00D146D8"/>
    <w:rsid w:val="00D147F6"/>
    <w:rsid w:val="00D14A30"/>
    <w:rsid w:val="00D14B35"/>
    <w:rsid w:val="00D14B91"/>
    <w:rsid w:val="00D14D7B"/>
    <w:rsid w:val="00D14DCE"/>
    <w:rsid w:val="00D14E3E"/>
    <w:rsid w:val="00D14EDA"/>
    <w:rsid w:val="00D15907"/>
    <w:rsid w:val="00D15957"/>
    <w:rsid w:val="00D15A4E"/>
    <w:rsid w:val="00D15B28"/>
    <w:rsid w:val="00D15D20"/>
    <w:rsid w:val="00D15EC7"/>
    <w:rsid w:val="00D16119"/>
    <w:rsid w:val="00D1626E"/>
    <w:rsid w:val="00D1644D"/>
    <w:rsid w:val="00D165E8"/>
    <w:rsid w:val="00D16828"/>
    <w:rsid w:val="00D16860"/>
    <w:rsid w:val="00D16913"/>
    <w:rsid w:val="00D16B98"/>
    <w:rsid w:val="00D16BCC"/>
    <w:rsid w:val="00D16BE8"/>
    <w:rsid w:val="00D16C0E"/>
    <w:rsid w:val="00D16D0A"/>
    <w:rsid w:val="00D16DB8"/>
    <w:rsid w:val="00D16F4F"/>
    <w:rsid w:val="00D17050"/>
    <w:rsid w:val="00D1716C"/>
    <w:rsid w:val="00D1756D"/>
    <w:rsid w:val="00D17619"/>
    <w:rsid w:val="00D1764B"/>
    <w:rsid w:val="00D17776"/>
    <w:rsid w:val="00D17EA0"/>
    <w:rsid w:val="00D17ED1"/>
    <w:rsid w:val="00D17F99"/>
    <w:rsid w:val="00D200FD"/>
    <w:rsid w:val="00D201A0"/>
    <w:rsid w:val="00D203AA"/>
    <w:rsid w:val="00D20874"/>
    <w:rsid w:val="00D209E6"/>
    <w:rsid w:val="00D20DF2"/>
    <w:rsid w:val="00D20E62"/>
    <w:rsid w:val="00D212EA"/>
    <w:rsid w:val="00D21507"/>
    <w:rsid w:val="00D215BA"/>
    <w:rsid w:val="00D215D6"/>
    <w:rsid w:val="00D216A8"/>
    <w:rsid w:val="00D21B7B"/>
    <w:rsid w:val="00D21D1B"/>
    <w:rsid w:val="00D21EE6"/>
    <w:rsid w:val="00D2222E"/>
    <w:rsid w:val="00D22662"/>
    <w:rsid w:val="00D2268F"/>
    <w:rsid w:val="00D227D5"/>
    <w:rsid w:val="00D22B11"/>
    <w:rsid w:val="00D22B2E"/>
    <w:rsid w:val="00D22BB7"/>
    <w:rsid w:val="00D22CC5"/>
    <w:rsid w:val="00D22D8F"/>
    <w:rsid w:val="00D22E41"/>
    <w:rsid w:val="00D22F95"/>
    <w:rsid w:val="00D23146"/>
    <w:rsid w:val="00D2338C"/>
    <w:rsid w:val="00D23732"/>
    <w:rsid w:val="00D237C8"/>
    <w:rsid w:val="00D23989"/>
    <w:rsid w:val="00D23F13"/>
    <w:rsid w:val="00D2413B"/>
    <w:rsid w:val="00D24230"/>
    <w:rsid w:val="00D2427A"/>
    <w:rsid w:val="00D2494A"/>
    <w:rsid w:val="00D24A5E"/>
    <w:rsid w:val="00D24AD5"/>
    <w:rsid w:val="00D24C2F"/>
    <w:rsid w:val="00D24CA9"/>
    <w:rsid w:val="00D25009"/>
    <w:rsid w:val="00D25084"/>
    <w:rsid w:val="00D25E5D"/>
    <w:rsid w:val="00D25E8A"/>
    <w:rsid w:val="00D2683C"/>
    <w:rsid w:val="00D26994"/>
    <w:rsid w:val="00D26B86"/>
    <w:rsid w:val="00D26D22"/>
    <w:rsid w:val="00D26D9A"/>
    <w:rsid w:val="00D26DD1"/>
    <w:rsid w:val="00D26ECD"/>
    <w:rsid w:val="00D270DC"/>
    <w:rsid w:val="00D27262"/>
    <w:rsid w:val="00D2730C"/>
    <w:rsid w:val="00D274B6"/>
    <w:rsid w:val="00D274CC"/>
    <w:rsid w:val="00D27582"/>
    <w:rsid w:val="00D27A61"/>
    <w:rsid w:val="00D27B86"/>
    <w:rsid w:val="00D27BB9"/>
    <w:rsid w:val="00D30634"/>
    <w:rsid w:val="00D3086A"/>
    <w:rsid w:val="00D30891"/>
    <w:rsid w:val="00D30A2C"/>
    <w:rsid w:val="00D30AD1"/>
    <w:rsid w:val="00D31096"/>
    <w:rsid w:val="00D31102"/>
    <w:rsid w:val="00D3118B"/>
    <w:rsid w:val="00D31259"/>
    <w:rsid w:val="00D313B3"/>
    <w:rsid w:val="00D31718"/>
    <w:rsid w:val="00D31D07"/>
    <w:rsid w:val="00D31EF3"/>
    <w:rsid w:val="00D31EF8"/>
    <w:rsid w:val="00D3206D"/>
    <w:rsid w:val="00D32118"/>
    <w:rsid w:val="00D32167"/>
    <w:rsid w:val="00D3227B"/>
    <w:rsid w:val="00D32283"/>
    <w:rsid w:val="00D32545"/>
    <w:rsid w:val="00D325B4"/>
    <w:rsid w:val="00D3274E"/>
    <w:rsid w:val="00D32949"/>
    <w:rsid w:val="00D32A11"/>
    <w:rsid w:val="00D32B1A"/>
    <w:rsid w:val="00D32BEC"/>
    <w:rsid w:val="00D32EB0"/>
    <w:rsid w:val="00D32F08"/>
    <w:rsid w:val="00D3312F"/>
    <w:rsid w:val="00D33505"/>
    <w:rsid w:val="00D33549"/>
    <w:rsid w:val="00D3372B"/>
    <w:rsid w:val="00D3399B"/>
    <w:rsid w:val="00D33B96"/>
    <w:rsid w:val="00D33C8F"/>
    <w:rsid w:val="00D33F30"/>
    <w:rsid w:val="00D3402A"/>
    <w:rsid w:val="00D3414A"/>
    <w:rsid w:val="00D34276"/>
    <w:rsid w:val="00D3452F"/>
    <w:rsid w:val="00D34561"/>
    <w:rsid w:val="00D34A10"/>
    <w:rsid w:val="00D34AF0"/>
    <w:rsid w:val="00D34FD3"/>
    <w:rsid w:val="00D352A8"/>
    <w:rsid w:val="00D35326"/>
    <w:rsid w:val="00D3534C"/>
    <w:rsid w:val="00D35736"/>
    <w:rsid w:val="00D35783"/>
    <w:rsid w:val="00D35AEB"/>
    <w:rsid w:val="00D35BC0"/>
    <w:rsid w:val="00D35C22"/>
    <w:rsid w:val="00D35C26"/>
    <w:rsid w:val="00D35CD2"/>
    <w:rsid w:val="00D35CF4"/>
    <w:rsid w:val="00D35D20"/>
    <w:rsid w:val="00D36059"/>
    <w:rsid w:val="00D36061"/>
    <w:rsid w:val="00D36180"/>
    <w:rsid w:val="00D363A0"/>
    <w:rsid w:val="00D363A7"/>
    <w:rsid w:val="00D365B9"/>
    <w:rsid w:val="00D366E8"/>
    <w:rsid w:val="00D3675D"/>
    <w:rsid w:val="00D36AEA"/>
    <w:rsid w:val="00D36BB1"/>
    <w:rsid w:val="00D36BC5"/>
    <w:rsid w:val="00D36D46"/>
    <w:rsid w:val="00D37030"/>
    <w:rsid w:val="00D37368"/>
    <w:rsid w:val="00D373EE"/>
    <w:rsid w:val="00D374EE"/>
    <w:rsid w:val="00D375F4"/>
    <w:rsid w:val="00D377A9"/>
    <w:rsid w:val="00D377AE"/>
    <w:rsid w:val="00D378CB"/>
    <w:rsid w:val="00D37960"/>
    <w:rsid w:val="00D37C77"/>
    <w:rsid w:val="00D37D79"/>
    <w:rsid w:val="00D37F2F"/>
    <w:rsid w:val="00D40067"/>
    <w:rsid w:val="00D402F5"/>
    <w:rsid w:val="00D403AC"/>
    <w:rsid w:val="00D40664"/>
    <w:rsid w:val="00D406F5"/>
    <w:rsid w:val="00D40701"/>
    <w:rsid w:val="00D40749"/>
    <w:rsid w:val="00D40F60"/>
    <w:rsid w:val="00D41354"/>
    <w:rsid w:val="00D41364"/>
    <w:rsid w:val="00D41549"/>
    <w:rsid w:val="00D4195B"/>
    <w:rsid w:val="00D41AA8"/>
    <w:rsid w:val="00D41E4E"/>
    <w:rsid w:val="00D4220B"/>
    <w:rsid w:val="00D42373"/>
    <w:rsid w:val="00D42AB5"/>
    <w:rsid w:val="00D42DAD"/>
    <w:rsid w:val="00D42DCA"/>
    <w:rsid w:val="00D42F1B"/>
    <w:rsid w:val="00D42F68"/>
    <w:rsid w:val="00D437E6"/>
    <w:rsid w:val="00D43820"/>
    <w:rsid w:val="00D4386B"/>
    <w:rsid w:val="00D43A13"/>
    <w:rsid w:val="00D43A75"/>
    <w:rsid w:val="00D43B17"/>
    <w:rsid w:val="00D43CCD"/>
    <w:rsid w:val="00D43F1A"/>
    <w:rsid w:val="00D43F85"/>
    <w:rsid w:val="00D442A1"/>
    <w:rsid w:val="00D443F2"/>
    <w:rsid w:val="00D444AB"/>
    <w:rsid w:val="00D44538"/>
    <w:rsid w:val="00D4456D"/>
    <w:rsid w:val="00D44755"/>
    <w:rsid w:val="00D44A28"/>
    <w:rsid w:val="00D44AAB"/>
    <w:rsid w:val="00D44B45"/>
    <w:rsid w:val="00D44D89"/>
    <w:rsid w:val="00D44FF3"/>
    <w:rsid w:val="00D45120"/>
    <w:rsid w:val="00D453A2"/>
    <w:rsid w:val="00D4550B"/>
    <w:rsid w:val="00D45863"/>
    <w:rsid w:val="00D45B0C"/>
    <w:rsid w:val="00D45C1B"/>
    <w:rsid w:val="00D45C4C"/>
    <w:rsid w:val="00D45DB5"/>
    <w:rsid w:val="00D45EE8"/>
    <w:rsid w:val="00D4616D"/>
    <w:rsid w:val="00D463F4"/>
    <w:rsid w:val="00D4669B"/>
    <w:rsid w:val="00D466EF"/>
    <w:rsid w:val="00D4689B"/>
    <w:rsid w:val="00D46A11"/>
    <w:rsid w:val="00D46F0C"/>
    <w:rsid w:val="00D471C6"/>
    <w:rsid w:val="00D473CC"/>
    <w:rsid w:val="00D4746E"/>
    <w:rsid w:val="00D4764B"/>
    <w:rsid w:val="00D476C9"/>
    <w:rsid w:val="00D4792E"/>
    <w:rsid w:val="00D47A02"/>
    <w:rsid w:val="00D501A5"/>
    <w:rsid w:val="00D506FA"/>
    <w:rsid w:val="00D50725"/>
    <w:rsid w:val="00D50825"/>
    <w:rsid w:val="00D50881"/>
    <w:rsid w:val="00D50F2C"/>
    <w:rsid w:val="00D50FC7"/>
    <w:rsid w:val="00D5136D"/>
    <w:rsid w:val="00D513E1"/>
    <w:rsid w:val="00D51814"/>
    <w:rsid w:val="00D51843"/>
    <w:rsid w:val="00D519F2"/>
    <w:rsid w:val="00D51CF9"/>
    <w:rsid w:val="00D52258"/>
    <w:rsid w:val="00D52792"/>
    <w:rsid w:val="00D52861"/>
    <w:rsid w:val="00D52A5E"/>
    <w:rsid w:val="00D52E56"/>
    <w:rsid w:val="00D52F96"/>
    <w:rsid w:val="00D53028"/>
    <w:rsid w:val="00D53118"/>
    <w:rsid w:val="00D531D5"/>
    <w:rsid w:val="00D533D7"/>
    <w:rsid w:val="00D53751"/>
    <w:rsid w:val="00D5385B"/>
    <w:rsid w:val="00D53A56"/>
    <w:rsid w:val="00D54448"/>
    <w:rsid w:val="00D54563"/>
    <w:rsid w:val="00D54A2F"/>
    <w:rsid w:val="00D54E70"/>
    <w:rsid w:val="00D5518D"/>
    <w:rsid w:val="00D5527F"/>
    <w:rsid w:val="00D554D5"/>
    <w:rsid w:val="00D55925"/>
    <w:rsid w:val="00D55B8B"/>
    <w:rsid w:val="00D55E22"/>
    <w:rsid w:val="00D55E95"/>
    <w:rsid w:val="00D56079"/>
    <w:rsid w:val="00D564DF"/>
    <w:rsid w:val="00D565ED"/>
    <w:rsid w:val="00D56825"/>
    <w:rsid w:val="00D56A73"/>
    <w:rsid w:val="00D56DF4"/>
    <w:rsid w:val="00D56FAD"/>
    <w:rsid w:val="00D56FBF"/>
    <w:rsid w:val="00D573EF"/>
    <w:rsid w:val="00D57833"/>
    <w:rsid w:val="00D57AD2"/>
    <w:rsid w:val="00D57AE3"/>
    <w:rsid w:val="00D57B98"/>
    <w:rsid w:val="00D57CA7"/>
    <w:rsid w:val="00D57DCF"/>
    <w:rsid w:val="00D6008A"/>
    <w:rsid w:val="00D6012A"/>
    <w:rsid w:val="00D603AB"/>
    <w:rsid w:val="00D60590"/>
    <w:rsid w:val="00D60593"/>
    <w:rsid w:val="00D605E7"/>
    <w:rsid w:val="00D6074A"/>
    <w:rsid w:val="00D608F2"/>
    <w:rsid w:val="00D60FC2"/>
    <w:rsid w:val="00D61A13"/>
    <w:rsid w:val="00D61EF4"/>
    <w:rsid w:val="00D6218C"/>
    <w:rsid w:val="00D62312"/>
    <w:rsid w:val="00D62361"/>
    <w:rsid w:val="00D6279C"/>
    <w:rsid w:val="00D62EC5"/>
    <w:rsid w:val="00D62F00"/>
    <w:rsid w:val="00D6303B"/>
    <w:rsid w:val="00D63115"/>
    <w:rsid w:val="00D63229"/>
    <w:rsid w:val="00D632BC"/>
    <w:rsid w:val="00D6339A"/>
    <w:rsid w:val="00D6348B"/>
    <w:rsid w:val="00D637FC"/>
    <w:rsid w:val="00D638B7"/>
    <w:rsid w:val="00D63AC2"/>
    <w:rsid w:val="00D63E41"/>
    <w:rsid w:val="00D63F55"/>
    <w:rsid w:val="00D63F91"/>
    <w:rsid w:val="00D63FA5"/>
    <w:rsid w:val="00D6405D"/>
    <w:rsid w:val="00D641C8"/>
    <w:rsid w:val="00D64308"/>
    <w:rsid w:val="00D64731"/>
    <w:rsid w:val="00D64758"/>
    <w:rsid w:val="00D64908"/>
    <w:rsid w:val="00D64B92"/>
    <w:rsid w:val="00D64E8D"/>
    <w:rsid w:val="00D64F93"/>
    <w:rsid w:val="00D65554"/>
    <w:rsid w:val="00D65C51"/>
    <w:rsid w:val="00D65C5D"/>
    <w:rsid w:val="00D65D4C"/>
    <w:rsid w:val="00D65EFC"/>
    <w:rsid w:val="00D660E9"/>
    <w:rsid w:val="00D66587"/>
    <w:rsid w:val="00D66642"/>
    <w:rsid w:val="00D6665C"/>
    <w:rsid w:val="00D6689A"/>
    <w:rsid w:val="00D669A5"/>
    <w:rsid w:val="00D66A1A"/>
    <w:rsid w:val="00D66A80"/>
    <w:rsid w:val="00D66FB4"/>
    <w:rsid w:val="00D67120"/>
    <w:rsid w:val="00D671F7"/>
    <w:rsid w:val="00D6725B"/>
    <w:rsid w:val="00D67457"/>
    <w:rsid w:val="00D674B4"/>
    <w:rsid w:val="00D67591"/>
    <w:rsid w:val="00D675CC"/>
    <w:rsid w:val="00D67742"/>
    <w:rsid w:val="00D678D1"/>
    <w:rsid w:val="00D679AD"/>
    <w:rsid w:val="00D679F1"/>
    <w:rsid w:val="00D67E1F"/>
    <w:rsid w:val="00D70547"/>
    <w:rsid w:val="00D706DE"/>
    <w:rsid w:val="00D708C3"/>
    <w:rsid w:val="00D70CC8"/>
    <w:rsid w:val="00D70CE2"/>
    <w:rsid w:val="00D70DC1"/>
    <w:rsid w:val="00D70E98"/>
    <w:rsid w:val="00D71A95"/>
    <w:rsid w:val="00D71DE0"/>
    <w:rsid w:val="00D71EB5"/>
    <w:rsid w:val="00D720A7"/>
    <w:rsid w:val="00D720B8"/>
    <w:rsid w:val="00D7231E"/>
    <w:rsid w:val="00D725B5"/>
    <w:rsid w:val="00D72812"/>
    <w:rsid w:val="00D72927"/>
    <w:rsid w:val="00D72AAE"/>
    <w:rsid w:val="00D72ADA"/>
    <w:rsid w:val="00D72D12"/>
    <w:rsid w:val="00D72D1A"/>
    <w:rsid w:val="00D73088"/>
    <w:rsid w:val="00D73193"/>
    <w:rsid w:val="00D73260"/>
    <w:rsid w:val="00D73265"/>
    <w:rsid w:val="00D732E0"/>
    <w:rsid w:val="00D7362F"/>
    <w:rsid w:val="00D7363A"/>
    <w:rsid w:val="00D737A9"/>
    <w:rsid w:val="00D738CA"/>
    <w:rsid w:val="00D73F43"/>
    <w:rsid w:val="00D73F50"/>
    <w:rsid w:val="00D743DF"/>
    <w:rsid w:val="00D74454"/>
    <w:rsid w:val="00D749D0"/>
    <w:rsid w:val="00D749D1"/>
    <w:rsid w:val="00D74BFB"/>
    <w:rsid w:val="00D74C4E"/>
    <w:rsid w:val="00D74D5E"/>
    <w:rsid w:val="00D74E33"/>
    <w:rsid w:val="00D74EDB"/>
    <w:rsid w:val="00D75169"/>
    <w:rsid w:val="00D754C0"/>
    <w:rsid w:val="00D75B2C"/>
    <w:rsid w:val="00D75BD3"/>
    <w:rsid w:val="00D760FB"/>
    <w:rsid w:val="00D76150"/>
    <w:rsid w:val="00D76560"/>
    <w:rsid w:val="00D76566"/>
    <w:rsid w:val="00D768AF"/>
    <w:rsid w:val="00D76AEE"/>
    <w:rsid w:val="00D76C6B"/>
    <w:rsid w:val="00D76FE8"/>
    <w:rsid w:val="00D77403"/>
    <w:rsid w:val="00D777B7"/>
    <w:rsid w:val="00D778E3"/>
    <w:rsid w:val="00D77AF1"/>
    <w:rsid w:val="00D77B37"/>
    <w:rsid w:val="00D77C24"/>
    <w:rsid w:val="00D77C57"/>
    <w:rsid w:val="00D77F73"/>
    <w:rsid w:val="00D800D8"/>
    <w:rsid w:val="00D8028B"/>
    <w:rsid w:val="00D802DF"/>
    <w:rsid w:val="00D80500"/>
    <w:rsid w:val="00D80913"/>
    <w:rsid w:val="00D80E8E"/>
    <w:rsid w:val="00D8106F"/>
    <w:rsid w:val="00D812BC"/>
    <w:rsid w:val="00D814C3"/>
    <w:rsid w:val="00D816F8"/>
    <w:rsid w:val="00D81776"/>
    <w:rsid w:val="00D81978"/>
    <w:rsid w:val="00D81A08"/>
    <w:rsid w:val="00D81A53"/>
    <w:rsid w:val="00D81AE9"/>
    <w:rsid w:val="00D81B03"/>
    <w:rsid w:val="00D81FAA"/>
    <w:rsid w:val="00D81FCF"/>
    <w:rsid w:val="00D82352"/>
    <w:rsid w:val="00D82BA6"/>
    <w:rsid w:val="00D82BEC"/>
    <w:rsid w:val="00D82EA7"/>
    <w:rsid w:val="00D82FE7"/>
    <w:rsid w:val="00D8303F"/>
    <w:rsid w:val="00D830B3"/>
    <w:rsid w:val="00D83542"/>
    <w:rsid w:val="00D83775"/>
    <w:rsid w:val="00D83B56"/>
    <w:rsid w:val="00D83ECA"/>
    <w:rsid w:val="00D84052"/>
    <w:rsid w:val="00D84069"/>
    <w:rsid w:val="00D840C6"/>
    <w:rsid w:val="00D841AD"/>
    <w:rsid w:val="00D84430"/>
    <w:rsid w:val="00D8490F"/>
    <w:rsid w:val="00D84B2C"/>
    <w:rsid w:val="00D84B63"/>
    <w:rsid w:val="00D84FA9"/>
    <w:rsid w:val="00D8529A"/>
    <w:rsid w:val="00D8558B"/>
    <w:rsid w:val="00D856E1"/>
    <w:rsid w:val="00D85BF2"/>
    <w:rsid w:val="00D85C09"/>
    <w:rsid w:val="00D8615C"/>
    <w:rsid w:val="00D862DC"/>
    <w:rsid w:val="00D863A5"/>
    <w:rsid w:val="00D8665F"/>
    <w:rsid w:val="00D86773"/>
    <w:rsid w:val="00D867A6"/>
    <w:rsid w:val="00D86FB9"/>
    <w:rsid w:val="00D8732C"/>
    <w:rsid w:val="00D875DA"/>
    <w:rsid w:val="00D900DA"/>
    <w:rsid w:val="00D90563"/>
    <w:rsid w:val="00D90772"/>
    <w:rsid w:val="00D90857"/>
    <w:rsid w:val="00D90D5C"/>
    <w:rsid w:val="00D90D86"/>
    <w:rsid w:val="00D90E41"/>
    <w:rsid w:val="00D9102C"/>
    <w:rsid w:val="00D91039"/>
    <w:rsid w:val="00D915DF"/>
    <w:rsid w:val="00D91DFC"/>
    <w:rsid w:val="00D9217C"/>
    <w:rsid w:val="00D92806"/>
    <w:rsid w:val="00D92A55"/>
    <w:rsid w:val="00D92B02"/>
    <w:rsid w:val="00D92BD3"/>
    <w:rsid w:val="00D92D03"/>
    <w:rsid w:val="00D9313C"/>
    <w:rsid w:val="00D93236"/>
    <w:rsid w:val="00D93257"/>
    <w:rsid w:val="00D935F6"/>
    <w:rsid w:val="00D93638"/>
    <w:rsid w:val="00D936D0"/>
    <w:rsid w:val="00D9375D"/>
    <w:rsid w:val="00D937C5"/>
    <w:rsid w:val="00D937D4"/>
    <w:rsid w:val="00D937F8"/>
    <w:rsid w:val="00D938D5"/>
    <w:rsid w:val="00D9395F"/>
    <w:rsid w:val="00D93984"/>
    <w:rsid w:val="00D93A64"/>
    <w:rsid w:val="00D93E3B"/>
    <w:rsid w:val="00D9411D"/>
    <w:rsid w:val="00D94216"/>
    <w:rsid w:val="00D9427C"/>
    <w:rsid w:val="00D942C6"/>
    <w:rsid w:val="00D947DD"/>
    <w:rsid w:val="00D94970"/>
    <w:rsid w:val="00D94B77"/>
    <w:rsid w:val="00D94DF5"/>
    <w:rsid w:val="00D94FDE"/>
    <w:rsid w:val="00D95055"/>
    <w:rsid w:val="00D952DB"/>
    <w:rsid w:val="00D95462"/>
    <w:rsid w:val="00D9572C"/>
    <w:rsid w:val="00D95783"/>
    <w:rsid w:val="00D9583A"/>
    <w:rsid w:val="00D958A5"/>
    <w:rsid w:val="00D95CE5"/>
    <w:rsid w:val="00D962E0"/>
    <w:rsid w:val="00D96586"/>
    <w:rsid w:val="00D9668E"/>
    <w:rsid w:val="00D966B1"/>
    <w:rsid w:val="00D968FF"/>
    <w:rsid w:val="00D96A70"/>
    <w:rsid w:val="00D96B07"/>
    <w:rsid w:val="00D96E3C"/>
    <w:rsid w:val="00D96E93"/>
    <w:rsid w:val="00D96F11"/>
    <w:rsid w:val="00D9702B"/>
    <w:rsid w:val="00D97083"/>
    <w:rsid w:val="00D9708A"/>
    <w:rsid w:val="00D9722B"/>
    <w:rsid w:val="00D972CD"/>
    <w:rsid w:val="00D974BC"/>
    <w:rsid w:val="00D974D7"/>
    <w:rsid w:val="00D9774C"/>
    <w:rsid w:val="00D97AF5"/>
    <w:rsid w:val="00D97B0D"/>
    <w:rsid w:val="00D97BA0"/>
    <w:rsid w:val="00D97BF7"/>
    <w:rsid w:val="00D97CB6"/>
    <w:rsid w:val="00D97D2D"/>
    <w:rsid w:val="00D97F8D"/>
    <w:rsid w:val="00DA0016"/>
    <w:rsid w:val="00DA00B5"/>
    <w:rsid w:val="00DA01D3"/>
    <w:rsid w:val="00DA02B7"/>
    <w:rsid w:val="00DA035F"/>
    <w:rsid w:val="00DA09C2"/>
    <w:rsid w:val="00DA0A70"/>
    <w:rsid w:val="00DA0ACA"/>
    <w:rsid w:val="00DA0CCF"/>
    <w:rsid w:val="00DA1587"/>
    <w:rsid w:val="00DA1CDD"/>
    <w:rsid w:val="00DA1D86"/>
    <w:rsid w:val="00DA2181"/>
    <w:rsid w:val="00DA24C7"/>
    <w:rsid w:val="00DA2841"/>
    <w:rsid w:val="00DA294A"/>
    <w:rsid w:val="00DA2A04"/>
    <w:rsid w:val="00DA2B15"/>
    <w:rsid w:val="00DA2CCD"/>
    <w:rsid w:val="00DA2D94"/>
    <w:rsid w:val="00DA2DE7"/>
    <w:rsid w:val="00DA321F"/>
    <w:rsid w:val="00DA32AB"/>
    <w:rsid w:val="00DA3F68"/>
    <w:rsid w:val="00DA402C"/>
    <w:rsid w:val="00DA4304"/>
    <w:rsid w:val="00DA4326"/>
    <w:rsid w:val="00DA45D3"/>
    <w:rsid w:val="00DA4652"/>
    <w:rsid w:val="00DA4849"/>
    <w:rsid w:val="00DA48D8"/>
    <w:rsid w:val="00DA4B4B"/>
    <w:rsid w:val="00DA4DC4"/>
    <w:rsid w:val="00DA4F7F"/>
    <w:rsid w:val="00DA5058"/>
    <w:rsid w:val="00DA5310"/>
    <w:rsid w:val="00DA57AA"/>
    <w:rsid w:val="00DA5814"/>
    <w:rsid w:val="00DA5A92"/>
    <w:rsid w:val="00DA5C0A"/>
    <w:rsid w:val="00DA66EE"/>
    <w:rsid w:val="00DA677B"/>
    <w:rsid w:val="00DA69DC"/>
    <w:rsid w:val="00DA6AA5"/>
    <w:rsid w:val="00DA6B73"/>
    <w:rsid w:val="00DA6BB8"/>
    <w:rsid w:val="00DA7020"/>
    <w:rsid w:val="00DA7092"/>
    <w:rsid w:val="00DA724C"/>
    <w:rsid w:val="00DA72C8"/>
    <w:rsid w:val="00DA7378"/>
    <w:rsid w:val="00DA738A"/>
    <w:rsid w:val="00DA7743"/>
    <w:rsid w:val="00DA77D0"/>
    <w:rsid w:val="00DB000C"/>
    <w:rsid w:val="00DB02A7"/>
    <w:rsid w:val="00DB0472"/>
    <w:rsid w:val="00DB0656"/>
    <w:rsid w:val="00DB069A"/>
    <w:rsid w:val="00DB07BC"/>
    <w:rsid w:val="00DB0B11"/>
    <w:rsid w:val="00DB0C0D"/>
    <w:rsid w:val="00DB0E55"/>
    <w:rsid w:val="00DB0FC6"/>
    <w:rsid w:val="00DB10DD"/>
    <w:rsid w:val="00DB12AF"/>
    <w:rsid w:val="00DB17C2"/>
    <w:rsid w:val="00DB17F1"/>
    <w:rsid w:val="00DB1936"/>
    <w:rsid w:val="00DB1C86"/>
    <w:rsid w:val="00DB1CA8"/>
    <w:rsid w:val="00DB1D30"/>
    <w:rsid w:val="00DB1DAC"/>
    <w:rsid w:val="00DB1DEE"/>
    <w:rsid w:val="00DB1EDE"/>
    <w:rsid w:val="00DB2026"/>
    <w:rsid w:val="00DB26D5"/>
    <w:rsid w:val="00DB27A4"/>
    <w:rsid w:val="00DB289B"/>
    <w:rsid w:val="00DB2938"/>
    <w:rsid w:val="00DB2A20"/>
    <w:rsid w:val="00DB2AB5"/>
    <w:rsid w:val="00DB2F64"/>
    <w:rsid w:val="00DB2FC9"/>
    <w:rsid w:val="00DB31F8"/>
    <w:rsid w:val="00DB3520"/>
    <w:rsid w:val="00DB3718"/>
    <w:rsid w:val="00DB372C"/>
    <w:rsid w:val="00DB38D5"/>
    <w:rsid w:val="00DB3930"/>
    <w:rsid w:val="00DB3A9A"/>
    <w:rsid w:val="00DB3B98"/>
    <w:rsid w:val="00DB3DBC"/>
    <w:rsid w:val="00DB41AE"/>
    <w:rsid w:val="00DB41EF"/>
    <w:rsid w:val="00DB4225"/>
    <w:rsid w:val="00DB42DC"/>
    <w:rsid w:val="00DB47E7"/>
    <w:rsid w:val="00DB495E"/>
    <w:rsid w:val="00DB4A65"/>
    <w:rsid w:val="00DB4C63"/>
    <w:rsid w:val="00DB4DC6"/>
    <w:rsid w:val="00DB50EF"/>
    <w:rsid w:val="00DB532C"/>
    <w:rsid w:val="00DB5487"/>
    <w:rsid w:val="00DB5AD2"/>
    <w:rsid w:val="00DB5D13"/>
    <w:rsid w:val="00DB5EC7"/>
    <w:rsid w:val="00DB617B"/>
    <w:rsid w:val="00DB680E"/>
    <w:rsid w:val="00DB6CF3"/>
    <w:rsid w:val="00DB6E93"/>
    <w:rsid w:val="00DB6EBF"/>
    <w:rsid w:val="00DB6F57"/>
    <w:rsid w:val="00DB6F5C"/>
    <w:rsid w:val="00DB700A"/>
    <w:rsid w:val="00DB70A6"/>
    <w:rsid w:val="00DB70AB"/>
    <w:rsid w:val="00DB72B4"/>
    <w:rsid w:val="00DB7373"/>
    <w:rsid w:val="00DB747F"/>
    <w:rsid w:val="00DB751C"/>
    <w:rsid w:val="00DB754F"/>
    <w:rsid w:val="00DB755F"/>
    <w:rsid w:val="00DB75E9"/>
    <w:rsid w:val="00DB7A23"/>
    <w:rsid w:val="00DB7B70"/>
    <w:rsid w:val="00DB7C38"/>
    <w:rsid w:val="00DB7EB7"/>
    <w:rsid w:val="00DB7EC1"/>
    <w:rsid w:val="00DB7EDB"/>
    <w:rsid w:val="00DC0066"/>
    <w:rsid w:val="00DC02C5"/>
    <w:rsid w:val="00DC040F"/>
    <w:rsid w:val="00DC046C"/>
    <w:rsid w:val="00DC05D3"/>
    <w:rsid w:val="00DC0813"/>
    <w:rsid w:val="00DC0C46"/>
    <w:rsid w:val="00DC0FF2"/>
    <w:rsid w:val="00DC136D"/>
    <w:rsid w:val="00DC1465"/>
    <w:rsid w:val="00DC1547"/>
    <w:rsid w:val="00DC159E"/>
    <w:rsid w:val="00DC196C"/>
    <w:rsid w:val="00DC1EE4"/>
    <w:rsid w:val="00DC1F19"/>
    <w:rsid w:val="00DC200E"/>
    <w:rsid w:val="00DC2190"/>
    <w:rsid w:val="00DC21B5"/>
    <w:rsid w:val="00DC2308"/>
    <w:rsid w:val="00DC2369"/>
    <w:rsid w:val="00DC240E"/>
    <w:rsid w:val="00DC245A"/>
    <w:rsid w:val="00DC27FA"/>
    <w:rsid w:val="00DC28A3"/>
    <w:rsid w:val="00DC2B5B"/>
    <w:rsid w:val="00DC2B5D"/>
    <w:rsid w:val="00DC2C8E"/>
    <w:rsid w:val="00DC2CBE"/>
    <w:rsid w:val="00DC2CC2"/>
    <w:rsid w:val="00DC2EEF"/>
    <w:rsid w:val="00DC30DA"/>
    <w:rsid w:val="00DC310D"/>
    <w:rsid w:val="00DC330D"/>
    <w:rsid w:val="00DC3514"/>
    <w:rsid w:val="00DC3525"/>
    <w:rsid w:val="00DC359B"/>
    <w:rsid w:val="00DC3627"/>
    <w:rsid w:val="00DC365A"/>
    <w:rsid w:val="00DC3D4D"/>
    <w:rsid w:val="00DC42C5"/>
    <w:rsid w:val="00DC4618"/>
    <w:rsid w:val="00DC46B0"/>
    <w:rsid w:val="00DC4A38"/>
    <w:rsid w:val="00DC4A60"/>
    <w:rsid w:val="00DC4ACF"/>
    <w:rsid w:val="00DC4AE3"/>
    <w:rsid w:val="00DC4BD0"/>
    <w:rsid w:val="00DC4D34"/>
    <w:rsid w:val="00DC4DED"/>
    <w:rsid w:val="00DC530C"/>
    <w:rsid w:val="00DC5478"/>
    <w:rsid w:val="00DC54D0"/>
    <w:rsid w:val="00DC5AEC"/>
    <w:rsid w:val="00DC5B24"/>
    <w:rsid w:val="00DC5F05"/>
    <w:rsid w:val="00DC5F99"/>
    <w:rsid w:val="00DC5FE9"/>
    <w:rsid w:val="00DC677F"/>
    <w:rsid w:val="00DC6AA7"/>
    <w:rsid w:val="00DC6C42"/>
    <w:rsid w:val="00DC73A9"/>
    <w:rsid w:val="00DC7449"/>
    <w:rsid w:val="00DC75E2"/>
    <w:rsid w:val="00DC7716"/>
    <w:rsid w:val="00DC7CCF"/>
    <w:rsid w:val="00DC7D0E"/>
    <w:rsid w:val="00DC7D58"/>
    <w:rsid w:val="00DD0274"/>
    <w:rsid w:val="00DD0308"/>
    <w:rsid w:val="00DD05F4"/>
    <w:rsid w:val="00DD06AD"/>
    <w:rsid w:val="00DD06DB"/>
    <w:rsid w:val="00DD0B79"/>
    <w:rsid w:val="00DD0E8D"/>
    <w:rsid w:val="00DD0ED1"/>
    <w:rsid w:val="00DD13DD"/>
    <w:rsid w:val="00DD17B8"/>
    <w:rsid w:val="00DD17EA"/>
    <w:rsid w:val="00DD1A47"/>
    <w:rsid w:val="00DD1B27"/>
    <w:rsid w:val="00DD1C9B"/>
    <w:rsid w:val="00DD1E45"/>
    <w:rsid w:val="00DD1ED6"/>
    <w:rsid w:val="00DD1FC1"/>
    <w:rsid w:val="00DD2021"/>
    <w:rsid w:val="00DD2028"/>
    <w:rsid w:val="00DD20E2"/>
    <w:rsid w:val="00DD2461"/>
    <w:rsid w:val="00DD25AA"/>
    <w:rsid w:val="00DD2730"/>
    <w:rsid w:val="00DD2AF5"/>
    <w:rsid w:val="00DD2B47"/>
    <w:rsid w:val="00DD2BEC"/>
    <w:rsid w:val="00DD2CB7"/>
    <w:rsid w:val="00DD2E1F"/>
    <w:rsid w:val="00DD31F0"/>
    <w:rsid w:val="00DD325E"/>
    <w:rsid w:val="00DD33B8"/>
    <w:rsid w:val="00DD39B1"/>
    <w:rsid w:val="00DD39FE"/>
    <w:rsid w:val="00DD3AF8"/>
    <w:rsid w:val="00DD432F"/>
    <w:rsid w:val="00DD44F6"/>
    <w:rsid w:val="00DD468C"/>
    <w:rsid w:val="00DD46B7"/>
    <w:rsid w:val="00DD4AEA"/>
    <w:rsid w:val="00DD4BD6"/>
    <w:rsid w:val="00DD4CEA"/>
    <w:rsid w:val="00DD51F4"/>
    <w:rsid w:val="00DD5CB2"/>
    <w:rsid w:val="00DD5E76"/>
    <w:rsid w:val="00DD6134"/>
    <w:rsid w:val="00DD63A9"/>
    <w:rsid w:val="00DD654D"/>
    <w:rsid w:val="00DD6A58"/>
    <w:rsid w:val="00DD6DF6"/>
    <w:rsid w:val="00DD6FDA"/>
    <w:rsid w:val="00DD73F3"/>
    <w:rsid w:val="00DD746F"/>
    <w:rsid w:val="00DD7DDC"/>
    <w:rsid w:val="00DE007F"/>
    <w:rsid w:val="00DE0263"/>
    <w:rsid w:val="00DE02BD"/>
    <w:rsid w:val="00DE03CB"/>
    <w:rsid w:val="00DE0D53"/>
    <w:rsid w:val="00DE0FFA"/>
    <w:rsid w:val="00DE11D8"/>
    <w:rsid w:val="00DE121A"/>
    <w:rsid w:val="00DE1273"/>
    <w:rsid w:val="00DE17AC"/>
    <w:rsid w:val="00DE206A"/>
    <w:rsid w:val="00DE240C"/>
    <w:rsid w:val="00DE2534"/>
    <w:rsid w:val="00DE27D8"/>
    <w:rsid w:val="00DE281C"/>
    <w:rsid w:val="00DE2963"/>
    <w:rsid w:val="00DE29C7"/>
    <w:rsid w:val="00DE2C00"/>
    <w:rsid w:val="00DE2C91"/>
    <w:rsid w:val="00DE2D03"/>
    <w:rsid w:val="00DE30C4"/>
    <w:rsid w:val="00DE344F"/>
    <w:rsid w:val="00DE35EE"/>
    <w:rsid w:val="00DE36A6"/>
    <w:rsid w:val="00DE384A"/>
    <w:rsid w:val="00DE3A2B"/>
    <w:rsid w:val="00DE3B35"/>
    <w:rsid w:val="00DE3D46"/>
    <w:rsid w:val="00DE3EDB"/>
    <w:rsid w:val="00DE42BB"/>
    <w:rsid w:val="00DE42CF"/>
    <w:rsid w:val="00DE47C5"/>
    <w:rsid w:val="00DE4900"/>
    <w:rsid w:val="00DE4D37"/>
    <w:rsid w:val="00DE4F6A"/>
    <w:rsid w:val="00DE510D"/>
    <w:rsid w:val="00DE5124"/>
    <w:rsid w:val="00DE52E6"/>
    <w:rsid w:val="00DE530D"/>
    <w:rsid w:val="00DE53A9"/>
    <w:rsid w:val="00DE53AB"/>
    <w:rsid w:val="00DE5434"/>
    <w:rsid w:val="00DE58F4"/>
    <w:rsid w:val="00DE5B08"/>
    <w:rsid w:val="00DE5D5D"/>
    <w:rsid w:val="00DE5E57"/>
    <w:rsid w:val="00DE5F16"/>
    <w:rsid w:val="00DE5F38"/>
    <w:rsid w:val="00DE5FFE"/>
    <w:rsid w:val="00DE600A"/>
    <w:rsid w:val="00DE6144"/>
    <w:rsid w:val="00DE643F"/>
    <w:rsid w:val="00DE651B"/>
    <w:rsid w:val="00DE68D1"/>
    <w:rsid w:val="00DE6A36"/>
    <w:rsid w:val="00DE6E86"/>
    <w:rsid w:val="00DE7023"/>
    <w:rsid w:val="00DE7169"/>
    <w:rsid w:val="00DE726E"/>
    <w:rsid w:val="00DE744A"/>
    <w:rsid w:val="00DE759F"/>
    <w:rsid w:val="00DE7806"/>
    <w:rsid w:val="00DE7A7A"/>
    <w:rsid w:val="00DE7AFD"/>
    <w:rsid w:val="00DE7F57"/>
    <w:rsid w:val="00DF015A"/>
    <w:rsid w:val="00DF024E"/>
    <w:rsid w:val="00DF0612"/>
    <w:rsid w:val="00DF0C28"/>
    <w:rsid w:val="00DF0CE3"/>
    <w:rsid w:val="00DF0E39"/>
    <w:rsid w:val="00DF10C2"/>
    <w:rsid w:val="00DF1580"/>
    <w:rsid w:val="00DF1773"/>
    <w:rsid w:val="00DF1B02"/>
    <w:rsid w:val="00DF1B62"/>
    <w:rsid w:val="00DF1DD0"/>
    <w:rsid w:val="00DF1FC8"/>
    <w:rsid w:val="00DF2094"/>
    <w:rsid w:val="00DF2641"/>
    <w:rsid w:val="00DF3410"/>
    <w:rsid w:val="00DF344F"/>
    <w:rsid w:val="00DF35B0"/>
    <w:rsid w:val="00DF3991"/>
    <w:rsid w:val="00DF3A5C"/>
    <w:rsid w:val="00DF3A6D"/>
    <w:rsid w:val="00DF3CF0"/>
    <w:rsid w:val="00DF3D03"/>
    <w:rsid w:val="00DF3D61"/>
    <w:rsid w:val="00DF3EBF"/>
    <w:rsid w:val="00DF3F6E"/>
    <w:rsid w:val="00DF4640"/>
    <w:rsid w:val="00DF4696"/>
    <w:rsid w:val="00DF46F5"/>
    <w:rsid w:val="00DF4921"/>
    <w:rsid w:val="00DF499C"/>
    <w:rsid w:val="00DF4A68"/>
    <w:rsid w:val="00DF4A78"/>
    <w:rsid w:val="00DF4B12"/>
    <w:rsid w:val="00DF4D14"/>
    <w:rsid w:val="00DF512E"/>
    <w:rsid w:val="00DF51F9"/>
    <w:rsid w:val="00DF52D3"/>
    <w:rsid w:val="00DF53F5"/>
    <w:rsid w:val="00DF5532"/>
    <w:rsid w:val="00DF56AA"/>
    <w:rsid w:val="00DF5DD0"/>
    <w:rsid w:val="00DF5E62"/>
    <w:rsid w:val="00DF600E"/>
    <w:rsid w:val="00DF6059"/>
    <w:rsid w:val="00DF60CF"/>
    <w:rsid w:val="00DF62D8"/>
    <w:rsid w:val="00DF67C2"/>
    <w:rsid w:val="00DF6ACE"/>
    <w:rsid w:val="00DF7026"/>
    <w:rsid w:val="00DF7196"/>
    <w:rsid w:val="00DF7611"/>
    <w:rsid w:val="00DF77CC"/>
    <w:rsid w:val="00DF7801"/>
    <w:rsid w:val="00DF79A7"/>
    <w:rsid w:val="00DF79DC"/>
    <w:rsid w:val="00DF7A27"/>
    <w:rsid w:val="00DF7ED4"/>
    <w:rsid w:val="00DF7F03"/>
    <w:rsid w:val="00DF7F36"/>
    <w:rsid w:val="00E000A2"/>
    <w:rsid w:val="00E002D8"/>
    <w:rsid w:val="00E0047C"/>
    <w:rsid w:val="00E0074B"/>
    <w:rsid w:val="00E0081C"/>
    <w:rsid w:val="00E0084E"/>
    <w:rsid w:val="00E00AFB"/>
    <w:rsid w:val="00E00E21"/>
    <w:rsid w:val="00E00ED2"/>
    <w:rsid w:val="00E00F04"/>
    <w:rsid w:val="00E0100F"/>
    <w:rsid w:val="00E01021"/>
    <w:rsid w:val="00E01361"/>
    <w:rsid w:val="00E0153B"/>
    <w:rsid w:val="00E01729"/>
    <w:rsid w:val="00E01769"/>
    <w:rsid w:val="00E01BBB"/>
    <w:rsid w:val="00E01C14"/>
    <w:rsid w:val="00E01C92"/>
    <w:rsid w:val="00E0204F"/>
    <w:rsid w:val="00E020F7"/>
    <w:rsid w:val="00E0212D"/>
    <w:rsid w:val="00E02900"/>
    <w:rsid w:val="00E02B65"/>
    <w:rsid w:val="00E02E3F"/>
    <w:rsid w:val="00E02EDC"/>
    <w:rsid w:val="00E02FEF"/>
    <w:rsid w:val="00E03154"/>
    <w:rsid w:val="00E0317D"/>
    <w:rsid w:val="00E034A5"/>
    <w:rsid w:val="00E03976"/>
    <w:rsid w:val="00E03A9E"/>
    <w:rsid w:val="00E03AFA"/>
    <w:rsid w:val="00E03FE8"/>
    <w:rsid w:val="00E045F1"/>
    <w:rsid w:val="00E0480B"/>
    <w:rsid w:val="00E04945"/>
    <w:rsid w:val="00E049A2"/>
    <w:rsid w:val="00E04E17"/>
    <w:rsid w:val="00E04E6D"/>
    <w:rsid w:val="00E05070"/>
    <w:rsid w:val="00E0513E"/>
    <w:rsid w:val="00E05274"/>
    <w:rsid w:val="00E0541B"/>
    <w:rsid w:val="00E05739"/>
    <w:rsid w:val="00E05A15"/>
    <w:rsid w:val="00E061E3"/>
    <w:rsid w:val="00E0620E"/>
    <w:rsid w:val="00E064EA"/>
    <w:rsid w:val="00E06668"/>
    <w:rsid w:val="00E067C8"/>
    <w:rsid w:val="00E06A17"/>
    <w:rsid w:val="00E06BBE"/>
    <w:rsid w:val="00E06F50"/>
    <w:rsid w:val="00E07022"/>
    <w:rsid w:val="00E07295"/>
    <w:rsid w:val="00E07430"/>
    <w:rsid w:val="00E07621"/>
    <w:rsid w:val="00E07D54"/>
    <w:rsid w:val="00E10019"/>
    <w:rsid w:val="00E10022"/>
    <w:rsid w:val="00E100DC"/>
    <w:rsid w:val="00E10213"/>
    <w:rsid w:val="00E1049B"/>
    <w:rsid w:val="00E105F4"/>
    <w:rsid w:val="00E10B6E"/>
    <w:rsid w:val="00E10C52"/>
    <w:rsid w:val="00E10DB0"/>
    <w:rsid w:val="00E111BE"/>
    <w:rsid w:val="00E11314"/>
    <w:rsid w:val="00E113E0"/>
    <w:rsid w:val="00E11970"/>
    <w:rsid w:val="00E11A54"/>
    <w:rsid w:val="00E11BBB"/>
    <w:rsid w:val="00E11BFC"/>
    <w:rsid w:val="00E11F13"/>
    <w:rsid w:val="00E12241"/>
    <w:rsid w:val="00E124AC"/>
    <w:rsid w:val="00E12729"/>
    <w:rsid w:val="00E1297F"/>
    <w:rsid w:val="00E129EE"/>
    <w:rsid w:val="00E12ACA"/>
    <w:rsid w:val="00E12B40"/>
    <w:rsid w:val="00E12E96"/>
    <w:rsid w:val="00E1348E"/>
    <w:rsid w:val="00E1358E"/>
    <w:rsid w:val="00E13596"/>
    <w:rsid w:val="00E139E4"/>
    <w:rsid w:val="00E13B25"/>
    <w:rsid w:val="00E13C9C"/>
    <w:rsid w:val="00E13D47"/>
    <w:rsid w:val="00E13F65"/>
    <w:rsid w:val="00E13F77"/>
    <w:rsid w:val="00E14001"/>
    <w:rsid w:val="00E1413E"/>
    <w:rsid w:val="00E14327"/>
    <w:rsid w:val="00E14774"/>
    <w:rsid w:val="00E148FB"/>
    <w:rsid w:val="00E14A42"/>
    <w:rsid w:val="00E14BA7"/>
    <w:rsid w:val="00E14BDB"/>
    <w:rsid w:val="00E14D02"/>
    <w:rsid w:val="00E14D91"/>
    <w:rsid w:val="00E14D94"/>
    <w:rsid w:val="00E14DC5"/>
    <w:rsid w:val="00E14ED1"/>
    <w:rsid w:val="00E1500B"/>
    <w:rsid w:val="00E154CE"/>
    <w:rsid w:val="00E154F4"/>
    <w:rsid w:val="00E156C6"/>
    <w:rsid w:val="00E156F6"/>
    <w:rsid w:val="00E158A4"/>
    <w:rsid w:val="00E15B02"/>
    <w:rsid w:val="00E15D5D"/>
    <w:rsid w:val="00E16153"/>
    <w:rsid w:val="00E16214"/>
    <w:rsid w:val="00E16630"/>
    <w:rsid w:val="00E16A14"/>
    <w:rsid w:val="00E16DC8"/>
    <w:rsid w:val="00E16E13"/>
    <w:rsid w:val="00E17356"/>
    <w:rsid w:val="00E1782D"/>
    <w:rsid w:val="00E17855"/>
    <w:rsid w:val="00E17C26"/>
    <w:rsid w:val="00E17FBB"/>
    <w:rsid w:val="00E17FDD"/>
    <w:rsid w:val="00E200CD"/>
    <w:rsid w:val="00E20722"/>
    <w:rsid w:val="00E20818"/>
    <w:rsid w:val="00E20AFD"/>
    <w:rsid w:val="00E20BC3"/>
    <w:rsid w:val="00E20E5E"/>
    <w:rsid w:val="00E21055"/>
    <w:rsid w:val="00E2137B"/>
    <w:rsid w:val="00E219BA"/>
    <w:rsid w:val="00E21A13"/>
    <w:rsid w:val="00E21C54"/>
    <w:rsid w:val="00E21D9E"/>
    <w:rsid w:val="00E220DA"/>
    <w:rsid w:val="00E221BD"/>
    <w:rsid w:val="00E22519"/>
    <w:rsid w:val="00E227B9"/>
    <w:rsid w:val="00E228C9"/>
    <w:rsid w:val="00E22968"/>
    <w:rsid w:val="00E22A8E"/>
    <w:rsid w:val="00E230CE"/>
    <w:rsid w:val="00E2364A"/>
    <w:rsid w:val="00E236B1"/>
    <w:rsid w:val="00E23F21"/>
    <w:rsid w:val="00E2415D"/>
    <w:rsid w:val="00E2422C"/>
    <w:rsid w:val="00E243B1"/>
    <w:rsid w:val="00E245CB"/>
    <w:rsid w:val="00E2496E"/>
    <w:rsid w:val="00E254AE"/>
    <w:rsid w:val="00E257F4"/>
    <w:rsid w:val="00E25925"/>
    <w:rsid w:val="00E2595A"/>
    <w:rsid w:val="00E25AA6"/>
    <w:rsid w:val="00E25B20"/>
    <w:rsid w:val="00E25B25"/>
    <w:rsid w:val="00E25B2B"/>
    <w:rsid w:val="00E25B96"/>
    <w:rsid w:val="00E25ED8"/>
    <w:rsid w:val="00E2612D"/>
    <w:rsid w:val="00E265BC"/>
    <w:rsid w:val="00E267DB"/>
    <w:rsid w:val="00E27065"/>
    <w:rsid w:val="00E2710B"/>
    <w:rsid w:val="00E27320"/>
    <w:rsid w:val="00E2753F"/>
    <w:rsid w:val="00E27743"/>
    <w:rsid w:val="00E277F6"/>
    <w:rsid w:val="00E27A03"/>
    <w:rsid w:val="00E27E3A"/>
    <w:rsid w:val="00E27EF8"/>
    <w:rsid w:val="00E3002D"/>
    <w:rsid w:val="00E301C2"/>
    <w:rsid w:val="00E301CC"/>
    <w:rsid w:val="00E30221"/>
    <w:rsid w:val="00E303C3"/>
    <w:rsid w:val="00E30407"/>
    <w:rsid w:val="00E30655"/>
    <w:rsid w:val="00E30762"/>
    <w:rsid w:val="00E30A2F"/>
    <w:rsid w:val="00E30C0A"/>
    <w:rsid w:val="00E30E5D"/>
    <w:rsid w:val="00E30F90"/>
    <w:rsid w:val="00E31A1B"/>
    <w:rsid w:val="00E31C44"/>
    <w:rsid w:val="00E31E66"/>
    <w:rsid w:val="00E31F1C"/>
    <w:rsid w:val="00E31F3D"/>
    <w:rsid w:val="00E32204"/>
    <w:rsid w:val="00E3269C"/>
    <w:rsid w:val="00E32E26"/>
    <w:rsid w:val="00E335DD"/>
    <w:rsid w:val="00E33ABA"/>
    <w:rsid w:val="00E3401A"/>
    <w:rsid w:val="00E346D8"/>
    <w:rsid w:val="00E346FC"/>
    <w:rsid w:val="00E34821"/>
    <w:rsid w:val="00E3490E"/>
    <w:rsid w:val="00E34D3E"/>
    <w:rsid w:val="00E34D69"/>
    <w:rsid w:val="00E34DAA"/>
    <w:rsid w:val="00E34DCF"/>
    <w:rsid w:val="00E3552E"/>
    <w:rsid w:val="00E35604"/>
    <w:rsid w:val="00E35697"/>
    <w:rsid w:val="00E356EB"/>
    <w:rsid w:val="00E3575D"/>
    <w:rsid w:val="00E357A8"/>
    <w:rsid w:val="00E3589B"/>
    <w:rsid w:val="00E359A7"/>
    <w:rsid w:val="00E35A86"/>
    <w:rsid w:val="00E3627C"/>
    <w:rsid w:val="00E367E2"/>
    <w:rsid w:val="00E369F2"/>
    <w:rsid w:val="00E36B60"/>
    <w:rsid w:val="00E36D0E"/>
    <w:rsid w:val="00E36FE4"/>
    <w:rsid w:val="00E37317"/>
    <w:rsid w:val="00E37F1F"/>
    <w:rsid w:val="00E37FB1"/>
    <w:rsid w:val="00E40061"/>
    <w:rsid w:val="00E4017C"/>
    <w:rsid w:val="00E4025F"/>
    <w:rsid w:val="00E4035A"/>
    <w:rsid w:val="00E4078A"/>
    <w:rsid w:val="00E40976"/>
    <w:rsid w:val="00E40BF0"/>
    <w:rsid w:val="00E40C80"/>
    <w:rsid w:val="00E40D23"/>
    <w:rsid w:val="00E40DC8"/>
    <w:rsid w:val="00E41070"/>
    <w:rsid w:val="00E4132D"/>
    <w:rsid w:val="00E4148E"/>
    <w:rsid w:val="00E417B7"/>
    <w:rsid w:val="00E41835"/>
    <w:rsid w:val="00E41B44"/>
    <w:rsid w:val="00E41BD4"/>
    <w:rsid w:val="00E41C0D"/>
    <w:rsid w:val="00E41C27"/>
    <w:rsid w:val="00E41CC3"/>
    <w:rsid w:val="00E41CEF"/>
    <w:rsid w:val="00E42192"/>
    <w:rsid w:val="00E42549"/>
    <w:rsid w:val="00E425BD"/>
    <w:rsid w:val="00E42B3F"/>
    <w:rsid w:val="00E42C14"/>
    <w:rsid w:val="00E43090"/>
    <w:rsid w:val="00E431EB"/>
    <w:rsid w:val="00E43261"/>
    <w:rsid w:val="00E43386"/>
    <w:rsid w:val="00E433F7"/>
    <w:rsid w:val="00E4370E"/>
    <w:rsid w:val="00E43904"/>
    <w:rsid w:val="00E43992"/>
    <w:rsid w:val="00E43C78"/>
    <w:rsid w:val="00E43F1A"/>
    <w:rsid w:val="00E446CF"/>
    <w:rsid w:val="00E44782"/>
    <w:rsid w:val="00E44971"/>
    <w:rsid w:val="00E4499F"/>
    <w:rsid w:val="00E449FC"/>
    <w:rsid w:val="00E44C39"/>
    <w:rsid w:val="00E450AE"/>
    <w:rsid w:val="00E4528C"/>
    <w:rsid w:val="00E457FA"/>
    <w:rsid w:val="00E4589F"/>
    <w:rsid w:val="00E4599C"/>
    <w:rsid w:val="00E45A25"/>
    <w:rsid w:val="00E45CA6"/>
    <w:rsid w:val="00E45EA5"/>
    <w:rsid w:val="00E46290"/>
    <w:rsid w:val="00E462D9"/>
    <w:rsid w:val="00E4631A"/>
    <w:rsid w:val="00E4637B"/>
    <w:rsid w:val="00E4668D"/>
    <w:rsid w:val="00E4681A"/>
    <w:rsid w:val="00E46E11"/>
    <w:rsid w:val="00E46FFD"/>
    <w:rsid w:val="00E470B5"/>
    <w:rsid w:val="00E471CE"/>
    <w:rsid w:val="00E4729A"/>
    <w:rsid w:val="00E4733F"/>
    <w:rsid w:val="00E4762E"/>
    <w:rsid w:val="00E4789A"/>
    <w:rsid w:val="00E47900"/>
    <w:rsid w:val="00E47934"/>
    <w:rsid w:val="00E47A6C"/>
    <w:rsid w:val="00E47AD5"/>
    <w:rsid w:val="00E5014E"/>
    <w:rsid w:val="00E503FB"/>
    <w:rsid w:val="00E5094D"/>
    <w:rsid w:val="00E50A85"/>
    <w:rsid w:val="00E50B1A"/>
    <w:rsid w:val="00E50D51"/>
    <w:rsid w:val="00E50D8C"/>
    <w:rsid w:val="00E50E66"/>
    <w:rsid w:val="00E5125F"/>
    <w:rsid w:val="00E5173A"/>
    <w:rsid w:val="00E518A9"/>
    <w:rsid w:val="00E51CC6"/>
    <w:rsid w:val="00E51CEA"/>
    <w:rsid w:val="00E51CEF"/>
    <w:rsid w:val="00E51E40"/>
    <w:rsid w:val="00E52041"/>
    <w:rsid w:val="00E52061"/>
    <w:rsid w:val="00E521DA"/>
    <w:rsid w:val="00E52425"/>
    <w:rsid w:val="00E52766"/>
    <w:rsid w:val="00E528E2"/>
    <w:rsid w:val="00E52C61"/>
    <w:rsid w:val="00E52D71"/>
    <w:rsid w:val="00E53108"/>
    <w:rsid w:val="00E53249"/>
    <w:rsid w:val="00E5330A"/>
    <w:rsid w:val="00E5353B"/>
    <w:rsid w:val="00E537F8"/>
    <w:rsid w:val="00E53866"/>
    <w:rsid w:val="00E539F2"/>
    <w:rsid w:val="00E53D41"/>
    <w:rsid w:val="00E54293"/>
    <w:rsid w:val="00E542C8"/>
    <w:rsid w:val="00E54317"/>
    <w:rsid w:val="00E5451D"/>
    <w:rsid w:val="00E546B3"/>
    <w:rsid w:val="00E5478F"/>
    <w:rsid w:val="00E54A1A"/>
    <w:rsid w:val="00E54D07"/>
    <w:rsid w:val="00E54DBD"/>
    <w:rsid w:val="00E551B2"/>
    <w:rsid w:val="00E551E6"/>
    <w:rsid w:val="00E55480"/>
    <w:rsid w:val="00E554C0"/>
    <w:rsid w:val="00E55B9B"/>
    <w:rsid w:val="00E55DE3"/>
    <w:rsid w:val="00E561DF"/>
    <w:rsid w:val="00E562C0"/>
    <w:rsid w:val="00E568BB"/>
    <w:rsid w:val="00E56949"/>
    <w:rsid w:val="00E56D3F"/>
    <w:rsid w:val="00E574DB"/>
    <w:rsid w:val="00E57514"/>
    <w:rsid w:val="00E57B56"/>
    <w:rsid w:val="00E57BA6"/>
    <w:rsid w:val="00E57C7F"/>
    <w:rsid w:val="00E57CFE"/>
    <w:rsid w:val="00E57FB0"/>
    <w:rsid w:val="00E6017E"/>
    <w:rsid w:val="00E6034D"/>
    <w:rsid w:val="00E605D5"/>
    <w:rsid w:val="00E60631"/>
    <w:rsid w:val="00E609BB"/>
    <w:rsid w:val="00E60A42"/>
    <w:rsid w:val="00E60AA3"/>
    <w:rsid w:val="00E60D66"/>
    <w:rsid w:val="00E60EB5"/>
    <w:rsid w:val="00E6106E"/>
    <w:rsid w:val="00E610EA"/>
    <w:rsid w:val="00E611F7"/>
    <w:rsid w:val="00E61478"/>
    <w:rsid w:val="00E6163C"/>
    <w:rsid w:val="00E619F1"/>
    <w:rsid w:val="00E619F7"/>
    <w:rsid w:val="00E61A7C"/>
    <w:rsid w:val="00E61C4D"/>
    <w:rsid w:val="00E61C78"/>
    <w:rsid w:val="00E6207F"/>
    <w:rsid w:val="00E6273D"/>
    <w:rsid w:val="00E629CD"/>
    <w:rsid w:val="00E62BED"/>
    <w:rsid w:val="00E62CF7"/>
    <w:rsid w:val="00E62D52"/>
    <w:rsid w:val="00E62E6F"/>
    <w:rsid w:val="00E62F46"/>
    <w:rsid w:val="00E6320A"/>
    <w:rsid w:val="00E63264"/>
    <w:rsid w:val="00E6351B"/>
    <w:rsid w:val="00E6364E"/>
    <w:rsid w:val="00E638C0"/>
    <w:rsid w:val="00E640A1"/>
    <w:rsid w:val="00E64129"/>
    <w:rsid w:val="00E64146"/>
    <w:rsid w:val="00E644AF"/>
    <w:rsid w:val="00E64C69"/>
    <w:rsid w:val="00E64D99"/>
    <w:rsid w:val="00E64DFC"/>
    <w:rsid w:val="00E6563C"/>
    <w:rsid w:val="00E656B0"/>
    <w:rsid w:val="00E65752"/>
    <w:rsid w:val="00E657F1"/>
    <w:rsid w:val="00E65C06"/>
    <w:rsid w:val="00E65D06"/>
    <w:rsid w:val="00E65D13"/>
    <w:rsid w:val="00E65D68"/>
    <w:rsid w:val="00E65FEC"/>
    <w:rsid w:val="00E66004"/>
    <w:rsid w:val="00E6622C"/>
    <w:rsid w:val="00E663DC"/>
    <w:rsid w:val="00E6665B"/>
    <w:rsid w:val="00E667DF"/>
    <w:rsid w:val="00E668E5"/>
    <w:rsid w:val="00E66A79"/>
    <w:rsid w:val="00E66BC7"/>
    <w:rsid w:val="00E66C97"/>
    <w:rsid w:val="00E66EB8"/>
    <w:rsid w:val="00E67364"/>
    <w:rsid w:val="00E674EF"/>
    <w:rsid w:val="00E67997"/>
    <w:rsid w:val="00E70213"/>
    <w:rsid w:val="00E702B4"/>
    <w:rsid w:val="00E70717"/>
    <w:rsid w:val="00E7073B"/>
    <w:rsid w:val="00E7097B"/>
    <w:rsid w:val="00E70992"/>
    <w:rsid w:val="00E70E0A"/>
    <w:rsid w:val="00E710E5"/>
    <w:rsid w:val="00E71297"/>
    <w:rsid w:val="00E717F5"/>
    <w:rsid w:val="00E718E8"/>
    <w:rsid w:val="00E72212"/>
    <w:rsid w:val="00E72322"/>
    <w:rsid w:val="00E72348"/>
    <w:rsid w:val="00E72656"/>
    <w:rsid w:val="00E728E9"/>
    <w:rsid w:val="00E72949"/>
    <w:rsid w:val="00E72E94"/>
    <w:rsid w:val="00E72F0E"/>
    <w:rsid w:val="00E72F30"/>
    <w:rsid w:val="00E73194"/>
    <w:rsid w:val="00E7325D"/>
    <w:rsid w:val="00E73B8A"/>
    <w:rsid w:val="00E73C24"/>
    <w:rsid w:val="00E73FDA"/>
    <w:rsid w:val="00E74492"/>
    <w:rsid w:val="00E745D0"/>
    <w:rsid w:val="00E745F9"/>
    <w:rsid w:val="00E74930"/>
    <w:rsid w:val="00E74A6A"/>
    <w:rsid w:val="00E74C0F"/>
    <w:rsid w:val="00E74D3C"/>
    <w:rsid w:val="00E74D98"/>
    <w:rsid w:val="00E7509B"/>
    <w:rsid w:val="00E7533E"/>
    <w:rsid w:val="00E75457"/>
    <w:rsid w:val="00E75516"/>
    <w:rsid w:val="00E755B2"/>
    <w:rsid w:val="00E7560E"/>
    <w:rsid w:val="00E75B9E"/>
    <w:rsid w:val="00E75D03"/>
    <w:rsid w:val="00E76085"/>
    <w:rsid w:val="00E76253"/>
    <w:rsid w:val="00E762A2"/>
    <w:rsid w:val="00E7650D"/>
    <w:rsid w:val="00E76516"/>
    <w:rsid w:val="00E769C9"/>
    <w:rsid w:val="00E76AAD"/>
    <w:rsid w:val="00E76D12"/>
    <w:rsid w:val="00E76FD7"/>
    <w:rsid w:val="00E7741B"/>
    <w:rsid w:val="00E775F5"/>
    <w:rsid w:val="00E7777B"/>
    <w:rsid w:val="00E77F6D"/>
    <w:rsid w:val="00E80207"/>
    <w:rsid w:val="00E802CE"/>
    <w:rsid w:val="00E80602"/>
    <w:rsid w:val="00E80658"/>
    <w:rsid w:val="00E80756"/>
    <w:rsid w:val="00E80785"/>
    <w:rsid w:val="00E8087E"/>
    <w:rsid w:val="00E80937"/>
    <w:rsid w:val="00E80948"/>
    <w:rsid w:val="00E80AF3"/>
    <w:rsid w:val="00E80CB5"/>
    <w:rsid w:val="00E81284"/>
    <w:rsid w:val="00E8140C"/>
    <w:rsid w:val="00E817E6"/>
    <w:rsid w:val="00E8185F"/>
    <w:rsid w:val="00E81A63"/>
    <w:rsid w:val="00E81EFC"/>
    <w:rsid w:val="00E81FD5"/>
    <w:rsid w:val="00E8237D"/>
    <w:rsid w:val="00E824B6"/>
    <w:rsid w:val="00E825FA"/>
    <w:rsid w:val="00E82721"/>
    <w:rsid w:val="00E82941"/>
    <w:rsid w:val="00E82A28"/>
    <w:rsid w:val="00E82A4E"/>
    <w:rsid w:val="00E8306E"/>
    <w:rsid w:val="00E83510"/>
    <w:rsid w:val="00E83A0D"/>
    <w:rsid w:val="00E83ECE"/>
    <w:rsid w:val="00E83FC3"/>
    <w:rsid w:val="00E846D3"/>
    <w:rsid w:val="00E8475D"/>
    <w:rsid w:val="00E8475F"/>
    <w:rsid w:val="00E84A29"/>
    <w:rsid w:val="00E84A59"/>
    <w:rsid w:val="00E84AA2"/>
    <w:rsid w:val="00E84BD4"/>
    <w:rsid w:val="00E84CC3"/>
    <w:rsid w:val="00E84CD9"/>
    <w:rsid w:val="00E84D05"/>
    <w:rsid w:val="00E84E83"/>
    <w:rsid w:val="00E84F29"/>
    <w:rsid w:val="00E85046"/>
    <w:rsid w:val="00E85105"/>
    <w:rsid w:val="00E85152"/>
    <w:rsid w:val="00E8523F"/>
    <w:rsid w:val="00E85261"/>
    <w:rsid w:val="00E85480"/>
    <w:rsid w:val="00E855F2"/>
    <w:rsid w:val="00E85851"/>
    <w:rsid w:val="00E85D12"/>
    <w:rsid w:val="00E85DAC"/>
    <w:rsid w:val="00E85FB3"/>
    <w:rsid w:val="00E85FB7"/>
    <w:rsid w:val="00E85FE1"/>
    <w:rsid w:val="00E86177"/>
    <w:rsid w:val="00E86324"/>
    <w:rsid w:val="00E86354"/>
    <w:rsid w:val="00E86539"/>
    <w:rsid w:val="00E86944"/>
    <w:rsid w:val="00E86A54"/>
    <w:rsid w:val="00E86C8C"/>
    <w:rsid w:val="00E8722D"/>
    <w:rsid w:val="00E87283"/>
    <w:rsid w:val="00E87299"/>
    <w:rsid w:val="00E87321"/>
    <w:rsid w:val="00E874DD"/>
    <w:rsid w:val="00E87649"/>
    <w:rsid w:val="00E87941"/>
    <w:rsid w:val="00E87A71"/>
    <w:rsid w:val="00E87B56"/>
    <w:rsid w:val="00E87D85"/>
    <w:rsid w:val="00E87F3E"/>
    <w:rsid w:val="00E902DB"/>
    <w:rsid w:val="00E903C3"/>
    <w:rsid w:val="00E906BC"/>
    <w:rsid w:val="00E90870"/>
    <w:rsid w:val="00E90B64"/>
    <w:rsid w:val="00E90B6A"/>
    <w:rsid w:val="00E90E80"/>
    <w:rsid w:val="00E9103A"/>
    <w:rsid w:val="00E911C2"/>
    <w:rsid w:val="00E91209"/>
    <w:rsid w:val="00E912DE"/>
    <w:rsid w:val="00E915CB"/>
    <w:rsid w:val="00E915E9"/>
    <w:rsid w:val="00E91746"/>
    <w:rsid w:val="00E917EC"/>
    <w:rsid w:val="00E9183A"/>
    <w:rsid w:val="00E91A6C"/>
    <w:rsid w:val="00E91A7B"/>
    <w:rsid w:val="00E91E08"/>
    <w:rsid w:val="00E9233D"/>
    <w:rsid w:val="00E928F0"/>
    <w:rsid w:val="00E92C2F"/>
    <w:rsid w:val="00E92E11"/>
    <w:rsid w:val="00E92E20"/>
    <w:rsid w:val="00E92F94"/>
    <w:rsid w:val="00E930D8"/>
    <w:rsid w:val="00E93547"/>
    <w:rsid w:val="00E93679"/>
    <w:rsid w:val="00E93721"/>
    <w:rsid w:val="00E93AD7"/>
    <w:rsid w:val="00E93D83"/>
    <w:rsid w:val="00E94007"/>
    <w:rsid w:val="00E940CA"/>
    <w:rsid w:val="00E940EE"/>
    <w:rsid w:val="00E947D3"/>
    <w:rsid w:val="00E94840"/>
    <w:rsid w:val="00E948A2"/>
    <w:rsid w:val="00E94AF5"/>
    <w:rsid w:val="00E94C80"/>
    <w:rsid w:val="00E94CDD"/>
    <w:rsid w:val="00E94ED4"/>
    <w:rsid w:val="00E95244"/>
    <w:rsid w:val="00E95812"/>
    <w:rsid w:val="00E9584F"/>
    <w:rsid w:val="00E959F1"/>
    <w:rsid w:val="00E95B9E"/>
    <w:rsid w:val="00E95C72"/>
    <w:rsid w:val="00E95D62"/>
    <w:rsid w:val="00E9644B"/>
    <w:rsid w:val="00E96AA9"/>
    <w:rsid w:val="00E96B7A"/>
    <w:rsid w:val="00E96E65"/>
    <w:rsid w:val="00E96F96"/>
    <w:rsid w:val="00E9705E"/>
    <w:rsid w:val="00E97155"/>
    <w:rsid w:val="00E974ED"/>
    <w:rsid w:val="00E9787A"/>
    <w:rsid w:val="00E979E6"/>
    <w:rsid w:val="00E97E58"/>
    <w:rsid w:val="00E97FE2"/>
    <w:rsid w:val="00EA01D2"/>
    <w:rsid w:val="00EA020F"/>
    <w:rsid w:val="00EA0353"/>
    <w:rsid w:val="00EA03BA"/>
    <w:rsid w:val="00EA05B0"/>
    <w:rsid w:val="00EA05EB"/>
    <w:rsid w:val="00EA0625"/>
    <w:rsid w:val="00EA0D9F"/>
    <w:rsid w:val="00EA1322"/>
    <w:rsid w:val="00EA1370"/>
    <w:rsid w:val="00EA13B8"/>
    <w:rsid w:val="00EA1514"/>
    <w:rsid w:val="00EA18F0"/>
    <w:rsid w:val="00EA1904"/>
    <w:rsid w:val="00EA199B"/>
    <w:rsid w:val="00EA1A01"/>
    <w:rsid w:val="00EA1C71"/>
    <w:rsid w:val="00EA1C9F"/>
    <w:rsid w:val="00EA2254"/>
    <w:rsid w:val="00EA22B9"/>
    <w:rsid w:val="00EA23B5"/>
    <w:rsid w:val="00EA2478"/>
    <w:rsid w:val="00EA24E8"/>
    <w:rsid w:val="00EA24EF"/>
    <w:rsid w:val="00EA25A4"/>
    <w:rsid w:val="00EA2745"/>
    <w:rsid w:val="00EA2B8F"/>
    <w:rsid w:val="00EA2F97"/>
    <w:rsid w:val="00EA304F"/>
    <w:rsid w:val="00EA32C7"/>
    <w:rsid w:val="00EA39C1"/>
    <w:rsid w:val="00EA3B23"/>
    <w:rsid w:val="00EA3C8A"/>
    <w:rsid w:val="00EA3CDA"/>
    <w:rsid w:val="00EA3D89"/>
    <w:rsid w:val="00EA3EAE"/>
    <w:rsid w:val="00EA4097"/>
    <w:rsid w:val="00EA418E"/>
    <w:rsid w:val="00EA41A4"/>
    <w:rsid w:val="00EA42DF"/>
    <w:rsid w:val="00EA4485"/>
    <w:rsid w:val="00EA470B"/>
    <w:rsid w:val="00EA47B1"/>
    <w:rsid w:val="00EA4967"/>
    <w:rsid w:val="00EA4998"/>
    <w:rsid w:val="00EA4E7A"/>
    <w:rsid w:val="00EA517F"/>
    <w:rsid w:val="00EA5207"/>
    <w:rsid w:val="00EA54CE"/>
    <w:rsid w:val="00EA5AC3"/>
    <w:rsid w:val="00EA5D76"/>
    <w:rsid w:val="00EA603F"/>
    <w:rsid w:val="00EA6141"/>
    <w:rsid w:val="00EA6176"/>
    <w:rsid w:val="00EA638C"/>
    <w:rsid w:val="00EA6428"/>
    <w:rsid w:val="00EA6963"/>
    <w:rsid w:val="00EA6A8C"/>
    <w:rsid w:val="00EA6DDA"/>
    <w:rsid w:val="00EA6F21"/>
    <w:rsid w:val="00EA6F70"/>
    <w:rsid w:val="00EA70E9"/>
    <w:rsid w:val="00EA72F1"/>
    <w:rsid w:val="00EA74AF"/>
    <w:rsid w:val="00EA74DB"/>
    <w:rsid w:val="00EA75E2"/>
    <w:rsid w:val="00EA7685"/>
    <w:rsid w:val="00EA77A2"/>
    <w:rsid w:val="00EA7909"/>
    <w:rsid w:val="00EA7927"/>
    <w:rsid w:val="00EA7DFA"/>
    <w:rsid w:val="00EA7F49"/>
    <w:rsid w:val="00EB02FD"/>
    <w:rsid w:val="00EB05B4"/>
    <w:rsid w:val="00EB0671"/>
    <w:rsid w:val="00EB072E"/>
    <w:rsid w:val="00EB0855"/>
    <w:rsid w:val="00EB08B2"/>
    <w:rsid w:val="00EB08C8"/>
    <w:rsid w:val="00EB0ADA"/>
    <w:rsid w:val="00EB0B4A"/>
    <w:rsid w:val="00EB0C8D"/>
    <w:rsid w:val="00EB0CAF"/>
    <w:rsid w:val="00EB10D5"/>
    <w:rsid w:val="00EB12F5"/>
    <w:rsid w:val="00EB172A"/>
    <w:rsid w:val="00EB1B6D"/>
    <w:rsid w:val="00EB22E9"/>
    <w:rsid w:val="00EB22FF"/>
    <w:rsid w:val="00EB2317"/>
    <w:rsid w:val="00EB24B3"/>
    <w:rsid w:val="00EB24D5"/>
    <w:rsid w:val="00EB2DC5"/>
    <w:rsid w:val="00EB30CE"/>
    <w:rsid w:val="00EB34F0"/>
    <w:rsid w:val="00EB3524"/>
    <w:rsid w:val="00EB3670"/>
    <w:rsid w:val="00EB3862"/>
    <w:rsid w:val="00EB386A"/>
    <w:rsid w:val="00EB3B53"/>
    <w:rsid w:val="00EB3E0E"/>
    <w:rsid w:val="00EB4114"/>
    <w:rsid w:val="00EB419B"/>
    <w:rsid w:val="00EB4232"/>
    <w:rsid w:val="00EB42FE"/>
    <w:rsid w:val="00EB43D8"/>
    <w:rsid w:val="00EB4977"/>
    <w:rsid w:val="00EB49E7"/>
    <w:rsid w:val="00EB4A78"/>
    <w:rsid w:val="00EB5105"/>
    <w:rsid w:val="00EB520E"/>
    <w:rsid w:val="00EB5294"/>
    <w:rsid w:val="00EB52B6"/>
    <w:rsid w:val="00EB569B"/>
    <w:rsid w:val="00EB5B7B"/>
    <w:rsid w:val="00EB5BB1"/>
    <w:rsid w:val="00EB610F"/>
    <w:rsid w:val="00EB65FD"/>
    <w:rsid w:val="00EB6636"/>
    <w:rsid w:val="00EB68DF"/>
    <w:rsid w:val="00EB6CB3"/>
    <w:rsid w:val="00EB6EE8"/>
    <w:rsid w:val="00EB71B6"/>
    <w:rsid w:val="00EB71C9"/>
    <w:rsid w:val="00EB7349"/>
    <w:rsid w:val="00EB769F"/>
    <w:rsid w:val="00EB7B77"/>
    <w:rsid w:val="00EB7E14"/>
    <w:rsid w:val="00EC02C9"/>
    <w:rsid w:val="00EC02F5"/>
    <w:rsid w:val="00EC03F4"/>
    <w:rsid w:val="00EC045D"/>
    <w:rsid w:val="00EC056B"/>
    <w:rsid w:val="00EC0591"/>
    <w:rsid w:val="00EC06BD"/>
    <w:rsid w:val="00EC0E66"/>
    <w:rsid w:val="00EC0FEE"/>
    <w:rsid w:val="00EC1038"/>
    <w:rsid w:val="00EC10AB"/>
    <w:rsid w:val="00EC1218"/>
    <w:rsid w:val="00EC15C6"/>
    <w:rsid w:val="00EC1846"/>
    <w:rsid w:val="00EC1961"/>
    <w:rsid w:val="00EC1C82"/>
    <w:rsid w:val="00EC1D28"/>
    <w:rsid w:val="00EC1D39"/>
    <w:rsid w:val="00EC1F83"/>
    <w:rsid w:val="00EC242A"/>
    <w:rsid w:val="00EC245F"/>
    <w:rsid w:val="00EC2518"/>
    <w:rsid w:val="00EC25EE"/>
    <w:rsid w:val="00EC26DA"/>
    <w:rsid w:val="00EC2A61"/>
    <w:rsid w:val="00EC2A82"/>
    <w:rsid w:val="00EC2BE1"/>
    <w:rsid w:val="00EC2E3F"/>
    <w:rsid w:val="00EC3059"/>
    <w:rsid w:val="00EC3430"/>
    <w:rsid w:val="00EC3500"/>
    <w:rsid w:val="00EC3BE7"/>
    <w:rsid w:val="00EC3CEC"/>
    <w:rsid w:val="00EC3E5E"/>
    <w:rsid w:val="00EC433C"/>
    <w:rsid w:val="00EC4369"/>
    <w:rsid w:val="00EC470B"/>
    <w:rsid w:val="00EC4855"/>
    <w:rsid w:val="00EC52DA"/>
    <w:rsid w:val="00EC53B6"/>
    <w:rsid w:val="00EC548F"/>
    <w:rsid w:val="00EC552E"/>
    <w:rsid w:val="00EC55B2"/>
    <w:rsid w:val="00EC5642"/>
    <w:rsid w:val="00EC56AC"/>
    <w:rsid w:val="00EC582B"/>
    <w:rsid w:val="00EC5E4C"/>
    <w:rsid w:val="00EC5F24"/>
    <w:rsid w:val="00EC62FA"/>
    <w:rsid w:val="00EC6387"/>
    <w:rsid w:val="00EC64DB"/>
    <w:rsid w:val="00EC6988"/>
    <w:rsid w:val="00EC6AAF"/>
    <w:rsid w:val="00EC6C4A"/>
    <w:rsid w:val="00EC6E1B"/>
    <w:rsid w:val="00EC73C1"/>
    <w:rsid w:val="00EC7647"/>
    <w:rsid w:val="00EC7763"/>
    <w:rsid w:val="00EC7C31"/>
    <w:rsid w:val="00ED039A"/>
    <w:rsid w:val="00ED03D6"/>
    <w:rsid w:val="00ED0C18"/>
    <w:rsid w:val="00ED1139"/>
    <w:rsid w:val="00ED1160"/>
    <w:rsid w:val="00ED11A9"/>
    <w:rsid w:val="00ED14F4"/>
    <w:rsid w:val="00ED1557"/>
    <w:rsid w:val="00ED1870"/>
    <w:rsid w:val="00ED1AF5"/>
    <w:rsid w:val="00ED1B5B"/>
    <w:rsid w:val="00ED1B9E"/>
    <w:rsid w:val="00ED1F91"/>
    <w:rsid w:val="00ED2077"/>
    <w:rsid w:val="00ED20E3"/>
    <w:rsid w:val="00ED2159"/>
    <w:rsid w:val="00ED21F7"/>
    <w:rsid w:val="00ED263C"/>
    <w:rsid w:val="00ED27A9"/>
    <w:rsid w:val="00ED2856"/>
    <w:rsid w:val="00ED29E4"/>
    <w:rsid w:val="00ED2AA6"/>
    <w:rsid w:val="00ED2D33"/>
    <w:rsid w:val="00ED2DF5"/>
    <w:rsid w:val="00ED3072"/>
    <w:rsid w:val="00ED33BC"/>
    <w:rsid w:val="00ED3498"/>
    <w:rsid w:val="00ED37B3"/>
    <w:rsid w:val="00ED3D08"/>
    <w:rsid w:val="00ED3D53"/>
    <w:rsid w:val="00ED3D5F"/>
    <w:rsid w:val="00ED3DA2"/>
    <w:rsid w:val="00ED3E38"/>
    <w:rsid w:val="00ED44E4"/>
    <w:rsid w:val="00ED4880"/>
    <w:rsid w:val="00ED49F4"/>
    <w:rsid w:val="00ED4B79"/>
    <w:rsid w:val="00ED4C1C"/>
    <w:rsid w:val="00ED4CD2"/>
    <w:rsid w:val="00ED4E6F"/>
    <w:rsid w:val="00ED54E1"/>
    <w:rsid w:val="00ED5589"/>
    <w:rsid w:val="00ED5A6F"/>
    <w:rsid w:val="00ED5C46"/>
    <w:rsid w:val="00ED5C47"/>
    <w:rsid w:val="00ED5F9B"/>
    <w:rsid w:val="00ED5FBC"/>
    <w:rsid w:val="00ED6529"/>
    <w:rsid w:val="00ED6551"/>
    <w:rsid w:val="00ED6606"/>
    <w:rsid w:val="00ED6707"/>
    <w:rsid w:val="00ED6A11"/>
    <w:rsid w:val="00ED6A76"/>
    <w:rsid w:val="00ED6B4E"/>
    <w:rsid w:val="00ED7306"/>
    <w:rsid w:val="00ED7337"/>
    <w:rsid w:val="00ED739F"/>
    <w:rsid w:val="00ED740A"/>
    <w:rsid w:val="00ED7435"/>
    <w:rsid w:val="00ED75E4"/>
    <w:rsid w:val="00ED7674"/>
    <w:rsid w:val="00ED76D4"/>
    <w:rsid w:val="00ED76E4"/>
    <w:rsid w:val="00ED7D0C"/>
    <w:rsid w:val="00ED7DD9"/>
    <w:rsid w:val="00ED7DF1"/>
    <w:rsid w:val="00ED7F05"/>
    <w:rsid w:val="00ED7F44"/>
    <w:rsid w:val="00EE01B1"/>
    <w:rsid w:val="00EE01D9"/>
    <w:rsid w:val="00EE0247"/>
    <w:rsid w:val="00EE0443"/>
    <w:rsid w:val="00EE0493"/>
    <w:rsid w:val="00EE06A9"/>
    <w:rsid w:val="00EE070C"/>
    <w:rsid w:val="00EE0C94"/>
    <w:rsid w:val="00EE0FC4"/>
    <w:rsid w:val="00EE1119"/>
    <w:rsid w:val="00EE1912"/>
    <w:rsid w:val="00EE1D1E"/>
    <w:rsid w:val="00EE1D36"/>
    <w:rsid w:val="00EE1D97"/>
    <w:rsid w:val="00EE1E3D"/>
    <w:rsid w:val="00EE1E99"/>
    <w:rsid w:val="00EE218A"/>
    <w:rsid w:val="00EE222C"/>
    <w:rsid w:val="00EE2330"/>
    <w:rsid w:val="00EE2407"/>
    <w:rsid w:val="00EE2436"/>
    <w:rsid w:val="00EE2513"/>
    <w:rsid w:val="00EE2716"/>
    <w:rsid w:val="00EE2759"/>
    <w:rsid w:val="00EE2B53"/>
    <w:rsid w:val="00EE2BC4"/>
    <w:rsid w:val="00EE334D"/>
    <w:rsid w:val="00EE33E9"/>
    <w:rsid w:val="00EE33EE"/>
    <w:rsid w:val="00EE3437"/>
    <w:rsid w:val="00EE34FE"/>
    <w:rsid w:val="00EE3580"/>
    <w:rsid w:val="00EE37A8"/>
    <w:rsid w:val="00EE3843"/>
    <w:rsid w:val="00EE3917"/>
    <w:rsid w:val="00EE3B5C"/>
    <w:rsid w:val="00EE44B1"/>
    <w:rsid w:val="00EE484A"/>
    <w:rsid w:val="00EE4A5D"/>
    <w:rsid w:val="00EE4BAE"/>
    <w:rsid w:val="00EE4C26"/>
    <w:rsid w:val="00EE4E50"/>
    <w:rsid w:val="00EE4F3D"/>
    <w:rsid w:val="00EE5225"/>
    <w:rsid w:val="00EE54DD"/>
    <w:rsid w:val="00EE58C0"/>
    <w:rsid w:val="00EE59B0"/>
    <w:rsid w:val="00EE5C5D"/>
    <w:rsid w:val="00EE6116"/>
    <w:rsid w:val="00EE61EF"/>
    <w:rsid w:val="00EE658C"/>
    <w:rsid w:val="00EE6688"/>
    <w:rsid w:val="00EE6A14"/>
    <w:rsid w:val="00EE6A37"/>
    <w:rsid w:val="00EE6CDE"/>
    <w:rsid w:val="00EE7076"/>
    <w:rsid w:val="00EE7273"/>
    <w:rsid w:val="00EE74B8"/>
    <w:rsid w:val="00EE74E5"/>
    <w:rsid w:val="00EE7804"/>
    <w:rsid w:val="00EE7AB9"/>
    <w:rsid w:val="00EE7DDE"/>
    <w:rsid w:val="00EE7DF1"/>
    <w:rsid w:val="00EF0144"/>
    <w:rsid w:val="00EF0159"/>
    <w:rsid w:val="00EF029B"/>
    <w:rsid w:val="00EF02C0"/>
    <w:rsid w:val="00EF02E1"/>
    <w:rsid w:val="00EF05EA"/>
    <w:rsid w:val="00EF084B"/>
    <w:rsid w:val="00EF086B"/>
    <w:rsid w:val="00EF08A2"/>
    <w:rsid w:val="00EF0C14"/>
    <w:rsid w:val="00EF0FDF"/>
    <w:rsid w:val="00EF0FE9"/>
    <w:rsid w:val="00EF1158"/>
    <w:rsid w:val="00EF13D5"/>
    <w:rsid w:val="00EF169E"/>
    <w:rsid w:val="00EF16BB"/>
    <w:rsid w:val="00EF181B"/>
    <w:rsid w:val="00EF1919"/>
    <w:rsid w:val="00EF1A5B"/>
    <w:rsid w:val="00EF1C57"/>
    <w:rsid w:val="00EF1EBB"/>
    <w:rsid w:val="00EF21BB"/>
    <w:rsid w:val="00EF24E9"/>
    <w:rsid w:val="00EF2602"/>
    <w:rsid w:val="00EF2745"/>
    <w:rsid w:val="00EF287F"/>
    <w:rsid w:val="00EF28FF"/>
    <w:rsid w:val="00EF2930"/>
    <w:rsid w:val="00EF2AB7"/>
    <w:rsid w:val="00EF2ACE"/>
    <w:rsid w:val="00EF2AD4"/>
    <w:rsid w:val="00EF2CE4"/>
    <w:rsid w:val="00EF2CFB"/>
    <w:rsid w:val="00EF2D58"/>
    <w:rsid w:val="00EF3051"/>
    <w:rsid w:val="00EF345A"/>
    <w:rsid w:val="00EF397C"/>
    <w:rsid w:val="00EF3A0E"/>
    <w:rsid w:val="00EF3CD3"/>
    <w:rsid w:val="00EF3D57"/>
    <w:rsid w:val="00EF4065"/>
    <w:rsid w:val="00EF40B1"/>
    <w:rsid w:val="00EF42F8"/>
    <w:rsid w:val="00EF439B"/>
    <w:rsid w:val="00EF444B"/>
    <w:rsid w:val="00EF468C"/>
    <w:rsid w:val="00EF4A28"/>
    <w:rsid w:val="00EF4F3C"/>
    <w:rsid w:val="00EF51A5"/>
    <w:rsid w:val="00EF5587"/>
    <w:rsid w:val="00EF56B6"/>
    <w:rsid w:val="00EF5728"/>
    <w:rsid w:val="00EF58DE"/>
    <w:rsid w:val="00EF5B82"/>
    <w:rsid w:val="00EF5EB8"/>
    <w:rsid w:val="00EF5F1E"/>
    <w:rsid w:val="00EF5FAF"/>
    <w:rsid w:val="00EF640E"/>
    <w:rsid w:val="00EF649F"/>
    <w:rsid w:val="00EF6588"/>
    <w:rsid w:val="00EF66B8"/>
    <w:rsid w:val="00EF67F3"/>
    <w:rsid w:val="00EF699A"/>
    <w:rsid w:val="00EF699C"/>
    <w:rsid w:val="00EF6A24"/>
    <w:rsid w:val="00EF6DF5"/>
    <w:rsid w:val="00EF6EF5"/>
    <w:rsid w:val="00EF705C"/>
    <w:rsid w:val="00EF78CD"/>
    <w:rsid w:val="00EF78EE"/>
    <w:rsid w:val="00EF7930"/>
    <w:rsid w:val="00EF7A22"/>
    <w:rsid w:val="00EF7F49"/>
    <w:rsid w:val="00F000EE"/>
    <w:rsid w:val="00F0012C"/>
    <w:rsid w:val="00F001B7"/>
    <w:rsid w:val="00F008D9"/>
    <w:rsid w:val="00F00C46"/>
    <w:rsid w:val="00F00E5A"/>
    <w:rsid w:val="00F00EEC"/>
    <w:rsid w:val="00F01278"/>
    <w:rsid w:val="00F013B1"/>
    <w:rsid w:val="00F014EB"/>
    <w:rsid w:val="00F01539"/>
    <w:rsid w:val="00F0159F"/>
    <w:rsid w:val="00F015C8"/>
    <w:rsid w:val="00F015F5"/>
    <w:rsid w:val="00F016EE"/>
    <w:rsid w:val="00F01A08"/>
    <w:rsid w:val="00F01BE8"/>
    <w:rsid w:val="00F02476"/>
    <w:rsid w:val="00F02496"/>
    <w:rsid w:val="00F02E48"/>
    <w:rsid w:val="00F0326D"/>
    <w:rsid w:val="00F03624"/>
    <w:rsid w:val="00F0362E"/>
    <w:rsid w:val="00F037E4"/>
    <w:rsid w:val="00F03893"/>
    <w:rsid w:val="00F03AD8"/>
    <w:rsid w:val="00F03D4A"/>
    <w:rsid w:val="00F04291"/>
    <w:rsid w:val="00F043F9"/>
    <w:rsid w:val="00F0448A"/>
    <w:rsid w:val="00F04600"/>
    <w:rsid w:val="00F04818"/>
    <w:rsid w:val="00F04CA0"/>
    <w:rsid w:val="00F0508C"/>
    <w:rsid w:val="00F0540D"/>
    <w:rsid w:val="00F05BC3"/>
    <w:rsid w:val="00F05D09"/>
    <w:rsid w:val="00F0630D"/>
    <w:rsid w:val="00F06846"/>
    <w:rsid w:val="00F068F8"/>
    <w:rsid w:val="00F069D3"/>
    <w:rsid w:val="00F06AB3"/>
    <w:rsid w:val="00F06B16"/>
    <w:rsid w:val="00F06B9F"/>
    <w:rsid w:val="00F06BC5"/>
    <w:rsid w:val="00F06C23"/>
    <w:rsid w:val="00F06C8B"/>
    <w:rsid w:val="00F06DD0"/>
    <w:rsid w:val="00F06EED"/>
    <w:rsid w:val="00F06F10"/>
    <w:rsid w:val="00F0700D"/>
    <w:rsid w:val="00F072DA"/>
    <w:rsid w:val="00F073E4"/>
    <w:rsid w:val="00F07759"/>
    <w:rsid w:val="00F0778C"/>
    <w:rsid w:val="00F0791A"/>
    <w:rsid w:val="00F07A90"/>
    <w:rsid w:val="00F10224"/>
    <w:rsid w:val="00F103D8"/>
    <w:rsid w:val="00F109D9"/>
    <w:rsid w:val="00F109F9"/>
    <w:rsid w:val="00F10C7F"/>
    <w:rsid w:val="00F10D3B"/>
    <w:rsid w:val="00F11028"/>
    <w:rsid w:val="00F1132E"/>
    <w:rsid w:val="00F11464"/>
    <w:rsid w:val="00F1152F"/>
    <w:rsid w:val="00F11644"/>
    <w:rsid w:val="00F11C45"/>
    <w:rsid w:val="00F11D6B"/>
    <w:rsid w:val="00F11DCA"/>
    <w:rsid w:val="00F11E97"/>
    <w:rsid w:val="00F120FC"/>
    <w:rsid w:val="00F12291"/>
    <w:rsid w:val="00F124E6"/>
    <w:rsid w:val="00F1254E"/>
    <w:rsid w:val="00F125D7"/>
    <w:rsid w:val="00F12A99"/>
    <w:rsid w:val="00F12B4F"/>
    <w:rsid w:val="00F12E22"/>
    <w:rsid w:val="00F12F2E"/>
    <w:rsid w:val="00F135DC"/>
    <w:rsid w:val="00F13A0C"/>
    <w:rsid w:val="00F13B95"/>
    <w:rsid w:val="00F13D78"/>
    <w:rsid w:val="00F13E58"/>
    <w:rsid w:val="00F13F77"/>
    <w:rsid w:val="00F143C1"/>
    <w:rsid w:val="00F146FA"/>
    <w:rsid w:val="00F1470B"/>
    <w:rsid w:val="00F1474B"/>
    <w:rsid w:val="00F14985"/>
    <w:rsid w:val="00F14B6C"/>
    <w:rsid w:val="00F14E8F"/>
    <w:rsid w:val="00F14EA2"/>
    <w:rsid w:val="00F14FD7"/>
    <w:rsid w:val="00F151B2"/>
    <w:rsid w:val="00F15230"/>
    <w:rsid w:val="00F1523A"/>
    <w:rsid w:val="00F1554B"/>
    <w:rsid w:val="00F159C1"/>
    <w:rsid w:val="00F15A24"/>
    <w:rsid w:val="00F15BF3"/>
    <w:rsid w:val="00F15C95"/>
    <w:rsid w:val="00F16023"/>
    <w:rsid w:val="00F1635F"/>
    <w:rsid w:val="00F16609"/>
    <w:rsid w:val="00F16651"/>
    <w:rsid w:val="00F167C6"/>
    <w:rsid w:val="00F168B2"/>
    <w:rsid w:val="00F16986"/>
    <w:rsid w:val="00F16C6F"/>
    <w:rsid w:val="00F16CEE"/>
    <w:rsid w:val="00F16D83"/>
    <w:rsid w:val="00F16FAE"/>
    <w:rsid w:val="00F17027"/>
    <w:rsid w:val="00F17277"/>
    <w:rsid w:val="00F17A52"/>
    <w:rsid w:val="00F17A8A"/>
    <w:rsid w:val="00F17AC8"/>
    <w:rsid w:val="00F17D65"/>
    <w:rsid w:val="00F17D6D"/>
    <w:rsid w:val="00F17DCB"/>
    <w:rsid w:val="00F20027"/>
    <w:rsid w:val="00F200F1"/>
    <w:rsid w:val="00F20659"/>
    <w:rsid w:val="00F20666"/>
    <w:rsid w:val="00F20A93"/>
    <w:rsid w:val="00F20B0A"/>
    <w:rsid w:val="00F20D63"/>
    <w:rsid w:val="00F20F5C"/>
    <w:rsid w:val="00F210CA"/>
    <w:rsid w:val="00F21486"/>
    <w:rsid w:val="00F21664"/>
    <w:rsid w:val="00F21975"/>
    <w:rsid w:val="00F219E0"/>
    <w:rsid w:val="00F21BE3"/>
    <w:rsid w:val="00F21D90"/>
    <w:rsid w:val="00F21DBD"/>
    <w:rsid w:val="00F22426"/>
    <w:rsid w:val="00F2262A"/>
    <w:rsid w:val="00F22927"/>
    <w:rsid w:val="00F22A4E"/>
    <w:rsid w:val="00F22A96"/>
    <w:rsid w:val="00F22B8C"/>
    <w:rsid w:val="00F22B98"/>
    <w:rsid w:val="00F22BAA"/>
    <w:rsid w:val="00F22C41"/>
    <w:rsid w:val="00F2320E"/>
    <w:rsid w:val="00F2332D"/>
    <w:rsid w:val="00F235F1"/>
    <w:rsid w:val="00F23A51"/>
    <w:rsid w:val="00F23B5A"/>
    <w:rsid w:val="00F23BD9"/>
    <w:rsid w:val="00F23BF6"/>
    <w:rsid w:val="00F23FFC"/>
    <w:rsid w:val="00F240CA"/>
    <w:rsid w:val="00F24239"/>
    <w:rsid w:val="00F243EA"/>
    <w:rsid w:val="00F246B6"/>
    <w:rsid w:val="00F2471D"/>
    <w:rsid w:val="00F248C1"/>
    <w:rsid w:val="00F24A96"/>
    <w:rsid w:val="00F24D04"/>
    <w:rsid w:val="00F24D39"/>
    <w:rsid w:val="00F24DDB"/>
    <w:rsid w:val="00F25079"/>
    <w:rsid w:val="00F250CF"/>
    <w:rsid w:val="00F258FB"/>
    <w:rsid w:val="00F25FA1"/>
    <w:rsid w:val="00F26917"/>
    <w:rsid w:val="00F26943"/>
    <w:rsid w:val="00F269C8"/>
    <w:rsid w:val="00F26B40"/>
    <w:rsid w:val="00F26ECF"/>
    <w:rsid w:val="00F270CA"/>
    <w:rsid w:val="00F27104"/>
    <w:rsid w:val="00F2717E"/>
    <w:rsid w:val="00F27827"/>
    <w:rsid w:val="00F2791F"/>
    <w:rsid w:val="00F27B33"/>
    <w:rsid w:val="00F27B43"/>
    <w:rsid w:val="00F27C78"/>
    <w:rsid w:val="00F27FF2"/>
    <w:rsid w:val="00F27FF3"/>
    <w:rsid w:val="00F30030"/>
    <w:rsid w:val="00F30048"/>
    <w:rsid w:val="00F3005C"/>
    <w:rsid w:val="00F30121"/>
    <w:rsid w:val="00F30145"/>
    <w:rsid w:val="00F301FB"/>
    <w:rsid w:val="00F30653"/>
    <w:rsid w:val="00F306B0"/>
    <w:rsid w:val="00F30C48"/>
    <w:rsid w:val="00F30E5F"/>
    <w:rsid w:val="00F311AA"/>
    <w:rsid w:val="00F31392"/>
    <w:rsid w:val="00F31404"/>
    <w:rsid w:val="00F3164E"/>
    <w:rsid w:val="00F3168A"/>
    <w:rsid w:val="00F31C1C"/>
    <w:rsid w:val="00F31DA7"/>
    <w:rsid w:val="00F31DC2"/>
    <w:rsid w:val="00F31FC4"/>
    <w:rsid w:val="00F320E8"/>
    <w:rsid w:val="00F32333"/>
    <w:rsid w:val="00F324C7"/>
    <w:rsid w:val="00F32538"/>
    <w:rsid w:val="00F32653"/>
    <w:rsid w:val="00F3268E"/>
    <w:rsid w:val="00F326BA"/>
    <w:rsid w:val="00F327CD"/>
    <w:rsid w:val="00F32C72"/>
    <w:rsid w:val="00F33012"/>
    <w:rsid w:val="00F33357"/>
    <w:rsid w:val="00F33376"/>
    <w:rsid w:val="00F33423"/>
    <w:rsid w:val="00F33815"/>
    <w:rsid w:val="00F3382F"/>
    <w:rsid w:val="00F344CA"/>
    <w:rsid w:val="00F34629"/>
    <w:rsid w:val="00F346C2"/>
    <w:rsid w:val="00F347B9"/>
    <w:rsid w:val="00F34835"/>
    <w:rsid w:val="00F349FD"/>
    <w:rsid w:val="00F34A8B"/>
    <w:rsid w:val="00F34E3E"/>
    <w:rsid w:val="00F34ECA"/>
    <w:rsid w:val="00F34F03"/>
    <w:rsid w:val="00F34F2C"/>
    <w:rsid w:val="00F3500F"/>
    <w:rsid w:val="00F35131"/>
    <w:rsid w:val="00F35282"/>
    <w:rsid w:val="00F352BC"/>
    <w:rsid w:val="00F35606"/>
    <w:rsid w:val="00F357BD"/>
    <w:rsid w:val="00F35B86"/>
    <w:rsid w:val="00F35DB5"/>
    <w:rsid w:val="00F35E60"/>
    <w:rsid w:val="00F35EFF"/>
    <w:rsid w:val="00F363E0"/>
    <w:rsid w:val="00F364E8"/>
    <w:rsid w:val="00F36649"/>
    <w:rsid w:val="00F36740"/>
    <w:rsid w:val="00F36F75"/>
    <w:rsid w:val="00F37674"/>
    <w:rsid w:val="00F376EC"/>
    <w:rsid w:val="00F37710"/>
    <w:rsid w:val="00F3784E"/>
    <w:rsid w:val="00F37C92"/>
    <w:rsid w:val="00F37DED"/>
    <w:rsid w:val="00F37E77"/>
    <w:rsid w:val="00F37EF2"/>
    <w:rsid w:val="00F4000B"/>
    <w:rsid w:val="00F40173"/>
    <w:rsid w:val="00F401DB"/>
    <w:rsid w:val="00F40280"/>
    <w:rsid w:val="00F4049A"/>
    <w:rsid w:val="00F40549"/>
    <w:rsid w:val="00F4054A"/>
    <w:rsid w:val="00F40814"/>
    <w:rsid w:val="00F4084E"/>
    <w:rsid w:val="00F40AC9"/>
    <w:rsid w:val="00F40DB4"/>
    <w:rsid w:val="00F4111B"/>
    <w:rsid w:val="00F4170B"/>
    <w:rsid w:val="00F41924"/>
    <w:rsid w:val="00F41932"/>
    <w:rsid w:val="00F41A55"/>
    <w:rsid w:val="00F41B17"/>
    <w:rsid w:val="00F41C0E"/>
    <w:rsid w:val="00F41C1C"/>
    <w:rsid w:val="00F41CB3"/>
    <w:rsid w:val="00F41DB7"/>
    <w:rsid w:val="00F4205A"/>
    <w:rsid w:val="00F42327"/>
    <w:rsid w:val="00F42FD3"/>
    <w:rsid w:val="00F430B6"/>
    <w:rsid w:val="00F431BC"/>
    <w:rsid w:val="00F433B4"/>
    <w:rsid w:val="00F4345C"/>
    <w:rsid w:val="00F4370F"/>
    <w:rsid w:val="00F43B25"/>
    <w:rsid w:val="00F43D62"/>
    <w:rsid w:val="00F43EFF"/>
    <w:rsid w:val="00F4417D"/>
    <w:rsid w:val="00F442AD"/>
    <w:rsid w:val="00F44592"/>
    <w:rsid w:val="00F448CC"/>
    <w:rsid w:val="00F44E53"/>
    <w:rsid w:val="00F4582F"/>
    <w:rsid w:val="00F459F5"/>
    <w:rsid w:val="00F45A22"/>
    <w:rsid w:val="00F45B1B"/>
    <w:rsid w:val="00F45E04"/>
    <w:rsid w:val="00F45F29"/>
    <w:rsid w:val="00F45F8B"/>
    <w:rsid w:val="00F4608F"/>
    <w:rsid w:val="00F46215"/>
    <w:rsid w:val="00F46580"/>
    <w:rsid w:val="00F46AAD"/>
    <w:rsid w:val="00F46EE6"/>
    <w:rsid w:val="00F46F9D"/>
    <w:rsid w:val="00F4757B"/>
    <w:rsid w:val="00F478CD"/>
    <w:rsid w:val="00F47A03"/>
    <w:rsid w:val="00F47DDB"/>
    <w:rsid w:val="00F50357"/>
    <w:rsid w:val="00F5089F"/>
    <w:rsid w:val="00F5097E"/>
    <w:rsid w:val="00F50AED"/>
    <w:rsid w:val="00F50B6E"/>
    <w:rsid w:val="00F50D41"/>
    <w:rsid w:val="00F50F14"/>
    <w:rsid w:val="00F50F99"/>
    <w:rsid w:val="00F511D6"/>
    <w:rsid w:val="00F51356"/>
    <w:rsid w:val="00F5136A"/>
    <w:rsid w:val="00F5146B"/>
    <w:rsid w:val="00F5149B"/>
    <w:rsid w:val="00F51550"/>
    <w:rsid w:val="00F515CC"/>
    <w:rsid w:val="00F51BB4"/>
    <w:rsid w:val="00F51BF8"/>
    <w:rsid w:val="00F51E90"/>
    <w:rsid w:val="00F5247F"/>
    <w:rsid w:val="00F5261B"/>
    <w:rsid w:val="00F52917"/>
    <w:rsid w:val="00F529B4"/>
    <w:rsid w:val="00F52C69"/>
    <w:rsid w:val="00F53021"/>
    <w:rsid w:val="00F530CC"/>
    <w:rsid w:val="00F530CF"/>
    <w:rsid w:val="00F531B0"/>
    <w:rsid w:val="00F5358C"/>
    <w:rsid w:val="00F538D7"/>
    <w:rsid w:val="00F53E19"/>
    <w:rsid w:val="00F53E5E"/>
    <w:rsid w:val="00F53F29"/>
    <w:rsid w:val="00F54009"/>
    <w:rsid w:val="00F5415C"/>
    <w:rsid w:val="00F5415D"/>
    <w:rsid w:val="00F541B9"/>
    <w:rsid w:val="00F5425E"/>
    <w:rsid w:val="00F54299"/>
    <w:rsid w:val="00F54312"/>
    <w:rsid w:val="00F54321"/>
    <w:rsid w:val="00F5457C"/>
    <w:rsid w:val="00F5497D"/>
    <w:rsid w:val="00F54A25"/>
    <w:rsid w:val="00F54A70"/>
    <w:rsid w:val="00F54EF1"/>
    <w:rsid w:val="00F550EF"/>
    <w:rsid w:val="00F551A5"/>
    <w:rsid w:val="00F55759"/>
    <w:rsid w:val="00F55810"/>
    <w:rsid w:val="00F55A7D"/>
    <w:rsid w:val="00F55BEA"/>
    <w:rsid w:val="00F55C36"/>
    <w:rsid w:val="00F55D3F"/>
    <w:rsid w:val="00F55E0E"/>
    <w:rsid w:val="00F560D5"/>
    <w:rsid w:val="00F56197"/>
    <w:rsid w:val="00F5674E"/>
    <w:rsid w:val="00F56C46"/>
    <w:rsid w:val="00F56D07"/>
    <w:rsid w:val="00F56DB0"/>
    <w:rsid w:val="00F56FF5"/>
    <w:rsid w:val="00F56FFB"/>
    <w:rsid w:val="00F57165"/>
    <w:rsid w:val="00F5762A"/>
    <w:rsid w:val="00F57677"/>
    <w:rsid w:val="00F5767F"/>
    <w:rsid w:val="00F5788B"/>
    <w:rsid w:val="00F579CA"/>
    <w:rsid w:val="00F57E9E"/>
    <w:rsid w:val="00F60049"/>
    <w:rsid w:val="00F60125"/>
    <w:rsid w:val="00F603D6"/>
    <w:rsid w:val="00F6067E"/>
    <w:rsid w:val="00F60680"/>
    <w:rsid w:val="00F60B7F"/>
    <w:rsid w:val="00F60E86"/>
    <w:rsid w:val="00F60EB4"/>
    <w:rsid w:val="00F612DB"/>
    <w:rsid w:val="00F61358"/>
    <w:rsid w:val="00F61545"/>
    <w:rsid w:val="00F61559"/>
    <w:rsid w:val="00F61634"/>
    <w:rsid w:val="00F61793"/>
    <w:rsid w:val="00F61914"/>
    <w:rsid w:val="00F61ABA"/>
    <w:rsid w:val="00F61C45"/>
    <w:rsid w:val="00F61F9E"/>
    <w:rsid w:val="00F620ED"/>
    <w:rsid w:val="00F622CB"/>
    <w:rsid w:val="00F624EF"/>
    <w:rsid w:val="00F625BB"/>
    <w:rsid w:val="00F627C7"/>
    <w:rsid w:val="00F62BBC"/>
    <w:rsid w:val="00F62D42"/>
    <w:rsid w:val="00F62E89"/>
    <w:rsid w:val="00F6341D"/>
    <w:rsid w:val="00F63890"/>
    <w:rsid w:val="00F638B7"/>
    <w:rsid w:val="00F6391E"/>
    <w:rsid w:val="00F6396A"/>
    <w:rsid w:val="00F63BFE"/>
    <w:rsid w:val="00F63C35"/>
    <w:rsid w:val="00F63CF0"/>
    <w:rsid w:val="00F63D55"/>
    <w:rsid w:val="00F63F42"/>
    <w:rsid w:val="00F64067"/>
    <w:rsid w:val="00F64078"/>
    <w:rsid w:val="00F641EE"/>
    <w:rsid w:val="00F6449E"/>
    <w:rsid w:val="00F644A7"/>
    <w:rsid w:val="00F645FD"/>
    <w:rsid w:val="00F64612"/>
    <w:rsid w:val="00F64AB4"/>
    <w:rsid w:val="00F64B44"/>
    <w:rsid w:val="00F64C7A"/>
    <w:rsid w:val="00F64CC4"/>
    <w:rsid w:val="00F64CD5"/>
    <w:rsid w:val="00F64D51"/>
    <w:rsid w:val="00F64F2E"/>
    <w:rsid w:val="00F64F60"/>
    <w:rsid w:val="00F65091"/>
    <w:rsid w:val="00F6538B"/>
    <w:rsid w:val="00F654E1"/>
    <w:rsid w:val="00F65537"/>
    <w:rsid w:val="00F65670"/>
    <w:rsid w:val="00F65870"/>
    <w:rsid w:val="00F659EC"/>
    <w:rsid w:val="00F65A51"/>
    <w:rsid w:val="00F65AF1"/>
    <w:rsid w:val="00F65DD5"/>
    <w:rsid w:val="00F65FAA"/>
    <w:rsid w:val="00F66149"/>
    <w:rsid w:val="00F662F9"/>
    <w:rsid w:val="00F665EC"/>
    <w:rsid w:val="00F66BF6"/>
    <w:rsid w:val="00F67112"/>
    <w:rsid w:val="00F675E7"/>
    <w:rsid w:val="00F67690"/>
    <w:rsid w:val="00F67BCE"/>
    <w:rsid w:val="00F67DF1"/>
    <w:rsid w:val="00F700D2"/>
    <w:rsid w:val="00F703EC"/>
    <w:rsid w:val="00F70447"/>
    <w:rsid w:val="00F7097F"/>
    <w:rsid w:val="00F70A24"/>
    <w:rsid w:val="00F70A3F"/>
    <w:rsid w:val="00F70C57"/>
    <w:rsid w:val="00F70CE7"/>
    <w:rsid w:val="00F71067"/>
    <w:rsid w:val="00F71190"/>
    <w:rsid w:val="00F713DA"/>
    <w:rsid w:val="00F7149B"/>
    <w:rsid w:val="00F714D4"/>
    <w:rsid w:val="00F71638"/>
    <w:rsid w:val="00F716D2"/>
    <w:rsid w:val="00F719AA"/>
    <w:rsid w:val="00F71B59"/>
    <w:rsid w:val="00F71C3F"/>
    <w:rsid w:val="00F721D9"/>
    <w:rsid w:val="00F724B0"/>
    <w:rsid w:val="00F724D6"/>
    <w:rsid w:val="00F728BF"/>
    <w:rsid w:val="00F72BE0"/>
    <w:rsid w:val="00F72DCE"/>
    <w:rsid w:val="00F72E86"/>
    <w:rsid w:val="00F72EC6"/>
    <w:rsid w:val="00F72FC9"/>
    <w:rsid w:val="00F732F8"/>
    <w:rsid w:val="00F73314"/>
    <w:rsid w:val="00F734A5"/>
    <w:rsid w:val="00F736CF"/>
    <w:rsid w:val="00F73878"/>
    <w:rsid w:val="00F744C5"/>
    <w:rsid w:val="00F744CA"/>
    <w:rsid w:val="00F74992"/>
    <w:rsid w:val="00F74B26"/>
    <w:rsid w:val="00F74CE2"/>
    <w:rsid w:val="00F7523C"/>
    <w:rsid w:val="00F758C4"/>
    <w:rsid w:val="00F75CE3"/>
    <w:rsid w:val="00F76044"/>
    <w:rsid w:val="00F76068"/>
    <w:rsid w:val="00F76308"/>
    <w:rsid w:val="00F76318"/>
    <w:rsid w:val="00F763D9"/>
    <w:rsid w:val="00F764B7"/>
    <w:rsid w:val="00F7662F"/>
    <w:rsid w:val="00F766A0"/>
    <w:rsid w:val="00F7684E"/>
    <w:rsid w:val="00F769BA"/>
    <w:rsid w:val="00F769EB"/>
    <w:rsid w:val="00F76C17"/>
    <w:rsid w:val="00F76C63"/>
    <w:rsid w:val="00F76E28"/>
    <w:rsid w:val="00F76EA2"/>
    <w:rsid w:val="00F77089"/>
    <w:rsid w:val="00F7744D"/>
    <w:rsid w:val="00F774E9"/>
    <w:rsid w:val="00F77525"/>
    <w:rsid w:val="00F775A6"/>
    <w:rsid w:val="00F7768D"/>
    <w:rsid w:val="00F77C5E"/>
    <w:rsid w:val="00F77C74"/>
    <w:rsid w:val="00F77D30"/>
    <w:rsid w:val="00F8061E"/>
    <w:rsid w:val="00F8079C"/>
    <w:rsid w:val="00F80B0B"/>
    <w:rsid w:val="00F80E0E"/>
    <w:rsid w:val="00F80E8A"/>
    <w:rsid w:val="00F80FC5"/>
    <w:rsid w:val="00F8157C"/>
    <w:rsid w:val="00F815B7"/>
    <w:rsid w:val="00F819A6"/>
    <w:rsid w:val="00F81B3A"/>
    <w:rsid w:val="00F81C7C"/>
    <w:rsid w:val="00F81D25"/>
    <w:rsid w:val="00F820D8"/>
    <w:rsid w:val="00F82119"/>
    <w:rsid w:val="00F82282"/>
    <w:rsid w:val="00F823F5"/>
    <w:rsid w:val="00F82414"/>
    <w:rsid w:val="00F82722"/>
    <w:rsid w:val="00F8279B"/>
    <w:rsid w:val="00F82C86"/>
    <w:rsid w:val="00F82CD2"/>
    <w:rsid w:val="00F82D0A"/>
    <w:rsid w:val="00F83F32"/>
    <w:rsid w:val="00F842BD"/>
    <w:rsid w:val="00F84581"/>
    <w:rsid w:val="00F849AD"/>
    <w:rsid w:val="00F84B6A"/>
    <w:rsid w:val="00F84E35"/>
    <w:rsid w:val="00F854A8"/>
    <w:rsid w:val="00F854B2"/>
    <w:rsid w:val="00F8565D"/>
    <w:rsid w:val="00F85A4D"/>
    <w:rsid w:val="00F85A66"/>
    <w:rsid w:val="00F85B51"/>
    <w:rsid w:val="00F85BA3"/>
    <w:rsid w:val="00F85D5A"/>
    <w:rsid w:val="00F85DF8"/>
    <w:rsid w:val="00F85E4A"/>
    <w:rsid w:val="00F862A5"/>
    <w:rsid w:val="00F8634A"/>
    <w:rsid w:val="00F86408"/>
    <w:rsid w:val="00F864B7"/>
    <w:rsid w:val="00F866D6"/>
    <w:rsid w:val="00F866ED"/>
    <w:rsid w:val="00F86AF3"/>
    <w:rsid w:val="00F86C3C"/>
    <w:rsid w:val="00F86E78"/>
    <w:rsid w:val="00F86EDA"/>
    <w:rsid w:val="00F87105"/>
    <w:rsid w:val="00F871EB"/>
    <w:rsid w:val="00F87392"/>
    <w:rsid w:val="00F87912"/>
    <w:rsid w:val="00F87C96"/>
    <w:rsid w:val="00F9004F"/>
    <w:rsid w:val="00F902F2"/>
    <w:rsid w:val="00F90471"/>
    <w:rsid w:val="00F90545"/>
    <w:rsid w:val="00F9084A"/>
    <w:rsid w:val="00F90871"/>
    <w:rsid w:val="00F90ACF"/>
    <w:rsid w:val="00F90E10"/>
    <w:rsid w:val="00F9102E"/>
    <w:rsid w:val="00F91277"/>
    <w:rsid w:val="00F91684"/>
    <w:rsid w:val="00F917B2"/>
    <w:rsid w:val="00F91EBE"/>
    <w:rsid w:val="00F92132"/>
    <w:rsid w:val="00F9226A"/>
    <w:rsid w:val="00F92746"/>
    <w:rsid w:val="00F92A77"/>
    <w:rsid w:val="00F92B6A"/>
    <w:rsid w:val="00F92C98"/>
    <w:rsid w:val="00F930DA"/>
    <w:rsid w:val="00F930E6"/>
    <w:rsid w:val="00F930F4"/>
    <w:rsid w:val="00F93204"/>
    <w:rsid w:val="00F93391"/>
    <w:rsid w:val="00F934F7"/>
    <w:rsid w:val="00F9359F"/>
    <w:rsid w:val="00F93715"/>
    <w:rsid w:val="00F93A7A"/>
    <w:rsid w:val="00F93B06"/>
    <w:rsid w:val="00F93D35"/>
    <w:rsid w:val="00F94343"/>
    <w:rsid w:val="00F943F6"/>
    <w:rsid w:val="00F9442D"/>
    <w:rsid w:val="00F94448"/>
    <w:rsid w:val="00F94788"/>
    <w:rsid w:val="00F94860"/>
    <w:rsid w:val="00F94E5D"/>
    <w:rsid w:val="00F9512C"/>
    <w:rsid w:val="00F9519F"/>
    <w:rsid w:val="00F958D0"/>
    <w:rsid w:val="00F958F3"/>
    <w:rsid w:val="00F95B29"/>
    <w:rsid w:val="00F965A2"/>
    <w:rsid w:val="00F96C23"/>
    <w:rsid w:val="00F96E7D"/>
    <w:rsid w:val="00F96F12"/>
    <w:rsid w:val="00F97411"/>
    <w:rsid w:val="00F979A7"/>
    <w:rsid w:val="00F97AE6"/>
    <w:rsid w:val="00F97DA1"/>
    <w:rsid w:val="00F97DD3"/>
    <w:rsid w:val="00F97FB1"/>
    <w:rsid w:val="00F97FC7"/>
    <w:rsid w:val="00FA005B"/>
    <w:rsid w:val="00FA0495"/>
    <w:rsid w:val="00FA0505"/>
    <w:rsid w:val="00FA0750"/>
    <w:rsid w:val="00FA075E"/>
    <w:rsid w:val="00FA095F"/>
    <w:rsid w:val="00FA0AE5"/>
    <w:rsid w:val="00FA0EC4"/>
    <w:rsid w:val="00FA0F39"/>
    <w:rsid w:val="00FA12E2"/>
    <w:rsid w:val="00FA14E8"/>
    <w:rsid w:val="00FA15E2"/>
    <w:rsid w:val="00FA164C"/>
    <w:rsid w:val="00FA17C9"/>
    <w:rsid w:val="00FA1A44"/>
    <w:rsid w:val="00FA1D46"/>
    <w:rsid w:val="00FA1E5C"/>
    <w:rsid w:val="00FA2290"/>
    <w:rsid w:val="00FA2FB8"/>
    <w:rsid w:val="00FA3075"/>
    <w:rsid w:val="00FA30EC"/>
    <w:rsid w:val="00FA340A"/>
    <w:rsid w:val="00FA34CF"/>
    <w:rsid w:val="00FA351D"/>
    <w:rsid w:val="00FA354F"/>
    <w:rsid w:val="00FA41A5"/>
    <w:rsid w:val="00FA43D6"/>
    <w:rsid w:val="00FA441F"/>
    <w:rsid w:val="00FA4650"/>
    <w:rsid w:val="00FA4715"/>
    <w:rsid w:val="00FA4858"/>
    <w:rsid w:val="00FA4CFC"/>
    <w:rsid w:val="00FA4D38"/>
    <w:rsid w:val="00FA4F93"/>
    <w:rsid w:val="00FA4FFA"/>
    <w:rsid w:val="00FA507A"/>
    <w:rsid w:val="00FA543D"/>
    <w:rsid w:val="00FA5490"/>
    <w:rsid w:val="00FA5827"/>
    <w:rsid w:val="00FA59C9"/>
    <w:rsid w:val="00FA5BF4"/>
    <w:rsid w:val="00FA5C1B"/>
    <w:rsid w:val="00FA5E0C"/>
    <w:rsid w:val="00FA5E82"/>
    <w:rsid w:val="00FA5FF3"/>
    <w:rsid w:val="00FA61CE"/>
    <w:rsid w:val="00FA61E2"/>
    <w:rsid w:val="00FA6208"/>
    <w:rsid w:val="00FA673C"/>
    <w:rsid w:val="00FA69D5"/>
    <w:rsid w:val="00FA69F0"/>
    <w:rsid w:val="00FA6AA6"/>
    <w:rsid w:val="00FA6EEB"/>
    <w:rsid w:val="00FA7202"/>
    <w:rsid w:val="00FA737C"/>
    <w:rsid w:val="00FA7441"/>
    <w:rsid w:val="00FA7671"/>
    <w:rsid w:val="00FA785F"/>
    <w:rsid w:val="00FA7E69"/>
    <w:rsid w:val="00FA7E89"/>
    <w:rsid w:val="00FB01F4"/>
    <w:rsid w:val="00FB0231"/>
    <w:rsid w:val="00FB066C"/>
    <w:rsid w:val="00FB0776"/>
    <w:rsid w:val="00FB09C8"/>
    <w:rsid w:val="00FB0A9A"/>
    <w:rsid w:val="00FB0F2F"/>
    <w:rsid w:val="00FB0F54"/>
    <w:rsid w:val="00FB11C4"/>
    <w:rsid w:val="00FB125F"/>
    <w:rsid w:val="00FB12E5"/>
    <w:rsid w:val="00FB1DBD"/>
    <w:rsid w:val="00FB21D9"/>
    <w:rsid w:val="00FB2345"/>
    <w:rsid w:val="00FB2423"/>
    <w:rsid w:val="00FB24B4"/>
    <w:rsid w:val="00FB24E8"/>
    <w:rsid w:val="00FB2595"/>
    <w:rsid w:val="00FB2646"/>
    <w:rsid w:val="00FB2943"/>
    <w:rsid w:val="00FB2ACD"/>
    <w:rsid w:val="00FB2DD9"/>
    <w:rsid w:val="00FB2F8F"/>
    <w:rsid w:val="00FB3736"/>
    <w:rsid w:val="00FB393E"/>
    <w:rsid w:val="00FB3E63"/>
    <w:rsid w:val="00FB439F"/>
    <w:rsid w:val="00FB4738"/>
    <w:rsid w:val="00FB4847"/>
    <w:rsid w:val="00FB487D"/>
    <w:rsid w:val="00FB4971"/>
    <w:rsid w:val="00FB4CAA"/>
    <w:rsid w:val="00FB508C"/>
    <w:rsid w:val="00FB5429"/>
    <w:rsid w:val="00FB57F2"/>
    <w:rsid w:val="00FB5ACF"/>
    <w:rsid w:val="00FB5C3B"/>
    <w:rsid w:val="00FB5D38"/>
    <w:rsid w:val="00FB5D9E"/>
    <w:rsid w:val="00FB5E9C"/>
    <w:rsid w:val="00FB624A"/>
    <w:rsid w:val="00FB6506"/>
    <w:rsid w:val="00FB6592"/>
    <w:rsid w:val="00FB6770"/>
    <w:rsid w:val="00FB6A52"/>
    <w:rsid w:val="00FB7166"/>
    <w:rsid w:val="00FB73FE"/>
    <w:rsid w:val="00FB754B"/>
    <w:rsid w:val="00FB7789"/>
    <w:rsid w:val="00FB77FD"/>
    <w:rsid w:val="00FB7AC8"/>
    <w:rsid w:val="00FB7C3B"/>
    <w:rsid w:val="00FB7C40"/>
    <w:rsid w:val="00FC0005"/>
    <w:rsid w:val="00FC0289"/>
    <w:rsid w:val="00FC03DD"/>
    <w:rsid w:val="00FC04EA"/>
    <w:rsid w:val="00FC0B6F"/>
    <w:rsid w:val="00FC0D52"/>
    <w:rsid w:val="00FC0D54"/>
    <w:rsid w:val="00FC0E62"/>
    <w:rsid w:val="00FC0E9F"/>
    <w:rsid w:val="00FC0EF6"/>
    <w:rsid w:val="00FC0F40"/>
    <w:rsid w:val="00FC1373"/>
    <w:rsid w:val="00FC137A"/>
    <w:rsid w:val="00FC16C3"/>
    <w:rsid w:val="00FC1730"/>
    <w:rsid w:val="00FC1A24"/>
    <w:rsid w:val="00FC1A52"/>
    <w:rsid w:val="00FC1AD2"/>
    <w:rsid w:val="00FC1BF5"/>
    <w:rsid w:val="00FC2506"/>
    <w:rsid w:val="00FC25D9"/>
    <w:rsid w:val="00FC267D"/>
    <w:rsid w:val="00FC2863"/>
    <w:rsid w:val="00FC2BCD"/>
    <w:rsid w:val="00FC2E0C"/>
    <w:rsid w:val="00FC2F0A"/>
    <w:rsid w:val="00FC30C1"/>
    <w:rsid w:val="00FC3134"/>
    <w:rsid w:val="00FC3350"/>
    <w:rsid w:val="00FC36FC"/>
    <w:rsid w:val="00FC393D"/>
    <w:rsid w:val="00FC3AAE"/>
    <w:rsid w:val="00FC4290"/>
    <w:rsid w:val="00FC4303"/>
    <w:rsid w:val="00FC436A"/>
    <w:rsid w:val="00FC46B8"/>
    <w:rsid w:val="00FC4723"/>
    <w:rsid w:val="00FC4AB1"/>
    <w:rsid w:val="00FC4BA5"/>
    <w:rsid w:val="00FC4BE3"/>
    <w:rsid w:val="00FC4EDB"/>
    <w:rsid w:val="00FC510A"/>
    <w:rsid w:val="00FC51DD"/>
    <w:rsid w:val="00FC5666"/>
    <w:rsid w:val="00FC568D"/>
    <w:rsid w:val="00FC56C8"/>
    <w:rsid w:val="00FC599C"/>
    <w:rsid w:val="00FC5A1E"/>
    <w:rsid w:val="00FC5A37"/>
    <w:rsid w:val="00FC5DC7"/>
    <w:rsid w:val="00FC5EFB"/>
    <w:rsid w:val="00FC61FF"/>
    <w:rsid w:val="00FC6245"/>
    <w:rsid w:val="00FC6635"/>
    <w:rsid w:val="00FC68FD"/>
    <w:rsid w:val="00FC690F"/>
    <w:rsid w:val="00FC69F5"/>
    <w:rsid w:val="00FC6F9A"/>
    <w:rsid w:val="00FC7716"/>
    <w:rsid w:val="00FC78A6"/>
    <w:rsid w:val="00FC78B4"/>
    <w:rsid w:val="00FC7B2C"/>
    <w:rsid w:val="00FC7CEC"/>
    <w:rsid w:val="00FD0121"/>
    <w:rsid w:val="00FD01F0"/>
    <w:rsid w:val="00FD0275"/>
    <w:rsid w:val="00FD032D"/>
    <w:rsid w:val="00FD0411"/>
    <w:rsid w:val="00FD041A"/>
    <w:rsid w:val="00FD0D83"/>
    <w:rsid w:val="00FD0DDA"/>
    <w:rsid w:val="00FD125E"/>
    <w:rsid w:val="00FD14E9"/>
    <w:rsid w:val="00FD1B9D"/>
    <w:rsid w:val="00FD1C0E"/>
    <w:rsid w:val="00FD1E45"/>
    <w:rsid w:val="00FD215D"/>
    <w:rsid w:val="00FD224B"/>
    <w:rsid w:val="00FD242F"/>
    <w:rsid w:val="00FD24E6"/>
    <w:rsid w:val="00FD2532"/>
    <w:rsid w:val="00FD2A9F"/>
    <w:rsid w:val="00FD308C"/>
    <w:rsid w:val="00FD31D0"/>
    <w:rsid w:val="00FD3AEB"/>
    <w:rsid w:val="00FD3C8D"/>
    <w:rsid w:val="00FD3D4C"/>
    <w:rsid w:val="00FD3DEE"/>
    <w:rsid w:val="00FD3FAA"/>
    <w:rsid w:val="00FD3FE3"/>
    <w:rsid w:val="00FD491E"/>
    <w:rsid w:val="00FD4A58"/>
    <w:rsid w:val="00FD4C26"/>
    <w:rsid w:val="00FD4D97"/>
    <w:rsid w:val="00FD4D98"/>
    <w:rsid w:val="00FD53FF"/>
    <w:rsid w:val="00FD5887"/>
    <w:rsid w:val="00FD5A04"/>
    <w:rsid w:val="00FD5AF4"/>
    <w:rsid w:val="00FD5D45"/>
    <w:rsid w:val="00FD5F7D"/>
    <w:rsid w:val="00FD6090"/>
    <w:rsid w:val="00FD642F"/>
    <w:rsid w:val="00FD64D1"/>
    <w:rsid w:val="00FD6617"/>
    <w:rsid w:val="00FD6637"/>
    <w:rsid w:val="00FD66BD"/>
    <w:rsid w:val="00FD6717"/>
    <w:rsid w:val="00FD6875"/>
    <w:rsid w:val="00FD6B5E"/>
    <w:rsid w:val="00FD6BEA"/>
    <w:rsid w:val="00FD6D3C"/>
    <w:rsid w:val="00FD6F6F"/>
    <w:rsid w:val="00FD7090"/>
    <w:rsid w:val="00FD72AA"/>
    <w:rsid w:val="00FD74F7"/>
    <w:rsid w:val="00FD7639"/>
    <w:rsid w:val="00FD7879"/>
    <w:rsid w:val="00FD7B38"/>
    <w:rsid w:val="00FD7C14"/>
    <w:rsid w:val="00FD7E81"/>
    <w:rsid w:val="00FD7EF7"/>
    <w:rsid w:val="00FE03B8"/>
    <w:rsid w:val="00FE057A"/>
    <w:rsid w:val="00FE058C"/>
    <w:rsid w:val="00FE09E0"/>
    <w:rsid w:val="00FE0A0E"/>
    <w:rsid w:val="00FE0B37"/>
    <w:rsid w:val="00FE0B9B"/>
    <w:rsid w:val="00FE0E81"/>
    <w:rsid w:val="00FE0F30"/>
    <w:rsid w:val="00FE0F3A"/>
    <w:rsid w:val="00FE0F71"/>
    <w:rsid w:val="00FE10C3"/>
    <w:rsid w:val="00FE135D"/>
    <w:rsid w:val="00FE1528"/>
    <w:rsid w:val="00FE15AA"/>
    <w:rsid w:val="00FE1735"/>
    <w:rsid w:val="00FE17F1"/>
    <w:rsid w:val="00FE1C18"/>
    <w:rsid w:val="00FE1E38"/>
    <w:rsid w:val="00FE1F7B"/>
    <w:rsid w:val="00FE2002"/>
    <w:rsid w:val="00FE2034"/>
    <w:rsid w:val="00FE218C"/>
    <w:rsid w:val="00FE23F1"/>
    <w:rsid w:val="00FE253A"/>
    <w:rsid w:val="00FE2638"/>
    <w:rsid w:val="00FE26F4"/>
    <w:rsid w:val="00FE2892"/>
    <w:rsid w:val="00FE2A26"/>
    <w:rsid w:val="00FE3314"/>
    <w:rsid w:val="00FE34D9"/>
    <w:rsid w:val="00FE3D55"/>
    <w:rsid w:val="00FE4171"/>
    <w:rsid w:val="00FE41BB"/>
    <w:rsid w:val="00FE41E9"/>
    <w:rsid w:val="00FE43A2"/>
    <w:rsid w:val="00FE44DB"/>
    <w:rsid w:val="00FE44FF"/>
    <w:rsid w:val="00FE46B7"/>
    <w:rsid w:val="00FE47C5"/>
    <w:rsid w:val="00FE4920"/>
    <w:rsid w:val="00FE49FA"/>
    <w:rsid w:val="00FE4A1B"/>
    <w:rsid w:val="00FE4AFA"/>
    <w:rsid w:val="00FE4DFB"/>
    <w:rsid w:val="00FE4FBD"/>
    <w:rsid w:val="00FE5038"/>
    <w:rsid w:val="00FE50F2"/>
    <w:rsid w:val="00FE5217"/>
    <w:rsid w:val="00FE53C1"/>
    <w:rsid w:val="00FE550E"/>
    <w:rsid w:val="00FE5959"/>
    <w:rsid w:val="00FE597B"/>
    <w:rsid w:val="00FE59EA"/>
    <w:rsid w:val="00FE5A1E"/>
    <w:rsid w:val="00FE5C41"/>
    <w:rsid w:val="00FE637A"/>
    <w:rsid w:val="00FE6CF0"/>
    <w:rsid w:val="00FE6E1C"/>
    <w:rsid w:val="00FE7253"/>
    <w:rsid w:val="00FE7ED4"/>
    <w:rsid w:val="00FF015B"/>
    <w:rsid w:val="00FF0223"/>
    <w:rsid w:val="00FF028A"/>
    <w:rsid w:val="00FF03F3"/>
    <w:rsid w:val="00FF07BA"/>
    <w:rsid w:val="00FF08CD"/>
    <w:rsid w:val="00FF11FE"/>
    <w:rsid w:val="00FF15E8"/>
    <w:rsid w:val="00FF198E"/>
    <w:rsid w:val="00FF1993"/>
    <w:rsid w:val="00FF19DC"/>
    <w:rsid w:val="00FF1A5F"/>
    <w:rsid w:val="00FF1DF9"/>
    <w:rsid w:val="00FF232B"/>
    <w:rsid w:val="00FF2441"/>
    <w:rsid w:val="00FF244E"/>
    <w:rsid w:val="00FF25A0"/>
    <w:rsid w:val="00FF25B8"/>
    <w:rsid w:val="00FF2CDA"/>
    <w:rsid w:val="00FF2EA5"/>
    <w:rsid w:val="00FF34D2"/>
    <w:rsid w:val="00FF35D2"/>
    <w:rsid w:val="00FF3ADD"/>
    <w:rsid w:val="00FF3B51"/>
    <w:rsid w:val="00FF3DF0"/>
    <w:rsid w:val="00FF3E99"/>
    <w:rsid w:val="00FF3F89"/>
    <w:rsid w:val="00FF3FE3"/>
    <w:rsid w:val="00FF43F1"/>
    <w:rsid w:val="00FF46CD"/>
    <w:rsid w:val="00FF4B69"/>
    <w:rsid w:val="00FF4BD1"/>
    <w:rsid w:val="00FF4BED"/>
    <w:rsid w:val="00FF4D25"/>
    <w:rsid w:val="00FF4FF5"/>
    <w:rsid w:val="00FF5221"/>
    <w:rsid w:val="00FF5536"/>
    <w:rsid w:val="00FF5567"/>
    <w:rsid w:val="00FF568E"/>
    <w:rsid w:val="00FF5A24"/>
    <w:rsid w:val="00FF5F4C"/>
    <w:rsid w:val="00FF667B"/>
    <w:rsid w:val="00FF6706"/>
    <w:rsid w:val="00FF676D"/>
    <w:rsid w:val="00FF67CE"/>
    <w:rsid w:val="00FF6BFC"/>
    <w:rsid w:val="00FF6C24"/>
    <w:rsid w:val="00FF6CEB"/>
    <w:rsid w:val="00FF700C"/>
    <w:rsid w:val="00FF7237"/>
    <w:rsid w:val="00FF7455"/>
    <w:rsid w:val="00FF7617"/>
    <w:rsid w:val="00FF7830"/>
    <w:rsid w:val="00FF7C97"/>
    <w:rsid w:val="00FF7CB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14F5D0D9-6FA3-48A8-9F31-10548EA113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Calibri" w:hAnsi="Times New Roman" w:cs="Times New Roman"/>
        <w:sz w:val="24"/>
        <w:szCs w:val="24"/>
        <w:lang w:val="en-US" w:eastAsia="en-US" w:bidi="ar-SA"/>
      </w:rPr>
    </w:rPrDefault>
    <w:pPrDefault>
      <w:pPr>
        <w:spacing w:before="120" w:after="120" w:line="360"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63C9C"/>
  </w:style>
  <w:style w:type="paragraph" w:styleId="Heading1">
    <w:name w:val="heading 1"/>
    <w:basedOn w:val="Normal"/>
    <w:next w:val="Normal"/>
    <w:link w:val="Heading1Char"/>
    <w:autoRedefine/>
    <w:uiPriority w:val="9"/>
    <w:qFormat/>
    <w:rsid w:val="00D12190"/>
    <w:pPr>
      <w:keepNext/>
      <w:keepLines/>
      <w:spacing w:before="240" w:after="240"/>
      <w:ind w:left="720"/>
      <w:outlineLvl w:val="0"/>
    </w:pPr>
    <w:rPr>
      <w:rFonts w:eastAsiaTheme="majorEastAsia"/>
      <w:b/>
      <w:szCs w:val="32"/>
    </w:rPr>
  </w:style>
  <w:style w:type="paragraph" w:styleId="Heading2">
    <w:name w:val="heading 2"/>
    <w:basedOn w:val="Normal"/>
    <w:next w:val="Normal"/>
    <w:link w:val="Heading2Char"/>
    <w:uiPriority w:val="9"/>
    <w:unhideWhenUsed/>
    <w:qFormat/>
    <w:rsid w:val="002D2156"/>
    <w:pPr>
      <w:keepNext/>
      <w:keepLines/>
      <w:numPr>
        <w:ilvl w:val="1"/>
        <w:numId w:val="9"/>
      </w:numPr>
      <w:outlineLvl w:val="1"/>
    </w:pPr>
    <w:rPr>
      <w:rFonts w:eastAsia="Times New Roman"/>
      <w:b/>
      <w:szCs w:val="26"/>
    </w:rPr>
  </w:style>
  <w:style w:type="paragraph" w:styleId="Heading3">
    <w:name w:val="heading 3"/>
    <w:basedOn w:val="Normal"/>
    <w:next w:val="Normal"/>
    <w:link w:val="Heading3Char"/>
    <w:uiPriority w:val="9"/>
    <w:unhideWhenUsed/>
    <w:qFormat/>
    <w:rsid w:val="00CA2BFE"/>
    <w:pPr>
      <w:keepNext/>
      <w:keepLines/>
      <w:numPr>
        <w:ilvl w:val="2"/>
        <w:numId w:val="9"/>
      </w:numPr>
      <w:outlineLvl w:val="2"/>
    </w:pPr>
    <w:rPr>
      <w:rFonts w:eastAsia="Times New Roman"/>
      <w:b/>
    </w:rPr>
  </w:style>
  <w:style w:type="paragraph" w:styleId="Heading4">
    <w:name w:val="heading 4"/>
    <w:basedOn w:val="Normal"/>
    <w:next w:val="Normal"/>
    <w:link w:val="Heading4Char"/>
    <w:uiPriority w:val="9"/>
    <w:unhideWhenUsed/>
    <w:qFormat/>
    <w:rsid w:val="00A77796"/>
    <w:pPr>
      <w:keepNext/>
      <w:keepLines/>
      <w:numPr>
        <w:ilvl w:val="3"/>
        <w:numId w:val="9"/>
      </w:numPr>
      <w:spacing w:before="40" w:after="0"/>
      <w:outlineLvl w:val="3"/>
    </w:pPr>
    <w:rPr>
      <w:rFonts w:eastAsia="Times New Roman"/>
      <w:b/>
      <w:iCs/>
    </w:rPr>
  </w:style>
  <w:style w:type="paragraph" w:styleId="Heading5">
    <w:name w:val="heading 5"/>
    <w:basedOn w:val="Normal"/>
    <w:next w:val="Normal"/>
    <w:link w:val="Heading5Char"/>
    <w:uiPriority w:val="9"/>
    <w:unhideWhenUsed/>
    <w:qFormat/>
    <w:rsid w:val="00334344"/>
    <w:pPr>
      <w:keepNext/>
      <w:keepLines/>
      <w:numPr>
        <w:ilvl w:val="4"/>
        <w:numId w:val="9"/>
      </w:numPr>
      <w:spacing w:before="40" w:after="0"/>
      <w:outlineLvl w:val="4"/>
    </w:pPr>
    <w:rPr>
      <w:rFonts w:ascii="Calibri Light" w:eastAsia="Times New Roman" w:hAnsi="Calibri Light"/>
      <w:color w:val="365F91"/>
    </w:rPr>
  </w:style>
  <w:style w:type="paragraph" w:styleId="Heading6">
    <w:name w:val="heading 6"/>
    <w:basedOn w:val="Normal"/>
    <w:next w:val="Normal"/>
    <w:link w:val="Heading6Char"/>
    <w:uiPriority w:val="9"/>
    <w:semiHidden/>
    <w:unhideWhenUsed/>
    <w:qFormat/>
    <w:rsid w:val="000E0795"/>
    <w:pPr>
      <w:keepNext/>
      <w:keepLines/>
      <w:numPr>
        <w:ilvl w:val="5"/>
        <w:numId w:val="9"/>
      </w:numPr>
      <w:spacing w:before="40" w:after="0"/>
      <w:outlineLvl w:val="5"/>
    </w:pPr>
    <w:rPr>
      <w:rFonts w:ascii="Calibri Light" w:eastAsia="Times New Roman" w:hAnsi="Calibri Light"/>
      <w:color w:val="243F60"/>
    </w:rPr>
  </w:style>
  <w:style w:type="paragraph" w:styleId="Heading7">
    <w:name w:val="heading 7"/>
    <w:basedOn w:val="Normal"/>
    <w:next w:val="Normal"/>
    <w:link w:val="Heading7Char"/>
    <w:uiPriority w:val="9"/>
    <w:semiHidden/>
    <w:unhideWhenUsed/>
    <w:qFormat/>
    <w:rsid w:val="000E0795"/>
    <w:pPr>
      <w:keepNext/>
      <w:keepLines/>
      <w:numPr>
        <w:ilvl w:val="6"/>
        <w:numId w:val="9"/>
      </w:numPr>
      <w:spacing w:before="40" w:after="0"/>
      <w:outlineLvl w:val="6"/>
    </w:pPr>
    <w:rPr>
      <w:rFonts w:ascii="Calibri Light" w:eastAsia="Times New Roman" w:hAnsi="Calibri Light"/>
      <w:i/>
      <w:iCs/>
      <w:color w:val="243F60"/>
    </w:rPr>
  </w:style>
  <w:style w:type="paragraph" w:styleId="Heading8">
    <w:name w:val="heading 8"/>
    <w:basedOn w:val="Normal"/>
    <w:next w:val="Normal"/>
    <w:link w:val="Heading8Char"/>
    <w:uiPriority w:val="9"/>
    <w:semiHidden/>
    <w:unhideWhenUsed/>
    <w:qFormat/>
    <w:rsid w:val="000E0795"/>
    <w:pPr>
      <w:keepNext/>
      <w:keepLines/>
      <w:numPr>
        <w:ilvl w:val="7"/>
        <w:numId w:val="9"/>
      </w:numPr>
      <w:spacing w:before="40" w:after="0"/>
      <w:outlineLvl w:val="7"/>
    </w:pPr>
    <w:rPr>
      <w:rFonts w:ascii="Calibri Light" w:eastAsia="Times New Roman" w:hAnsi="Calibri Light"/>
      <w:color w:val="272727"/>
      <w:sz w:val="21"/>
      <w:szCs w:val="21"/>
    </w:rPr>
  </w:style>
  <w:style w:type="paragraph" w:styleId="Heading9">
    <w:name w:val="heading 9"/>
    <w:basedOn w:val="Normal"/>
    <w:next w:val="Normal"/>
    <w:link w:val="Heading9Char"/>
    <w:uiPriority w:val="9"/>
    <w:semiHidden/>
    <w:unhideWhenUsed/>
    <w:qFormat/>
    <w:rsid w:val="000E0795"/>
    <w:pPr>
      <w:keepNext/>
      <w:keepLines/>
      <w:numPr>
        <w:ilvl w:val="8"/>
        <w:numId w:val="9"/>
      </w:numPr>
      <w:spacing w:before="40" w:after="0"/>
      <w:outlineLvl w:val="8"/>
    </w:pPr>
    <w:rPr>
      <w:rFonts w:ascii="Calibri Light" w:eastAsia="Times New Roman" w:hAnsi="Calibri Light"/>
      <w:i/>
      <w:iCs/>
      <w:color w:val="272727"/>
      <w:sz w:val="21"/>
      <w:szCs w:val="2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D12190"/>
    <w:rPr>
      <w:rFonts w:eastAsiaTheme="majorEastAsia"/>
      <w:b/>
      <w:szCs w:val="32"/>
    </w:rPr>
  </w:style>
  <w:style w:type="character" w:customStyle="1" w:styleId="Heading2Char">
    <w:name w:val="Heading 2 Char"/>
    <w:link w:val="Heading2"/>
    <w:uiPriority w:val="9"/>
    <w:rsid w:val="002D2156"/>
    <w:rPr>
      <w:rFonts w:eastAsia="Times New Roman"/>
      <w:b/>
      <w:szCs w:val="26"/>
    </w:rPr>
  </w:style>
  <w:style w:type="character" w:customStyle="1" w:styleId="Heading3Char">
    <w:name w:val="Heading 3 Char"/>
    <w:link w:val="Heading3"/>
    <w:uiPriority w:val="9"/>
    <w:rsid w:val="00CA2BFE"/>
    <w:rPr>
      <w:rFonts w:eastAsia="Times New Roman"/>
      <w:b/>
    </w:rPr>
  </w:style>
  <w:style w:type="character" w:customStyle="1" w:styleId="Heading4Char">
    <w:name w:val="Heading 4 Char"/>
    <w:link w:val="Heading4"/>
    <w:uiPriority w:val="9"/>
    <w:rsid w:val="00A77796"/>
    <w:rPr>
      <w:rFonts w:eastAsia="Times New Roman"/>
      <w:b/>
      <w:iCs/>
    </w:rPr>
  </w:style>
  <w:style w:type="character" w:customStyle="1" w:styleId="Heading5Char">
    <w:name w:val="Heading 5 Char"/>
    <w:link w:val="Heading5"/>
    <w:uiPriority w:val="9"/>
    <w:rsid w:val="00334344"/>
    <w:rPr>
      <w:rFonts w:ascii="Calibri Light" w:eastAsia="Times New Roman" w:hAnsi="Calibri Light"/>
      <w:color w:val="365F91"/>
    </w:rPr>
  </w:style>
  <w:style w:type="character" w:customStyle="1" w:styleId="Heading6Char">
    <w:name w:val="Heading 6 Char"/>
    <w:link w:val="Heading6"/>
    <w:uiPriority w:val="9"/>
    <w:semiHidden/>
    <w:rsid w:val="000E0795"/>
    <w:rPr>
      <w:rFonts w:ascii="Calibri Light" w:eastAsia="Times New Roman" w:hAnsi="Calibri Light"/>
      <w:color w:val="243F60"/>
    </w:rPr>
  </w:style>
  <w:style w:type="character" w:customStyle="1" w:styleId="Heading7Char">
    <w:name w:val="Heading 7 Char"/>
    <w:link w:val="Heading7"/>
    <w:uiPriority w:val="9"/>
    <w:semiHidden/>
    <w:rsid w:val="000E0795"/>
    <w:rPr>
      <w:rFonts w:ascii="Calibri Light" w:eastAsia="Times New Roman" w:hAnsi="Calibri Light"/>
      <w:i/>
      <w:iCs/>
      <w:color w:val="243F60"/>
    </w:rPr>
  </w:style>
  <w:style w:type="character" w:customStyle="1" w:styleId="Heading8Char">
    <w:name w:val="Heading 8 Char"/>
    <w:link w:val="Heading8"/>
    <w:uiPriority w:val="9"/>
    <w:semiHidden/>
    <w:rsid w:val="000E0795"/>
    <w:rPr>
      <w:rFonts w:ascii="Calibri Light" w:eastAsia="Times New Roman" w:hAnsi="Calibri Light"/>
      <w:color w:val="272727"/>
      <w:sz w:val="21"/>
      <w:szCs w:val="21"/>
    </w:rPr>
  </w:style>
  <w:style w:type="character" w:customStyle="1" w:styleId="Heading9Char">
    <w:name w:val="Heading 9 Char"/>
    <w:link w:val="Heading9"/>
    <w:uiPriority w:val="9"/>
    <w:semiHidden/>
    <w:rsid w:val="000E0795"/>
    <w:rPr>
      <w:rFonts w:ascii="Calibri Light" w:eastAsia="Times New Roman" w:hAnsi="Calibri Light"/>
      <w:i/>
      <w:iCs/>
      <w:color w:val="272727"/>
      <w:sz w:val="21"/>
      <w:szCs w:val="21"/>
    </w:rPr>
  </w:style>
  <w:style w:type="paragraph" w:customStyle="1" w:styleId="Default">
    <w:name w:val="Default"/>
    <w:rsid w:val="00491A0D"/>
    <w:pPr>
      <w:autoSpaceDE w:val="0"/>
      <w:autoSpaceDN w:val="0"/>
      <w:adjustRightInd w:val="0"/>
    </w:pPr>
    <w:rPr>
      <w:color w:val="000000"/>
    </w:rPr>
  </w:style>
  <w:style w:type="paragraph" w:styleId="Header">
    <w:name w:val="header"/>
    <w:basedOn w:val="Normal"/>
    <w:link w:val="HeaderChar"/>
    <w:uiPriority w:val="99"/>
    <w:unhideWhenUsed/>
    <w:rsid w:val="00491A0D"/>
    <w:pPr>
      <w:tabs>
        <w:tab w:val="center" w:pos="4680"/>
        <w:tab w:val="right" w:pos="9360"/>
      </w:tabs>
      <w:spacing w:after="0" w:line="240" w:lineRule="auto"/>
    </w:pPr>
  </w:style>
  <w:style w:type="character" w:customStyle="1" w:styleId="HeaderChar">
    <w:name w:val="Header Char"/>
    <w:basedOn w:val="DefaultParagraphFont"/>
    <w:link w:val="Header"/>
    <w:uiPriority w:val="99"/>
    <w:rsid w:val="00491A0D"/>
  </w:style>
  <w:style w:type="paragraph" w:styleId="Footer">
    <w:name w:val="footer"/>
    <w:basedOn w:val="Normal"/>
    <w:link w:val="FooterChar"/>
    <w:uiPriority w:val="99"/>
    <w:unhideWhenUsed/>
    <w:rsid w:val="00491A0D"/>
    <w:pPr>
      <w:tabs>
        <w:tab w:val="center" w:pos="4680"/>
        <w:tab w:val="right" w:pos="9360"/>
      </w:tabs>
      <w:spacing w:after="0" w:line="240" w:lineRule="auto"/>
    </w:pPr>
  </w:style>
  <w:style w:type="character" w:customStyle="1" w:styleId="FooterChar">
    <w:name w:val="Footer Char"/>
    <w:basedOn w:val="DefaultParagraphFont"/>
    <w:link w:val="Footer"/>
    <w:uiPriority w:val="99"/>
    <w:rsid w:val="00491A0D"/>
  </w:style>
  <w:style w:type="paragraph" w:styleId="ListParagraph">
    <w:name w:val="List Paragraph"/>
    <w:aliases w:val="Heading II"/>
    <w:basedOn w:val="Normal"/>
    <w:link w:val="ListParagraphChar"/>
    <w:uiPriority w:val="34"/>
    <w:qFormat/>
    <w:rsid w:val="007443D8"/>
    <w:pPr>
      <w:ind w:left="720"/>
      <w:contextualSpacing/>
    </w:pPr>
  </w:style>
  <w:style w:type="character" w:customStyle="1" w:styleId="ListParagraphChar">
    <w:name w:val="List Paragraph Char"/>
    <w:aliases w:val="Heading II Char"/>
    <w:link w:val="ListParagraph"/>
    <w:uiPriority w:val="34"/>
    <w:rsid w:val="00044EDA"/>
    <w:rPr>
      <w:rFonts w:ascii="Times New Roman" w:hAnsi="Times New Roman"/>
      <w:sz w:val="24"/>
    </w:rPr>
  </w:style>
  <w:style w:type="paragraph" w:styleId="NormalWeb">
    <w:name w:val="Normal (Web)"/>
    <w:basedOn w:val="Normal"/>
    <w:uiPriority w:val="99"/>
    <w:semiHidden/>
    <w:unhideWhenUsed/>
    <w:rsid w:val="00CC1AEB"/>
    <w:pPr>
      <w:spacing w:before="100" w:beforeAutospacing="1" w:after="100" w:afterAutospacing="1" w:line="240" w:lineRule="auto"/>
    </w:pPr>
    <w:rPr>
      <w:rFonts w:eastAsia="Times New Roman"/>
    </w:rPr>
  </w:style>
  <w:style w:type="character" w:styleId="Hyperlink">
    <w:name w:val="Hyperlink"/>
    <w:uiPriority w:val="99"/>
    <w:unhideWhenUsed/>
    <w:rsid w:val="00CC1AEB"/>
    <w:rPr>
      <w:color w:val="0000FF"/>
      <w:u w:val="single"/>
    </w:rPr>
  </w:style>
  <w:style w:type="character" w:customStyle="1" w:styleId="plainlinks">
    <w:name w:val="plainlinks"/>
    <w:basedOn w:val="DefaultParagraphFont"/>
    <w:rsid w:val="00CC1AEB"/>
  </w:style>
  <w:style w:type="character" w:customStyle="1" w:styleId="geo-dms">
    <w:name w:val="geo-dms"/>
    <w:basedOn w:val="DefaultParagraphFont"/>
    <w:rsid w:val="00CC1AEB"/>
  </w:style>
  <w:style w:type="character" w:customStyle="1" w:styleId="latitude">
    <w:name w:val="latitude"/>
    <w:basedOn w:val="DefaultParagraphFont"/>
    <w:rsid w:val="00CC1AEB"/>
  </w:style>
  <w:style w:type="character" w:customStyle="1" w:styleId="longitude">
    <w:name w:val="longitude"/>
    <w:basedOn w:val="DefaultParagraphFont"/>
    <w:rsid w:val="00CC1AEB"/>
  </w:style>
  <w:style w:type="character" w:customStyle="1" w:styleId="w8qarf">
    <w:name w:val="w8qarf"/>
    <w:basedOn w:val="DefaultParagraphFont"/>
    <w:rsid w:val="00354179"/>
  </w:style>
  <w:style w:type="character" w:customStyle="1" w:styleId="lrzxr">
    <w:name w:val="lrzxr"/>
    <w:basedOn w:val="DefaultParagraphFont"/>
    <w:rsid w:val="00354179"/>
  </w:style>
  <w:style w:type="character" w:customStyle="1" w:styleId="st">
    <w:name w:val="st"/>
    <w:basedOn w:val="DefaultParagraphFont"/>
    <w:rsid w:val="00354179"/>
  </w:style>
  <w:style w:type="character" w:styleId="Emphasis">
    <w:name w:val="Emphasis"/>
    <w:uiPriority w:val="20"/>
    <w:qFormat/>
    <w:rsid w:val="00354179"/>
    <w:rPr>
      <w:i/>
      <w:iCs/>
    </w:rPr>
  </w:style>
  <w:style w:type="paragraph" w:styleId="TOCHeading">
    <w:name w:val="TOC Heading"/>
    <w:basedOn w:val="Heading1"/>
    <w:next w:val="Normal"/>
    <w:uiPriority w:val="39"/>
    <w:unhideWhenUsed/>
    <w:qFormat/>
    <w:rsid w:val="00165A53"/>
    <w:pPr>
      <w:outlineLvl w:val="9"/>
    </w:pPr>
  </w:style>
  <w:style w:type="paragraph" w:styleId="TOC1">
    <w:name w:val="toc 1"/>
    <w:basedOn w:val="Normal"/>
    <w:next w:val="Normal"/>
    <w:autoRedefine/>
    <w:uiPriority w:val="39"/>
    <w:unhideWhenUsed/>
    <w:rsid w:val="00F430B6"/>
    <w:pPr>
      <w:tabs>
        <w:tab w:val="right" w:leader="dot" w:pos="9350"/>
      </w:tabs>
      <w:spacing w:after="100"/>
    </w:pPr>
  </w:style>
  <w:style w:type="paragraph" w:styleId="TOC2">
    <w:name w:val="toc 2"/>
    <w:basedOn w:val="Normal"/>
    <w:next w:val="Normal"/>
    <w:autoRedefine/>
    <w:uiPriority w:val="39"/>
    <w:unhideWhenUsed/>
    <w:rsid w:val="00165A53"/>
    <w:pPr>
      <w:spacing w:after="100"/>
      <w:ind w:left="220"/>
    </w:pPr>
  </w:style>
  <w:style w:type="paragraph" w:styleId="TOC3">
    <w:name w:val="toc 3"/>
    <w:basedOn w:val="Normal"/>
    <w:next w:val="Normal"/>
    <w:autoRedefine/>
    <w:uiPriority w:val="39"/>
    <w:unhideWhenUsed/>
    <w:rsid w:val="00165A53"/>
    <w:pPr>
      <w:spacing w:after="100"/>
      <w:ind w:left="440"/>
    </w:pPr>
  </w:style>
  <w:style w:type="paragraph" w:styleId="Bibliography">
    <w:name w:val="Bibliography"/>
    <w:basedOn w:val="Normal"/>
    <w:next w:val="Normal"/>
    <w:uiPriority w:val="37"/>
    <w:unhideWhenUsed/>
    <w:rsid w:val="00DA2A04"/>
  </w:style>
  <w:style w:type="paragraph" w:styleId="NoSpacing">
    <w:name w:val="No Spacing"/>
    <w:uiPriority w:val="1"/>
    <w:qFormat/>
    <w:rsid w:val="0039250B"/>
    <w:rPr>
      <w:szCs w:val="22"/>
    </w:rPr>
  </w:style>
  <w:style w:type="character" w:styleId="PlaceholderText">
    <w:name w:val="Placeholder Text"/>
    <w:uiPriority w:val="99"/>
    <w:semiHidden/>
    <w:rsid w:val="00BA1978"/>
    <w:rPr>
      <w:color w:val="808080"/>
    </w:rPr>
  </w:style>
  <w:style w:type="paragraph" w:styleId="Caption">
    <w:name w:val="caption"/>
    <w:basedOn w:val="Normal"/>
    <w:next w:val="Normal"/>
    <w:uiPriority w:val="35"/>
    <w:unhideWhenUsed/>
    <w:qFormat/>
    <w:rsid w:val="00F36740"/>
    <w:pPr>
      <w:spacing w:before="0" w:after="200" w:line="240" w:lineRule="auto"/>
    </w:pPr>
    <w:rPr>
      <w:i/>
      <w:iCs/>
      <w:color w:val="1F497D"/>
      <w:sz w:val="18"/>
      <w:szCs w:val="18"/>
    </w:rPr>
  </w:style>
  <w:style w:type="paragraph" w:styleId="TableofFigures">
    <w:name w:val="table of figures"/>
    <w:basedOn w:val="Normal"/>
    <w:next w:val="Normal"/>
    <w:uiPriority w:val="99"/>
    <w:unhideWhenUsed/>
    <w:rsid w:val="005800DB"/>
    <w:pPr>
      <w:spacing w:after="0"/>
    </w:pPr>
  </w:style>
  <w:style w:type="table" w:styleId="TableGrid">
    <w:name w:val="Table Grid"/>
    <w:basedOn w:val="TableNormal"/>
    <w:uiPriority w:val="39"/>
    <w:rsid w:val="00604D27"/>
    <w:rPr>
      <w:rFonts w:eastAsia="Times New Roman"/>
      <w:lang w:val="en-GB"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heistable">
    <w:name w:val="Theis table"/>
    <w:basedOn w:val="Normal"/>
    <w:qFormat/>
    <w:rsid w:val="00542D82"/>
    <w:pPr>
      <w:spacing w:before="0" w:after="0" w:line="240" w:lineRule="auto"/>
    </w:pPr>
  </w:style>
  <w:style w:type="paragraph" w:styleId="BalloonText">
    <w:name w:val="Balloon Text"/>
    <w:basedOn w:val="Normal"/>
    <w:link w:val="BalloonTextChar"/>
    <w:uiPriority w:val="99"/>
    <w:semiHidden/>
    <w:unhideWhenUsed/>
    <w:rsid w:val="001B3C81"/>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1B3C81"/>
    <w:rPr>
      <w:rFonts w:ascii="Segoe UI" w:hAnsi="Segoe UI" w:cs="Segoe UI"/>
      <w:sz w:val="18"/>
      <w:szCs w:val="18"/>
    </w:rPr>
  </w:style>
  <w:style w:type="character" w:customStyle="1" w:styleId="e24kjd">
    <w:name w:val="e24kjd"/>
    <w:basedOn w:val="DefaultParagraphFont"/>
    <w:rsid w:val="004C5F53"/>
  </w:style>
  <w:style w:type="character" w:customStyle="1" w:styleId="hvr">
    <w:name w:val="hvr"/>
    <w:basedOn w:val="DefaultParagraphFont"/>
    <w:rsid w:val="006D3500"/>
  </w:style>
  <w:style w:type="character" w:customStyle="1" w:styleId="fontstyle01">
    <w:name w:val="fontstyle01"/>
    <w:rsid w:val="009C034E"/>
    <w:rPr>
      <w:rFonts w:ascii="Times New Roman" w:hAnsi="Times New Roman" w:cs="Times New Roman" w:hint="default"/>
      <w:b w:val="0"/>
      <w:bCs w:val="0"/>
      <w:i w:val="0"/>
      <w:iCs w:val="0"/>
      <w:color w:val="000000"/>
      <w:sz w:val="24"/>
      <w:szCs w:val="24"/>
    </w:rPr>
  </w:style>
  <w:style w:type="character" w:customStyle="1" w:styleId="fontstyle21">
    <w:name w:val="fontstyle21"/>
    <w:rsid w:val="009671FE"/>
    <w:rPr>
      <w:rFonts w:ascii="TimesNewRomanPS-ItalicMT" w:hAnsi="TimesNewRomanPS-ItalicMT" w:hint="default"/>
      <w:b w:val="0"/>
      <w:bCs w:val="0"/>
      <w:i/>
      <w:iCs/>
      <w:color w:val="000000"/>
      <w:sz w:val="24"/>
      <w:szCs w:val="24"/>
    </w:rPr>
  </w:style>
  <w:style w:type="character" w:customStyle="1" w:styleId="fontstyle11">
    <w:name w:val="fontstyle11"/>
    <w:rsid w:val="00715CDE"/>
    <w:rPr>
      <w:rFonts w:ascii="Arial-ItalicMT" w:hAnsi="Arial-ItalicMT" w:hint="default"/>
      <w:b w:val="0"/>
      <w:bCs w:val="0"/>
      <w:i/>
      <w:iCs/>
      <w:color w:val="211F24"/>
      <w:sz w:val="20"/>
      <w:szCs w:val="20"/>
    </w:rPr>
  </w:style>
  <w:style w:type="table" w:customStyle="1" w:styleId="PlainTable51">
    <w:name w:val="Plain Table 51"/>
    <w:basedOn w:val="TableNormal"/>
    <w:uiPriority w:val="45"/>
    <w:rsid w:val="009D7DAF"/>
    <w:tblPr>
      <w:tblStyleRowBandSize w:val="1"/>
      <w:tblStyleColBandSize w:val="1"/>
    </w:tblPr>
    <w:tblStylePr w:type="firstRow">
      <w:rPr>
        <w:rFonts w:ascii="Calibri Light" w:eastAsia="Times New Roman" w:hAnsi="Calibri Light" w:cs="Times New Roman"/>
        <w:i/>
        <w:iCs/>
        <w:sz w:val="26"/>
      </w:rPr>
      <w:tblPr/>
      <w:tcPr>
        <w:tcBorders>
          <w:bottom w:val="single" w:sz="4" w:space="0" w:color="7F7F7F"/>
        </w:tcBorders>
        <w:shd w:val="clear" w:color="auto" w:fill="FFFFFF"/>
      </w:tcPr>
    </w:tblStylePr>
    <w:tblStylePr w:type="lastRow">
      <w:rPr>
        <w:rFonts w:ascii="Calibri Light" w:eastAsia="Times New Roman" w:hAnsi="Calibri Light" w:cs="Times New Roman"/>
        <w:i/>
        <w:iCs/>
        <w:sz w:val="26"/>
      </w:rPr>
      <w:tblPr/>
      <w:tcPr>
        <w:tcBorders>
          <w:top w:val="single" w:sz="4" w:space="0" w:color="7F7F7F"/>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7F7F7F"/>
        </w:tcBorders>
        <w:shd w:val="clear" w:color="auto" w:fill="FFFFFF"/>
      </w:tcPr>
    </w:tblStylePr>
    <w:tblStylePr w:type="lastCol">
      <w:rPr>
        <w:rFonts w:ascii="Calibri Light" w:eastAsia="Times New Roman" w:hAnsi="Calibri Light"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PlainTable21">
    <w:name w:val="Plain Table 21"/>
    <w:basedOn w:val="TableNormal"/>
    <w:uiPriority w:val="42"/>
    <w:rsid w:val="000F6A58"/>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31">
    <w:name w:val="Plain Table 31"/>
    <w:basedOn w:val="TableNormal"/>
    <w:uiPriority w:val="43"/>
    <w:rsid w:val="000F6A58"/>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GridTable1Light1">
    <w:name w:val="Grid Table 1 Light1"/>
    <w:basedOn w:val="TableNormal"/>
    <w:uiPriority w:val="46"/>
    <w:rsid w:val="000F6A58"/>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character" w:customStyle="1" w:styleId="UnresolvedMention">
    <w:name w:val="Unresolved Mention"/>
    <w:uiPriority w:val="99"/>
    <w:semiHidden/>
    <w:unhideWhenUsed/>
    <w:rsid w:val="004D2947"/>
    <w:rPr>
      <w:color w:val="605E5C"/>
      <w:shd w:val="clear" w:color="auto" w:fill="E1DFDD"/>
    </w:rPr>
  </w:style>
  <w:style w:type="table" w:customStyle="1" w:styleId="GridTable21">
    <w:name w:val="Grid Table 21"/>
    <w:basedOn w:val="TableNormal"/>
    <w:uiPriority w:val="47"/>
    <w:rsid w:val="006B1C43"/>
    <w:tblPr>
      <w:tblStyleRowBandSize w:val="1"/>
      <w:tblStyleColBandSize w:val="1"/>
      <w:tblBorders>
        <w:top w:val="single" w:sz="2" w:space="0" w:color="666666"/>
        <w:bottom w:val="single" w:sz="2" w:space="0" w:color="666666"/>
        <w:insideH w:val="single" w:sz="2" w:space="0" w:color="666666"/>
        <w:insideV w:val="single" w:sz="2" w:space="0" w:color="666666"/>
      </w:tblBorders>
    </w:tblPr>
    <w:tblStylePr w:type="firstRow">
      <w:rPr>
        <w:b/>
        <w:bCs/>
      </w:rPr>
      <w:tblPr/>
      <w:tcPr>
        <w:tcBorders>
          <w:top w:val="nil"/>
          <w:bottom w:val="single" w:sz="12" w:space="0" w:color="666666"/>
          <w:insideH w:val="nil"/>
          <w:insideV w:val="nil"/>
        </w:tcBorders>
        <w:shd w:val="clear" w:color="auto" w:fill="FFFFFF"/>
      </w:tcPr>
    </w:tblStylePr>
    <w:tblStylePr w:type="lastRow">
      <w:rPr>
        <w:b/>
        <w:bCs/>
      </w:rPr>
      <w:tblPr/>
      <w:tcPr>
        <w:tcBorders>
          <w:top w:val="double" w:sz="2" w:space="0" w:color="666666"/>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PlainTable41">
    <w:name w:val="Plain Table 41"/>
    <w:basedOn w:val="TableNormal"/>
    <w:uiPriority w:val="44"/>
    <w:rsid w:val="003F1089"/>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styleId="FootnoteText">
    <w:name w:val="footnote text"/>
    <w:basedOn w:val="Normal"/>
    <w:link w:val="FootnoteTextChar"/>
    <w:uiPriority w:val="99"/>
    <w:semiHidden/>
    <w:unhideWhenUsed/>
    <w:rsid w:val="00650A04"/>
    <w:pPr>
      <w:spacing w:before="0" w:after="0" w:line="240" w:lineRule="auto"/>
    </w:pPr>
    <w:rPr>
      <w:sz w:val="20"/>
      <w:szCs w:val="20"/>
    </w:rPr>
  </w:style>
  <w:style w:type="character" w:customStyle="1" w:styleId="FootnoteTextChar">
    <w:name w:val="Footnote Text Char"/>
    <w:link w:val="FootnoteText"/>
    <w:uiPriority w:val="99"/>
    <w:semiHidden/>
    <w:rsid w:val="00650A04"/>
    <w:rPr>
      <w:rFonts w:ascii="Times New Roman" w:hAnsi="Times New Roman"/>
      <w:sz w:val="20"/>
      <w:szCs w:val="20"/>
    </w:rPr>
  </w:style>
  <w:style w:type="character" w:styleId="FootnoteReference">
    <w:name w:val="footnote reference"/>
    <w:uiPriority w:val="99"/>
    <w:semiHidden/>
    <w:unhideWhenUsed/>
    <w:rsid w:val="00650A04"/>
    <w:rPr>
      <w:vertAlign w:val="superscript"/>
    </w:rPr>
  </w:style>
  <w:style w:type="table" w:customStyle="1" w:styleId="TableGrid1">
    <w:name w:val="Table Grid1"/>
    <w:basedOn w:val="TableNormal"/>
    <w:next w:val="TableGrid"/>
    <w:uiPriority w:val="39"/>
    <w:rsid w:val="00C87F42"/>
    <w:rPr>
      <w:rFonts w:asciiTheme="minorHAnsi" w:eastAsiaTheme="minorEastAsia" w:hAnsiTheme="minorHAnsi" w:cstheme="minorBidi"/>
      <w:sz w:val="22"/>
      <w:szCs w:val="22"/>
      <w:lang w:val="en-GB" w:eastAsia="en-GB"/>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xl65">
    <w:name w:val="xl65"/>
    <w:basedOn w:val="Normal"/>
    <w:rsid w:val="005B3AA0"/>
    <w:pPr>
      <w:spacing w:before="100" w:beforeAutospacing="1" w:after="100" w:afterAutospacing="1" w:line="240" w:lineRule="auto"/>
      <w:jc w:val="left"/>
    </w:pPr>
    <w:rPr>
      <w:rFonts w:eastAsia="Times New Roman"/>
      <w:color w:val="FF0000"/>
    </w:rPr>
  </w:style>
  <w:style w:type="paragraph" w:customStyle="1" w:styleId="xl66">
    <w:name w:val="xl66"/>
    <w:basedOn w:val="Normal"/>
    <w:rsid w:val="005B3AA0"/>
    <w:pPr>
      <w:spacing w:before="100" w:beforeAutospacing="1" w:after="100" w:afterAutospacing="1" w:line="240" w:lineRule="auto"/>
      <w:jc w:val="left"/>
    </w:pPr>
    <w:rPr>
      <w:rFonts w:eastAsia="Times New Roman"/>
    </w:rPr>
  </w:style>
  <w:style w:type="character" w:styleId="CommentReference">
    <w:name w:val="annotation reference"/>
    <w:basedOn w:val="DefaultParagraphFont"/>
    <w:uiPriority w:val="99"/>
    <w:semiHidden/>
    <w:unhideWhenUsed/>
    <w:rsid w:val="00B12A99"/>
    <w:rPr>
      <w:sz w:val="16"/>
      <w:szCs w:val="16"/>
    </w:rPr>
  </w:style>
  <w:style w:type="paragraph" w:styleId="CommentText">
    <w:name w:val="annotation text"/>
    <w:basedOn w:val="Normal"/>
    <w:link w:val="CommentTextChar"/>
    <w:uiPriority w:val="99"/>
    <w:semiHidden/>
    <w:unhideWhenUsed/>
    <w:rsid w:val="00B12A99"/>
    <w:pPr>
      <w:spacing w:line="240" w:lineRule="auto"/>
    </w:pPr>
    <w:rPr>
      <w:sz w:val="20"/>
      <w:szCs w:val="20"/>
    </w:rPr>
  </w:style>
  <w:style w:type="character" w:customStyle="1" w:styleId="CommentTextChar">
    <w:name w:val="Comment Text Char"/>
    <w:basedOn w:val="DefaultParagraphFont"/>
    <w:link w:val="CommentText"/>
    <w:uiPriority w:val="99"/>
    <w:semiHidden/>
    <w:rsid w:val="00B12A99"/>
    <w:rPr>
      <w:rFonts w:ascii="Times New Roman" w:hAnsi="Times New Roman"/>
    </w:rPr>
  </w:style>
  <w:style w:type="paragraph" w:styleId="CommentSubject">
    <w:name w:val="annotation subject"/>
    <w:basedOn w:val="CommentText"/>
    <w:next w:val="CommentText"/>
    <w:link w:val="CommentSubjectChar"/>
    <w:uiPriority w:val="99"/>
    <w:semiHidden/>
    <w:unhideWhenUsed/>
    <w:rsid w:val="00B12A99"/>
    <w:rPr>
      <w:b/>
      <w:bCs/>
    </w:rPr>
  </w:style>
  <w:style w:type="character" w:customStyle="1" w:styleId="CommentSubjectChar">
    <w:name w:val="Comment Subject Char"/>
    <w:basedOn w:val="CommentTextChar"/>
    <w:link w:val="CommentSubject"/>
    <w:uiPriority w:val="99"/>
    <w:semiHidden/>
    <w:rsid w:val="00B12A99"/>
    <w:rPr>
      <w:rFonts w:ascii="Times New Roman" w:hAnsi="Times New Roman"/>
      <w:b/>
      <w:bCs/>
    </w:rPr>
  </w:style>
  <w:style w:type="character" w:styleId="FollowedHyperlink">
    <w:name w:val="FollowedHyperlink"/>
    <w:basedOn w:val="DefaultParagraphFont"/>
    <w:uiPriority w:val="99"/>
    <w:semiHidden/>
    <w:unhideWhenUsed/>
    <w:rsid w:val="007835C9"/>
    <w:rPr>
      <w:color w:val="800080"/>
      <w:u w:val="single"/>
    </w:rPr>
  </w:style>
  <w:style w:type="table" w:customStyle="1" w:styleId="TableGridLight1">
    <w:name w:val="Table Grid Light1"/>
    <w:basedOn w:val="TableNormal"/>
    <w:uiPriority w:val="40"/>
    <w:rsid w:val="007835C9"/>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xl67">
    <w:name w:val="xl67"/>
    <w:basedOn w:val="Normal"/>
    <w:rsid w:val="006B5FAE"/>
    <w:pPr>
      <w:shd w:val="clear" w:color="000000" w:fill="EBF1DE"/>
      <w:spacing w:before="100" w:beforeAutospacing="1" w:after="100" w:afterAutospacing="1" w:line="240" w:lineRule="auto"/>
      <w:jc w:val="left"/>
    </w:pPr>
    <w:rPr>
      <w:rFonts w:eastAsia="Times New Roman"/>
    </w:rPr>
  </w:style>
  <w:style w:type="character" w:customStyle="1" w:styleId="mceitemhidden">
    <w:name w:val="mceitemhidden"/>
    <w:basedOn w:val="DefaultParagraphFont"/>
    <w:rsid w:val="00B176FD"/>
  </w:style>
  <w:style w:type="character" w:customStyle="1" w:styleId="hiddensuggestion">
    <w:name w:val="hiddensuggestion"/>
    <w:basedOn w:val="DefaultParagraphFont"/>
    <w:rsid w:val="00B176FD"/>
  </w:style>
  <w:style w:type="character" w:customStyle="1" w:styleId="hiddenspellerror">
    <w:name w:val="hiddenspellerror"/>
    <w:basedOn w:val="DefaultParagraphFont"/>
    <w:rsid w:val="00B176FD"/>
  </w:style>
  <w:style w:type="character" w:customStyle="1" w:styleId="hiddengrammarerror">
    <w:name w:val="hiddengrammarerror"/>
    <w:basedOn w:val="DefaultParagraphFont"/>
    <w:rsid w:val="00B176F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50195">
      <w:bodyDiv w:val="1"/>
      <w:marLeft w:val="0"/>
      <w:marRight w:val="0"/>
      <w:marTop w:val="0"/>
      <w:marBottom w:val="0"/>
      <w:divBdr>
        <w:top w:val="none" w:sz="0" w:space="0" w:color="auto"/>
        <w:left w:val="none" w:sz="0" w:space="0" w:color="auto"/>
        <w:bottom w:val="none" w:sz="0" w:space="0" w:color="auto"/>
        <w:right w:val="none" w:sz="0" w:space="0" w:color="auto"/>
      </w:divBdr>
    </w:div>
    <w:div w:id="1396417">
      <w:bodyDiv w:val="1"/>
      <w:marLeft w:val="0"/>
      <w:marRight w:val="0"/>
      <w:marTop w:val="0"/>
      <w:marBottom w:val="0"/>
      <w:divBdr>
        <w:top w:val="none" w:sz="0" w:space="0" w:color="auto"/>
        <w:left w:val="none" w:sz="0" w:space="0" w:color="auto"/>
        <w:bottom w:val="none" w:sz="0" w:space="0" w:color="auto"/>
        <w:right w:val="none" w:sz="0" w:space="0" w:color="auto"/>
      </w:divBdr>
    </w:div>
    <w:div w:id="4018740">
      <w:bodyDiv w:val="1"/>
      <w:marLeft w:val="0"/>
      <w:marRight w:val="0"/>
      <w:marTop w:val="0"/>
      <w:marBottom w:val="0"/>
      <w:divBdr>
        <w:top w:val="none" w:sz="0" w:space="0" w:color="auto"/>
        <w:left w:val="none" w:sz="0" w:space="0" w:color="auto"/>
        <w:bottom w:val="none" w:sz="0" w:space="0" w:color="auto"/>
        <w:right w:val="none" w:sz="0" w:space="0" w:color="auto"/>
      </w:divBdr>
    </w:div>
    <w:div w:id="5596456">
      <w:bodyDiv w:val="1"/>
      <w:marLeft w:val="0"/>
      <w:marRight w:val="0"/>
      <w:marTop w:val="0"/>
      <w:marBottom w:val="0"/>
      <w:divBdr>
        <w:top w:val="none" w:sz="0" w:space="0" w:color="auto"/>
        <w:left w:val="none" w:sz="0" w:space="0" w:color="auto"/>
        <w:bottom w:val="none" w:sz="0" w:space="0" w:color="auto"/>
        <w:right w:val="none" w:sz="0" w:space="0" w:color="auto"/>
      </w:divBdr>
    </w:div>
    <w:div w:id="6638188">
      <w:bodyDiv w:val="1"/>
      <w:marLeft w:val="0"/>
      <w:marRight w:val="0"/>
      <w:marTop w:val="0"/>
      <w:marBottom w:val="0"/>
      <w:divBdr>
        <w:top w:val="none" w:sz="0" w:space="0" w:color="auto"/>
        <w:left w:val="none" w:sz="0" w:space="0" w:color="auto"/>
        <w:bottom w:val="none" w:sz="0" w:space="0" w:color="auto"/>
        <w:right w:val="none" w:sz="0" w:space="0" w:color="auto"/>
      </w:divBdr>
    </w:div>
    <w:div w:id="6717123">
      <w:bodyDiv w:val="1"/>
      <w:marLeft w:val="0"/>
      <w:marRight w:val="0"/>
      <w:marTop w:val="0"/>
      <w:marBottom w:val="0"/>
      <w:divBdr>
        <w:top w:val="none" w:sz="0" w:space="0" w:color="auto"/>
        <w:left w:val="none" w:sz="0" w:space="0" w:color="auto"/>
        <w:bottom w:val="none" w:sz="0" w:space="0" w:color="auto"/>
        <w:right w:val="none" w:sz="0" w:space="0" w:color="auto"/>
      </w:divBdr>
    </w:div>
    <w:div w:id="7568360">
      <w:bodyDiv w:val="1"/>
      <w:marLeft w:val="0"/>
      <w:marRight w:val="0"/>
      <w:marTop w:val="0"/>
      <w:marBottom w:val="0"/>
      <w:divBdr>
        <w:top w:val="none" w:sz="0" w:space="0" w:color="auto"/>
        <w:left w:val="none" w:sz="0" w:space="0" w:color="auto"/>
        <w:bottom w:val="none" w:sz="0" w:space="0" w:color="auto"/>
        <w:right w:val="none" w:sz="0" w:space="0" w:color="auto"/>
      </w:divBdr>
    </w:div>
    <w:div w:id="8721734">
      <w:bodyDiv w:val="1"/>
      <w:marLeft w:val="0"/>
      <w:marRight w:val="0"/>
      <w:marTop w:val="0"/>
      <w:marBottom w:val="0"/>
      <w:divBdr>
        <w:top w:val="none" w:sz="0" w:space="0" w:color="auto"/>
        <w:left w:val="none" w:sz="0" w:space="0" w:color="auto"/>
        <w:bottom w:val="none" w:sz="0" w:space="0" w:color="auto"/>
        <w:right w:val="none" w:sz="0" w:space="0" w:color="auto"/>
      </w:divBdr>
    </w:div>
    <w:div w:id="10840852">
      <w:bodyDiv w:val="1"/>
      <w:marLeft w:val="0"/>
      <w:marRight w:val="0"/>
      <w:marTop w:val="0"/>
      <w:marBottom w:val="0"/>
      <w:divBdr>
        <w:top w:val="none" w:sz="0" w:space="0" w:color="auto"/>
        <w:left w:val="none" w:sz="0" w:space="0" w:color="auto"/>
        <w:bottom w:val="none" w:sz="0" w:space="0" w:color="auto"/>
        <w:right w:val="none" w:sz="0" w:space="0" w:color="auto"/>
      </w:divBdr>
    </w:div>
    <w:div w:id="11301190">
      <w:bodyDiv w:val="1"/>
      <w:marLeft w:val="0"/>
      <w:marRight w:val="0"/>
      <w:marTop w:val="0"/>
      <w:marBottom w:val="0"/>
      <w:divBdr>
        <w:top w:val="none" w:sz="0" w:space="0" w:color="auto"/>
        <w:left w:val="none" w:sz="0" w:space="0" w:color="auto"/>
        <w:bottom w:val="none" w:sz="0" w:space="0" w:color="auto"/>
        <w:right w:val="none" w:sz="0" w:space="0" w:color="auto"/>
      </w:divBdr>
    </w:div>
    <w:div w:id="11499404">
      <w:bodyDiv w:val="1"/>
      <w:marLeft w:val="0"/>
      <w:marRight w:val="0"/>
      <w:marTop w:val="0"/>
      <w:marBottom w:val="0"/>
      <w:divBdr>
        <w:top w:val="none" w:sz="0" w:space="0" w:color="auto"/>
        <w:left w:val="none" w:sz="0" w:space="0" w:color="auto"/>
        <w:bottom w:val="none" w:sz="0" w:space="0" w:color="auto"/>
        <w:right w:val="none" w:sz="0" w:space="0" w:color="auto"/>
      </w:divBdr>
    </w:div>
    <w:div w:id="11617468">
      <w:bodyDiv w:val="1"/>
      <w:marLeft w:val="0"/>
      <w:marRight w:val="0"/>
      <w:marTop w:val="0"/>
      <w:marBottom w:val="0"/>
      <w:divBdr>
        <w:top w:val="none" w:sz="0" w:space="0" w:color="auto"/>
        <w:left w:val="none" w:sz="0" w:space="0" w:color="auto"/>
        <w:bottom w:val="none" w:sz="0" w:space="0" w:color="auto"/>
        <w:right w:val="none" w:sz="0" w:space="0" w:color="auto"/>
      </w:divBdr>
    </w:div>
    <w:div w:id="11735384">
      <w:bodyDiv w:val="1"/>
      <w:marLeft w:val="0"/>
      <w:marRight w:val="0"/>
      <w:marTop w:val="0"/>
      <w:marBottom w:val="0"/>
      <w:divBdr>
        <w:top w:val="none" w:sz="0" w:space="0" w:color="auto"/>
        <w:left w:val="none" w:sz="0" w:space="0" w:color="auto"/>
        <w:bottom w:val="none" w:sz="0" w:space="0" w:color="auto"/>
        <w:right w:val="none" w:sz="0" w:space="0" w:color="auto"/>
      </w:divBdr>
    </w:div>
    <w:div w:id="11879540">
      <w:bodyDiv w:val="1"/>
      <w:marLeft w:val="0"/>
      <w:marRight w:val="0"/>
      <w:marTop w:val="0"/>
      <w:marBottom w:val="0"/>
      <w:divBdr>
        <w:top w:val="none" w:sz="0" w:space="0" w:color="auto"/>
        <w:left w:val="none" w:sz="0" w:space="0" w:color="auto"/>
        <w:bottom w:val="none" w:sz="0" w:space="0" w:color="auto"/>
        <w:right w:val="none" w:sz="0" w:space="0" w:color="auto"/>
      </w:divBdr>
    </w:div>
    <w:div w:id="11882920">
      <w:bodyDiv w:val="1"/>
      <w:marLeft w:val="0"/>
      <w:marRight w:val="0"/>
      <w:marTop w:val="0"/>
      <w:marBottom w:val="0"/>
      <w:divBdr>
        <w:top w:val="none" w:sz="0" w:space="0" w:color="auto"/>
        <w:left w:val="none" w:sz="0" w:space="0" w:color="auto"/>
        <w:bottom w:val="none" w:sz="0" w:space="0" w:color="auto"/>
        <w:right w:val="none" w:sz="0" w:space="0" w:color="auto"/>
      </w:divBdr>
    </w:div>
    <w:div w:id="12414904">
      <w:bodyDiv w:val="1"/>
      <w:marLeft w:val="0"/>
      <w:marRight w:val="0"/>
      <w:marTop w:val="0"/>
      <w:marBottom w:val="0"/>
      <w:divBdr>
        <w:top w:val="none" w:sz="0" w:space="0" w:color="auto"/>
        <w:left w:val="none" w:sz="0" w:space="0" w:color="auto"/>
        <w:bottom w:val="none" w:sz="0" w:space="0" w:color="auto"/>
        <w:right w:val="none" w:sz="0" w:space="0" w:color="auto"/>
      </w:divBdr>
    </w:div>
    <w:div w:id="12457122">
      <w:bodyDiv w:val="1"/>
      <w:marLeft w:val="0"/>
      <w:marRight w:val="0"/>
      <w:marTop w:val="0"/>
      <w:marBottom w:val="0"/>
      <w:divBdr>
        <w:top w:val="none" w:sz="0" w:space="0" w:color="auto"/>
        <w:left w:val="none" w:sz="0" w:space="0" w:color="auto"/>
        <w:bottom w:val="none" w:sz="0" w:space="0" w:color="auto"/>
        <w:right w:val="none" w:sz="0" w:space="0" w:color="auto"/>
      </w:divBdr>
    </w:div>
    <w:div w:id="12613422">
      <w:bodyDiv w:val="1"/>
      <w:marLeft w:val="0"/>
      <w:marRight w:val="0"/>
      <w:marTop w:val="0"/>
      <w:marBottom w:val="0"/>
      <w:divBdr>
        <w:top w:val="none" w:sz="0" w:space="0" w:color="auto"/>
        <w:left w:val="none" w:sz="0" w:space="0" w:color="auto"/>
        <w:bottom w:val="none" w:sz="0" w:space="0" w:color="auto"/>
        <w:right w:val="none" w:sz="0" w:space="0" w:color="auto"/>
      </w:divBdr>
    </w:div>
    <w:div w:id="13385995">
      <w:bodyDiv w:val="1"/>
      <w:marLeft w:val="0"/>
      <w:marRight w:val="0"/>
      <w:marTop w:val="0"/>
      <w:marBottom w:val="0"/>
      <w:divBdr>
        <w:top w:val="none" w:sz="0" w:space="0" w:color="auto"/>
        <w:left w:val="none" w:sz="0" w:space="0" w:color="auto"/>
        <w:bottom w:val="none" w:sz="0" w:space="0" w:color="auto"/>
        <w:right w:val="none" w:sz="0" w:space="0" w:color="auto"/>
      </w:divBdr>
    </w:div>
    <w:div w:id="13576722">
      <w:bodyDiv w:val="1"/>
      <w:marLeft w:val="0"/>
      <w:marRight w:val="0"/>
      <w:marTop w:val="0"/>
      <w:marBottom w:val="0"/>
      <w:divBdr>
        <w:top w:val="none" w:sz="0" w:space="0" w:color="auto"/>
        <w:left w:val="none" w:sz="0" w:space="0" w:color="auto"/>
        <w:bottom w:val="none" w:sz="0" w:space="0" w:color="auto"/>
        <w:right w:val="none" w:sz="0" w:space="0" w:color="auto"/>
      </w:divBdr>
    </w:div>
    <w:div w:id="13848989">
      <w:bodyDiv w:val="1"/>
      <w:marLeft w:val="0"/>
      <w:marRight w:val="0"/>
      <w:marTop w:val="0"/>
      <w:marBottom w:val="0"/>
      <w:divBdr>
        <w:top w:val="none" w:sz="0" w:space="0" w:color="auto"/>
        <w:left w:val="none" w:sz="0" w:space="0" w:color="auto"/>
        <w:bottom w:val="none" w:sz="0" w:space="0" w:color="auto"/>
        <w:right w:val="none" w:sz="0" w:space="0" w:color="auto"/>
      </w:divBdr>
    </w:div>
    <w:div w:id="14113039">
      <w:bodyDiv w:val="1"/>
      <w:marLeft w:val="0"/>
      <w:marRight w:val="0"/>
      <w:marTop w:val="0"/>
      <w:marBottom w:val="0"/>
      <w:divBdr>
        <w:top w:val="none" w:sz="0" w:space="0" w:color="auto"/>
        <w:left w:val="none" w:sz="0" w:space="0" w:color="auto"/>
        <w:bottom w:val="none" w:sz="0" w:space="0" w:color="auto"/>
        <w:right w:val="none" w:sz="0" w:space="0" w:color="auto"/>
      </w:divBdr>
    </w:div>
    <w:div w:id="15664804">
      <w:bodyDiv w:val="1"/>
      <w:marLeft w:val="0"/>
      <w:marRight w:val="0"/>
      <w:marTop w:val="0"/>
      <w:marBottom w:val="0"/>
      <w:divBdr>
        <w:top w:val="none" w:sz="0" w:space="0" w:color="auto"/>
        <w:left w:val="none" w:sz="0" w:space="0" w:color="auto"/>
        <w:bottom w:val="none" w:sz="0" w:space="0" w:color="auto"/>
        <w:right w:val="none" w:sz="0" w:space="0" w:color="auto"/>
      </w:divBdr>
    </w:div>
    <w:div w:id="17588078">
      <w:bodyDiv w:val="1"/>
      <w:marLeft w:val="0"/>
      <w:marRight w:val="0"/>
      <w:marTop w:val="0"/>
      <w:marBottom w:val="0"/>
      <w:divBdr>
        <w:top w:val="none" w:sz="0" w:space="0" w:color="auto"/>
        <w:left w:val="none" w:sz="0" w:space="0" w:color="auto"/>
        <w:bottom w:val="none" w:sz="0" w:space="0" w:color="auto"/>
        <w:right w:val="none" w:sz="0" w:space="0" w:color="auto"/>
      </w:divBdr>
    </w:div>
    <w:div w:id="17852979">
      <w:bodyDiv w:val="1"/>
      <w:marLeft w:val="0"/>
      <w:marRight w:val="0"/>
      <w:marTop w:val="0"/>
      <w:marBottom w:val="0"/>
      <w:divBdr>
        <w:top w:val="none" w:sz="0" w:space="0" w:color="auto"/>
        <w:left w:val="none" w:sz="0" w:space="0" w:color="auto"/>
        <w:bottom w:val="none" w:sz="0" w:space="0" w:color="auto"/>
        <w:right w:val="none" w:sz="0" w:space="0" w:color="auto"/>
      </w:divBdr>
    </w:div>
    <w:div w:id="18943435">
      <w:bodyDiv w:val="1"/>
      <w:marLeft w:val="0"/>
      <w:marRight w:val="0"/>
      <w:marTop w:val="0"/>
      <w:marBottom w:val="0"/>
      <w:divBdr>
        <w:top w:val="none" w:sz="0" w:space="0" w:color="auto"/>
        <w:left w:val="none" w:sz="0" w:space="0" w:color="auto"/>
        <w:bottom w:val="none" w:sz="0" w:space="0" w:color="auto"/>
        <w:right w:val="none" w:sz="0" w:space="0" w:color="auto"/>
      </w:divBdr>
    </w:div>
    <w:div w:id="19094875">
      <w:bodyDiv w:val="1"/>
      <w:marLeft w:val="0"/>
      <w:marRight w:val="0"/>
      <w:marTop w:val="0"/>
      <w:marBottom w:val="0"/>
      <w:divBdr>
        <w:top w:val="none" w:sz="0" w:space="0" w:color="auto"/>
        <w:left w:val="none" w:sz="0" w:space="0" w:color="auto"/>
        <w:bottom w:val="none" w:sz="0" w:space="0" w:color="auto"/>
        <w:right w:val="none" w:sz="0" w:space="0" w:color="auto"/>
      </w:divBdr>
    </w:div>
    <w:div w:id="19624364">
      <w:bodyDiv w:val="1"/>
      <w:marLeft w:val="0"/>
      <w:marRight w:val="0"/>
      <w:marTop w:val="0"/>
      <w:marBottom w:val="0"/>
      <w:divBdr>
        <w:top w:val="none" w:sz="0" w:space="0" w:color="auto"/>
        <w:left w:val="none" w:sz="0" w:space="0" w:color="auto"/>
        <w:bottom w:val="none" w:sz="0" w:space="0" w:color="auto"/>
        <w:right w:val="none" w:sz="0" w:space="0" w:color="auto"/>
      </w:divBdr>
    </w:div>
    <w:div w:id="23020941">
      <w:bodyDiv w:val="1"/>
      <w:marLeft w:val="0"/>
      <w:marRight w:val="0"/>
      <w:marTop w:val="0"/>
      <w:marBottom w:val="0"/>
      <w:divBdr>
        <w:top w:val="none" w:sz="0" w:space="0" w:color="auto"/>
        <w:left w:val="none" w:sz="0" w:space="0" w:color="auto"/>
        <w:bottom w:val="none" w:sz="0" w:space="0" w:color="auto"/>
        <w:right w:val="none" w:sz="0" w:space="0" w:color="auto"/>
      </w:divBdr>
    </w:div>
    <w:div w:id="23096890">
      <w:bodyDiv w:val="1"/>
      <w:marLeft w:val="0"/>
      <w:marRight w:val="0"/>
      <w:marTop w:val="0"/>
      <w:marBottom w:val="0"/>
      <w:divBdr>
        <w:top w:val="none" w:sz="0" w:space="0" w:color="auto"/>
        <w:left w:val="none" w:sz="0" w:space="0" w:color="auto"/>
        <w:bottom w:val="none" w:sz="0" w:space="0" w:color="auto"/>
        <w:right w:val="none" w:sz="0" w:space="0" w:color="auto"/>
      </w:divBdr>
    </w:div>
    <w:div w:id="23290074">
      <w:bodyDiv w:val="1"/>
      <w:marLeft w:val="0"/>
      <w:marRight w:val="0"/>
      <w:marTop w:val="0"/>
      <w:marBottom w:val="0"/>
      <w:divBdr>
        <w:top w:val="none" w:sz="0" w:space="0" w:color="auto"/>
        <w:left w:val="none" w:sz="0" w:space="0" w:color="auto"/>
        <w:bottom w:val="none" w:sz="0" w:space="0" w:color="auto"/>
        <w:right w:val="none" w:sz="0" w:space="0" w:color="auto"/>
      </w:divBdr>
    </w:div>
    <w:div w:id="23403350">
      <w:bodyDiv w:val="1"/>
      <w:marLeft w:val="0"/>
      <w:marRight w:val="0"/>
      <w:marTop w:val="0"/>
      <w:marBottom w:val="0"/>
      <w:divBdr>
        <w:top w:val="none" w:sz="0" w:space="0" w:color="auto"/>
        <w:left w:val="none" w:sz="0" w:space="0" w:color="auto"/>
        <w:bottom w:val="none" w:sz="0" w:space="0" w:color="auto"/>
        <w:right w:val="none" w:sz="0" w:space="0" w:color="auto"/>
      </w:divBdr>
    </w:div>
    <w:div w:id="24252135">
      <w:bodyDiv w:val="1"/>
      <w:marLeft w:val="0"/>
      <w:marRight w:val="0"/>
      <w:marTop w:val="0"/>
      <w:marBottom w:val="0"/>
      <w:divBdr>
        <w:top w:val="none" w:sz="0" w:space="0" w:color="auto"/>
        <w:left w:val="none" w:sz="0" w:space="0" w:color="auto"/>
        <w:bottom w:val="none" w:sz="0" w:space="0" w:color="auto"/>
        <w:right w:val="none" w:sz="0" w:space="0" w:color="auto"/>
      </w:divBdr>
    </w:div>
    <w:div w:id="24259702">
      <w:bodyDiv w:val="1"/>
      <w:marLeft w:val="0"/>
      <w:marRight w:val="0"/>
      <w:marTop w:val="0"/>
      <w:marBottom w:val="0"/>
      <w:divBdr>
        <w:top w:val="none" w:sz="0" w:space="0" w:color="auto"/>
        <w:left w:val="none" w:sz="0" w:space="0" w:color="auto"/>
        <w:bottom w:val="none" w:sz="0" w:space="0" w:color="auto"/>
        <w:right w:val="none" w:sz="0" w:space="0" w:color="auto"/>
      </w:divBdr>
    </w:div>
    <w:div w:id="25983910">
      <w:bodyDiv w:val="1"/>
      <w:marLeft w:val="0"/>
      <w:marRight w:val="0"/>
      <w:marTop w:val="0"/>
      <w:marBottom w:val="0"/>
      <w:divBdr>
        <w:top w:val="none" w:sz="0" w:space="0" w:color="auto"/>
        <w:left w:val="none" w:sz="0" w:space="0" w:color="auto"/>
        <w:bottom w:val="none" w:sz="0" w:space="0" w:color="auto"/>
        <w:right w:val="none" w:sz="0" w:space="0" w:color="auto"/>
      </w:divBdr>
    </w:div>
    <w:div w:id="26488340">
      <w:bodyDiv w:val="1"/>
      <w:marLeft w:val="0"/>
      <w:marRight w:val="0"/>
      <w:marTop w:val="0"/>
      <w:marBottom w:val="0"/>
      <w:divBdr>
        <w:top w:val="none" w:sz="0" w:space="0" w:color="auto"/>
        <w:left w:val="none" w:sz="0" w:space="0" w:color="auto"/>
        <w:bottom w:val="none" w:sz="0" w:space="0" w:color="auto"/>
        <w:right w:val="none" w:sz="0" w:space="0" w:color="auto"/>
      </w:divBdr>
    </w:div>
    <w:div w:id="27730498">
      <w:bodyDiv w:val="1"/>
      <w:marLeft w:val="0"/>
      <w:marRight w:val="0"/>
      <w:marTop w:val="0"/>
      <w:marBottom w:val="0"/>
      <w:divBdr>
        <w:top w:val="none" w:sz="0" w:space="0" w:color="auto"/>
        <w:left w:val="none" w:sz="0" w:space="0" w:color="auto"/>
        <w:bottom w:val="none" w:sz="0" w:space="0" w:color="auto"/>
        <w:right w:val="none" w:sz="0" w:space="0" w:color="auto"/>
      </w:divBdr>
    </w:div>
    <w:div w:id="28654267">
      <w:bodyDiv w:val="1"/>
      <w:marLeft w:val="0"/>
      <w:marRight w:val="0"/>
      <w:marTop w:val="0"/>
      <w:marBottom w:val="0"/>
      <w:divBdr>
        <w:top w:val="none" w:sz="0" w:space="0" w:color="auto"/>
        <w:left w:val="none" w:sz="0" w:space="0" w:color="auto"/>
        <w:bottom w:val="none" w:sz="0" w:space="0" w:color="auto"/>
        <w:right w:val="none" w:sz="0" w:space="0" w:color="auto"/>
      </w:divBdr>
    </w:div>
    <w:div w:id="28921135">
      <w:bodyDiv w:val="1"/>
      <w:marLeft w:val="0"/>
      <w:marRight w:val="0"/>
      <w:marTop w:val="0"/>
      <w:marBottom w:val="0"/>
      <w:divBdr>
        <w:top w:val="none" w:sz="0" w:space="0" w:color="auto"/>
        <w:left w:val="none" w:sz="0" w:space="0" w:color="auto"/>
        <w:bottom w:val="none" w:sz="0" w:space="0" w:color="auto"/>
        <w:right w:val="none" w:sz="0" w:space="0" w:color="auto"/>
      </w:divBdr>
    </w:div>
    <w:div w:id="30810430">
      <w:bodyDiv w:val="1"/>
      <w:marLeft w:val="0"/>
      <w:marRight w:val="0"/>
      <w:marTop w:val="0"/>
      <w:marBottom w:val="0"/>
      <w:divBdr>
        <w:top w:val="none" w:sz="0" w:space="0" w:color="auto"/>
        <w:left w:val="none" w:sz="0" w:space="0" w:color="auto"/>
        <w:bottom w:val="none" w:sz="0" w:space="0" w:color="auto"/>
        <w:right w:val="none" w:sz="0" w:space="0" w:color="auto"/>
      </w:divBdr>
    </w:div>
    <w:div w:id="31734598">
      <w:bodyDiv w:val="1"/>
      <w:marLeft w:val="0"/>
      <w:marRight w:val="0"/>
      <w:marTop w:val="0"/>
      <w:marBottom w:val="0"/>
      <w:divBdr>
        <w:top w:val="none" w:sz="0" w:space="0" w:color="auto"/>
        <w:left w:val="none" w:sz="0" w:space="0" w:color="auto"/>
        <w:bottom w:val="none" w:sz="0" w:space="0" w:color="auto"/>
        <w:right w:val="none" w:sz="0" w:space="0" w:color="auto"/>
      </w:divBdr>
    </w:div>
    <w:div w:id="32461575">
      <w:bodyDiv w:val="1"/>
      <w:marLeft w:val="0"/>
      <w:marRight w:val="0"/>
      <w:marTop w:val="0"/>
      <w:marBottom w:val="0"/>
      <w:divBdr>
        <w:top w:val="none" w:sz="0" w:space="0" w:color="auto"/>
        <w:left w:val="none" w:sz="0" w:space="0" w:color="auto"/>
        <w:bottom w:val="none" w:sz="0" w:space="0" w:color="auto"/>
        <w:right w:val="none" w:sz="0" w:space="0" w:color="auto"/>
      </w:divBdr>
    </w:div>
    <w:div w:id="33191508">
      <w:bodyDiv w:val="1"/>
      <w:marLeft w:val="0"/>
      <w:marRight w:val="0"/>
      <w:marTop w:val="0"/>
      <w:marBottom w:val="0"/>
      <w:divBdr>
        <w:top w:val="none" w:sz="0" w:space="0" w:color="auto"/>
        <w:left w:val="none" w:sz="0" w:space="0" w:color="auto"/>
        <w:bottom w:val="none" w:sz="0" w:space="0" w:color="auto"/>
        <w:right w:val="none" w:sz="0" w:space="0" w:color="auto"/>
      </w:divBdr>
    </w:div>
    <w:div w:id="33309896">
      <w:bodyDiv w:val="1"/>
      <w:marLeft w:val="0"/>
      <w:marRight w:val="0"/>
      <w:marTop w:val="0"/>
      <w:marBottom w:val="0"/>
      <w:divBdr>
        <w:top w:val="none" w:sz="0" w:space="0" w:color="auto"/>
        <w:left w:val="none" w:sz="0" w:space="0" w:color="auto"/>
        <w:bottom w:val="none" w:sz="0" w:space="0" w:color="auto"/>
        <w:right w:val="none" w:sz="0" w:space="0" w:color="auto"/>
      </w:divBdr>
    </w:div>
    <w:div w:id="33357920">
      <w:bodyDiv w:val="1"/>
      <w:marLeft w:val="0"/>
      <w:marRight w:val="0"/>
      <w:marTop w:val="0"/>
      <w:marBottom w:val="0"/>
      <w:divBdr>
        <w:top w:val="none" w:sz="0" w:space="0" w:color="auto"/>
        <w:left w:val="none" w:sz="0" w:space="0" w:color="auto"/>
        <w:bottom w:val="none" w:sz="0" w:space="0" w:color="auto"/>
        <w:right w:val="none" w:sz="0" w:space="0" w:color="auto"/>
      </w:divBdr>
    </w:div>
    <w:div w:id="33773216">
      <w:bodyDiv w:val="1"/>
      <w:marLeft w:val="0"/>
      <w:marRight w:val="0"/>
      <w:marTop w:val="0"/>
      <w:marBottom w:val="0"/>
      <w:divBdr>
        <w:top w:val="none" w:sz="0" w:space="0" w:color="auto"/>
        <w:left w:val="none" w:sz="0" w:space="0" w:color="auto"/>
        <w:bottom w:val="none" w:sz="0" w:space="0" w:color="auto"/>
        <w:right w:val="none" w:sz="0" w:space="0" w:color="auto"/>
      </w:divBdr>
    </w:div>
    <w:div w:id="35277774">
      <w:bodyDiv w:val="1"/>
      <w:marLeft w:val="0"/>
      <w:marRight w:val="0"/>
      <w:marTop w:val="0"/>
      <w:marBottom w:val="0"/>
      <w:divBdr>
        <w:top w:val="none" w:sz="0" w:space="0" w:color="auto"/>
        <w:left w:val="none" w:sz="0" w:space="0" w:color="auto"/>
        <w:bottom w:val="none" w:sz="0" w:space="0" w:color="auto"/>
        <w:right w:val="none" w:sz="0" w:space="0" w:color="auto"/>
      </w:divBdr>
    </w:div>
    <w:div w:id="35931875">
      <w:bodyDiv w:val="1"/>
      <w:marLeft w:val="0"/>
      <w:marRight w:val="0"/>
      <w:marTop w:val="0"/>
      <w:marBottom w:val="0"/>
      <w:divBdr>
        <w:top w:val="none" w:sz="0" w:space="0" w:color="auto"/>
        <w:left w:val="none" w:sz="0" w:space="0" w:color="auto"/>
        <w:bottom w:val="none" w:sz="0" w:space="0" w:color="auto"/>
        <w:right w:val="none" w:sz="0" w:space="0" w:color="auto"/>
      </w:divBdr>
    </w:div>
    <w:div w:id="36128593">
      <w:bodyDiv w:val="1"/>
      <w:marLeft w:val="0"/>
      <w:marRight w:val="0"/>
      <w:marTop w:val="0"/>
      <w:marBottom w:val="0"/>
      <w:divBdr>
        <w:top w:val="none" w:sz="0" w:space="0" w:color="auto"/>
        <w:left w:val="none" w:sz="0" w:space="0" w:color="auto"/>
        <w:bottom w:val="none" w:sz="0" w:space="0" w:color="auto"/>
        <w:right w:val="none" w:sz="0" w:space="0" w:color="auto"/>
      </w:divBdr>
    </w:div>
    <w:div w:id="36663588">
      <w:bodyDiv w:val="1"/>
      <w:marLeft w:val="0"/>
      <w:marRight w:val="0"/>
      <w:marTop w:val="0"/>
      <w:marBottom w:val="0"/>
      <w:divBdr>
        <w:top w:val="none" w:sz="0" w:space="0" w:color="auto"/>
        <w:left w:val="none" w:sz="0" w:space="0" w:color="auto"/>
        <w:bottom w:val="none" w:sz="0" w:space="0" w:color="auto"/>
        <w:right w:val="none" w:sz="0" w:space="0" w:color="auto"/>
      </w:divBdr>
    </w:div>
    <w:div w:id="36854689">
      <w:bodyDiv w:val="1"/>
      <w:marLeft w:val="0"/>
      <w:marRight w:val="0"/>
      <w:marTop w:val="0"/>
      <w:marBottom w:val="0"/>
      <w:divBdr>
        <w:top w:val="none" w:sz="0" w:space="0" w:color="auto"/>
        <w:left w:val="none" w:sz="0" w:space="0" w:color="auto"/>
        <w:bottom w:val="none" w:sz="0" w:space="0" w:color="auto"/>
        <w:right w:val="none" w:sz="0" w:space="0" w:color="auto"/>
      </w:divBdr>
    </w:div>
    <w:div w:id="42025888">
      <w:bodyDiv w:val="1"/>
      <w:marLeft w:val="0"/>
      <w:marRight w:val="0"/>
      <w:marTop w:val="0"/>
      <w:marBottom w:val="0"/>
      <w:divBdr>
        <w:top w:val="none" w:sz="0" w:space="0" w:color="auto"/>
        <w:left w:val="none" w:sz="0" w:space="0" w:color="auto"/>
        <w:bottom w:val="none" w:sz="0" w:space="0" w:color="auto"/>
        <w:right w:val="none" w:sz="0" w:space="0" w:color="auto"/>
      </w:divBdr>
    </w:div>
    <w:div w:id="43062109">
      <w:bodyDiv w:val="1"/>
      <w:marLeft w:val="0"/>
      <w:marRight w:val="0"/>
      <w:marTop w:val="0"/>
      <w:marBottom w:val="0"/>
      <w:divBdr>
        <w:top w:val="none" w:sz="0" w:space="0" w:color="auto"/>
        <w:left w:val="none" w:sz="0" w:space="0" w:color="auto"/>
        <w:bottom w:val="none" w:sz="0" w:space="0" w:color="auto"/>
        <w:right w:val="none" w:sz="0" w:space="0" w:color="auto"/>
      </w:divBdr>
    </w:div>
    <w:div w:id="43798298">
      <w:bodyDiv w:val="1"/>
      <w:marLeft w:val="0"/>
      <w:marRight w:val="0"/>
      <w:marTop w:val="0"/>
      <w:marBottom w:val="0"/>
      <w:divBdr>
        <w:top w:val="none" w:sz="0" w:space="0" w:color="auto"/>
        <w:left w:val="none" w:sz="0" w:space="0" w:color="auto"/>
        <w:bottom w:val="none" w:sz="0" w:space="0" w:color="auto"/>
        <w:right w:val="none" w:sz="0" w:space="0" w:color="auto"/>
      </w:divBdr>
    </w:div>
    <w:div w:id="44574127">
      <w:bodyDiv w:val="1"/>
      <w:marLeft w:val="0"/>
      <w:marRight w:val="0"/>
      <w:marTop w:val="0"/>
      <w:marBottom w:val="0"/>
      <w:divBdr>
        <w:top w:val="none" w:sz="0" w:space="0" w:color="auto"/>
        <w:left w:val="none" w:sz="0" w:space="0" w:color="auto"/>
        <w:bottom w:val="none" w:sz="0" w:space="0" w:color="auto"/>
        <w:right w:val="none" w:sz="0" w:space="0" w:color="auto"/>
      </w:divBdr>
    </w:div>
    <w:div w:id="44716545">
      <w:bodyDiv w:val="1"/>
      <w:marLeft w:val="0"/>
      <w:marRight w:val="0"/>
      <w:marTop w:val="0"/>
      <w:marBottom w:val="0"/>
      <w:divBdr>
        <w:top w:val="none" w:sz="0" w:space="0" w:color="auto"/>
        <w:left w:val="none" w:sz="0" w:space="0" w:color="auto"/>
        <w:bottom w:val="none" w:sz="0" w:space="0" w:color="auto"/>
        <w:right w:val="none" w:sz="0" w:space="0" w:color="auto"/>
      </w:divBdr>
    </w:div>
    <w:div w:id="45491913">
      <w:bodyDiv w:val="1"/>
      <w:marLeft w:val="0"/>
      <w:marRight w:val="0"/>
      <w:marTop w:val="0"/>
      <w:marBottom w:val="0"/>
      <w:divBdr>
        <w:top w:val="none" w:sz="0" w:space="0" w:color="auto"/>
        <w:left w:val="none" w:sz="0" w:space="0" w:color="auto"/>
        <w:bottom w:val="none" w:sz="0" w:space="0" w:color="auto"/>
        <w:right w:val="none" w:sz="0" w:space="0" w:color="auto"/>
      </w:divBdr>
    </w:div>
    <w:div w:id="46338580">
      <w:bodyDiv w:val="1"/>
      <w:marLeft w:val="0"/>
      <w:marRight w:val="0"/>
      <w:marTop w:val="0"/>
      <w:marBottom w:val="0"/>
      <w:divBdr>
        <w:top w:val="none" w:sz="0" w:space="0" w:color="auto"/>
        <w:left w:val="none" w:sz="0" w:space="0" w:color="auto"/>
        <w:bottom w:val="none" w:sz="0" w:space="0" w:color="auto"/>
        <w:right w:val="none" w:sz="0" w:space="0" w:color="auto"/>
      </w:divBdr>
    </w:div>
    <w:div w:id="46343536">
      <w:bodyDiv w:val="1"/>
      <w:marLeft w:val="0"/>
      <w:marRight w:val="0"/>
      <w:marTop w:val="0"/>
      <w:marBottom w:val="0"/>
      <w:divBdr>
        <w:top w:val="none" w:sz="0" w:space="0" w:color="auto"/>
        <w:left w:val="none" w:sz="0" w:space="0" w:color="auto"/>
        <w:bottom w:val="none" w:sz="0" w:space="0" w:color="auto"/>
        <w:right w:val="none" w:sz="0" w:space="0" w:color="auto"/>
      </w:divBdr>
    </w:div>
    <w:div w:id="46606417">
      <w:bodyDiv w:val="1"/>
      <w:marLeft w:val="0"/>
      <w:marRight w:val="0"/>
      <w:marTop w:val="0"/>
      <w:marBottom w:val="0"/>
      <w:divBdr>
        <w:top w:val="none" w:sz="0" w:space="0" w:color="auto"/>
        <w:left w:val="none" w:sz="0" w:space="0" w:color="auto"/>
        <w:bottom w:val="none" w:sz="0" w:space="0" w:color="auto"/>
        <w:right w:val="none" w:sz="0" w:space="0" w:color="auto"/>
      </w:divBdr>
    </w:div>
    <w:div w:id="46993420">
      <w:bodyDiv w:val="1"/>
      <w:marLeft w:val="0"/>
      <w:marRight w:val="0"/>
      <w:marTop w:val="0"/>
      <w:marBottom w:val="0"/>
      <w:divBdr>
        <w:top w:val="none" w:sz="0" w:space="0" w:color="auto"/>
        <w:left w:val="none" w:sz="0" w:space="0" w:color="auto"/>
        <w:bottom w:val="none" w:sz="0" w:space="0" w:color="auto"/>
        <w:right w:val="none" w:sz="0" w:space="0" w:color="auto"/>
      </w:divBdr>
    </w:div>
    <w:div w:id="47534975">
      <w:bodyDiv w:val="1"/>
      <w:marLeft w:val="0"/>
      <w:marRight w:val="0"/>
      <w:marTop w:val="0"/>
      <w:marBottom w:val="0"/>
      <w:divBdr>
        <w:top w:val="none" w:sz="0" w:space="0" w:color="auto"/>
        <w:left w:val="none" w:sz="0" w:space="0" w:color="auto"/>
        <w:bottom w:val="none" w:sz="0" w:space="0" w:color="auto"/>
        <w:right w:val="none" w:sz="0" w:space="0" w:color="auto"/>
      </w:divBdr>
    </w:div>
    <w:div w:id="48847755">
      <w:bodyDiv w:val="1"/>
      <w:marLeft w:val="0"/>
      <w:marRight w:val="0"/>
      <w:marTop w:val="0"/>
      <w:marBottom w:val="0"/>
      <w:divBdr>
        <w:top w:val="none" w:sz="0" w:space="0" w:color="auto"/>
        <w:left w:val="none" w:sz="0" w:space="0" w:color="auto"/>
        <w:bottom w:val="none" w:sz="0" w:space="0" w:color="auto"/>
        <w:right w:val="none" w:sz="0" w:space="0" w:color="auto"/>
      </w:divBdr>
    </w:div>
    <w:div w:id="50278988">
      <w:bodyDiv w:val="1"/>
      <w:marLeft w:val="0"/>
      <w:marRight w:val="0"/>
      <w:marTop w:val="0"/>
      <w:marBottom w:val="0"/>
      <w:divBdr>
        <w:top w:val="none" w:sz="0" w:space="0" w:color="auto"/>
        <w:left w:val="none" w:sz="0" w:space="0" w:color="auto"/>
        <w:bottom w:val="none" w:sz="0" w:space="0" w:color="auto"/>
        <w:right w:val="none" w:sz="0" w:space="0" w:color="auto"/>
      </w:divBdr>
    </w:div>
    <w:div w:id="50733389">
      <w:bodyDiv w:val="1"/>
      <w:marLeft w:val="0"/>
      <w:marRight w:val="0"/>
      <w:marTop w:val="0"/>
      <w:marBottom w:val="0"/>
      <w:divBdr>
        <w:top w:val="none" w:sz="0" w:space="0" w:color="auto"/>
        <w:left w:val="none" w:sz="0" w:space="0" w:color="auto"/>
        <w:bottom w:val="none" w:sz="0" w:space="0" w:color="auto"/>
        <w:right w:val="none" w:sz="0" w:space="0" w:color="auto"/>
      </w:divBdr>
    </w:div>
    <w:div w:id="51000200">
      <w:bodyDiv w:val="1"/>
      <w:marLeft w:val="0"/>
      <w:marRight w:val="0"/>
      <w:marTop w:val="0"/>
      <w:marBottom w:val="0"/>
      <w:divBdr>
        <w:top w:val="none" w:sz="0" w:space="0" w:color="auto"/>
        <w:left w:val="none" w:sz="0" w:space="0" w:color="auto"/>
        <w:bottom w:val="none" w:sz="0" w:space="0" w:color="auto"/>
        <w:right w:val="none" w:sz="0" w:space="0" w:color="auto"/>
      </w:divBdr>
    </w:div>
    <w:div w:id="52195267">
      <w:bodyDiv w:val="1"/>
      <w:marLeft w:val="0"/>
      <w:marRight w:val="0"/>
      <w:marTop w:val="0"/>
      <w:marBottom w:val="0"/>
      <w:divBdr>
        <w:top w:val="none" w:sz="0" w:space="0" w:color="auto"/>
        <w:left w:val="none" w:sz="0" w:space="0" w:color="auto"/>
        <w:bottom w:val="none" w:sz="0" w:space="0" w:color="auto"/>
        <w:right w:val="none" w:sz="0" w:space="0" w:color="auto"/>
      </w:divBdr>
    </w:div>
    <w:div w:id="52437217">
      <w:bodyDiv w:val="1"/>
      <w:marLeft w:val="0"/>
      <w:marRight w:val="0"/>
      <w:marTop w:val="0"/>
      <w:marBottom w:val="0"/>
      <w:divBdr>
        <w:top w:val="none" w:sz="0" w:space="0" w:color="auto"/>
        <w:left w:val="none" w:sz="0" w:space="0" w:color="auto"/>
        <w:bottom w:val="none" w:sz="0" w:space="0" w:color="auto"/>
        <w:right w:val="none" w:sz="0" w:space="0" w:color="auto"/>
      </w:divBdr>
    </w:div>
    <w:div w:id="52894433">
      <w:bodyDiv w:val="1"/>
      <w:marLeft w:val="0"/>
      <w:marRight w:val="0"/>
      <w:marTop w:val="0"/>
      <w:marBottom w:val="0"/>
      <w:divBdr>
        <w:top w:val="none" w:sz="0" w:space="0" w:color="auto"/>
        <w:left w:val="none" w:sz="0" w:space="0" w:color="auto"/>
        <w:bottom w:val="none" w:sz="0" w:space="0" w:color="auto"/>
        <w:right w:val="none" w:sz="0" w:space="0" w:color="auto"/>
      </w:divBdr>
    </w:div>
    <w:div w:id="53046749">
      <w:bodyDiv w:val="1"/>
      <w:marLeft w:val="0"/>
      <w:marRight w:val="0"/>
      <w:marTop w:val="0"/>
      <w:marBottom w:val="0"/>
      <w:divBdr>
        <w:top w:val="none" w:sz="0" w:space="0" w:color="auto"/>
        <w:left w:val="none" w:sz="0" w:space="0" w:color="auto"/>
        <w:bottom w:val="none" w:sz="0" w:space="0" w:color="auto"/>
        <w:right w:val="none" w:sz="0" w:space="0" w:color="auto"/>
      </w:divBdr>
    </w:div>
    <w:div w:id="53622686">
      <w:bodyDiv w:val="1"/>
      <w:marLeft w:val="0"/>
      <w:marRight w:val="0"/>
      <w:marTop w:val="0"/>
      <w:marBottom w:val="0"/>
      <w:divBdr>
        <w:top w:val="none" w:sz="0" w:space="0" w:color="auto"/>
        <w:left w:val="none" w:sz="0" w:space="0" w:color="auto"/>
        <w:bottom w:val="none" w:sz="0" w:space="0" w:color="auto"/>
        <w:right w:val="none" w:sz="0" w:space="0" w:color="auto"/>
      </w:divBdr>
    </w:div>
    <w:div w:id="53896242">
      <w:bodyDiv w:val="1"/>
      <w:marLeft w:val="0"/>
      <w:marRight w:val="0"/>
      <w:marTop w:val="0"/>
      <w:marBottom w:val="0"/>
      <w:divBdr>
        <w:top w:val="none" w:sz="0" w:space="0" w:color="auto"/>
        <w:left w:val="none" w:sz="0" w:space="0" w:color="auto"/>
        <w:bottom w:val="none" w:sz="0" w:space="0" w:color="auto"/>
        <w:right w:val="none" w:sz="0" w:space="0" w:color="auto"/>
      </w:divBdr>
    </w:div>
    <w:div w:id="54008179">
      <w:bodyDiv w:val="1"/>
      <w:marLeft w:val="0"/>
      <w:marRight w:val="0"/>
      <w:marTop w:val="0"/>
      <w:marBottom w:val="0"/>
      <w:divBdr>
        <w:top w:val="none" w:sz="0" w:space="0" w:color="auto"/>
        <w:left w:val="none" w:sz="0" w:space="0" w:color="auto"/>
        <w:bottom w:val="none" w:sz="0" w:space="0" w:color="auto"/>
        <w:right w:val="none" w:sz="0" w:space="0" w:color="auto"/>
      </w:divBdr>
    </w:div>
    <w:div w:id="54091537">
      <w:bodyDiv w:val="1"/>
      <w:marLeft w:val="0"/>
      <w:marRight w:val="0"/>
      <w:marTop w:val="0"/>
      <w:marBottom w:val="0"/>
      <w:divBdr>
        <w:top w:val="none" w:sz="0" w:space="0" w:color="auto"/>
        <w:left w:val="none" w:sz="0" w:space="0" w:color="auto"/>
        <w:bottom w:val="none" w:sz="0" w:space="0" w:color="auto"/>
        <w:right w:val="none" w:sz="0" w:space="0" w:color="auto"/>
      </w:divBdr>
    </w:div>
    <w:div w:id="55593577">
      <w:bodyDiv w:val="1"/>
      <w:marLeft w:val="0"/>
      <w:marRight w:val="0"/>
      <w:marTop w:val="0"/>
      <w:marBottom w:val="0"/>
      <w:divBdr>
        <w:top w:val="none" w:sz="0" w:space="0" w:color="auto"/>
        <w:left w:val="none" w:sz="0" w:space="0" w:color="auto"/>
        <w:bottom w:val="none" w:sz="0" w:space="0" w:color="auto"/>
        <w:right w:val="none" w:sz="0" w:space="0" w:color="auto"/>
      </w:divBdr>
    </w:div>
    <w:div w:id="56441896">
      <w:bodyDiv w:val="1"/>
      <w:marLeft w:val="0"/>
      <w:marRight w:val="0"/>
      <w:marTop w:val="0"/>
      <w:marBottom w:val="0"/>
      <w:divBdr>
        <w:top w:val="none" w:sz="0" w:space="0" w:color="auto"/>
        <w:left w:val="none" w:sz="0" w:space="0" w:color="auto"/>
        <w:bottom w:val="none" w:sz="0" w:space="0" w:color="auto"/>
        <w:right w:val="none" w:sz="0" w:space="0" w:color="auto"/>
      </w:divBdr>
    </w:div>
    <w:div w:id="57099863">
      <w:bodyDiv w:val="1"/>
      <w:marLeft w:val="0"/>
      <w:marRight w:val="0"/>
      <w:marTop w:val="0"/>
      <w:marBottom w:val="0"/>
      <w:divBdr>
        <w:top w:val="none" w:sz="0" w:space="0" w:color="auto"/>
        <w:left w:val="none" w:sz="0" w:space="0" w:color="auto"/>
        <w:bottom w:val="none" w:sz="0" w:space="0" w:color="auto"/>
        <w:right w:val="none" w:sz="0" w:space="0" w:color="auto"/>
      </w:divBdr>
    </w:div>
    <w:div w:id="59327138">
      <w:bodyDiv w:val="1"/>
      <w:marLeft w:val="0"/>
      <w:marRight w:val="0"/>
      <w:marTop w:val="0"/>
      <w:marBottom w:val="0"/>
      <w:divBdr>
        <w:top w:val="none" w:sz="0" w:space="0" w:color="auto"/>
        <w:left w:val="none" w:sz="0" w:space="0" w:color="auto"/>
        <w:bottom w:val="none" w:sz="0" w:space="0" w:color="auto"/>
        <w:right w:val="none" w:sz="0" w:space="0" w:color="auto"/>
      </w:divBdr>
    </w:div>
    <w:div w:id="61098255">
      <w:bodyDiv w:val="1"/>
      <w:marLeft w:val="0"/>
      <w:marRight w:val="0"/>
      <w:marTop w:val="0"/>
      <w:marBottom w:val="0"/>
      <w:divBdr>
        <w:top w:val="none" w:sz="0" w:space="0" w:color="auto"/>
        <w:left w:val="none" w:sz="0" w:space="0" w:color="auto"/>
        <w:bottom w:val="none" w:sz="0" w:space="0" w:color="auto"/>
        <w:right w:val="none" w:sz="0" w:space="0" w:color="auto"/>
      </w:divBdr>
    </w:div>
    <w:div w:id="61829789">
      <w:bodyDiv w:val="1"/>
      <w:marLeft w:val="0"/>
      <w:marRight w:val="0"/>
      <w:marTop w:val="0"/>
      <w:marBottom w:val="0"/>
      <w:divBdr>
        <w:top w:val="none" w:sz="0" w:space="0" w:color="auto"/>
        <w:left w:val="none" w:sz="0" w:space="0" w:color="auto"/>
        <w:bottom w:val="none" w:sz="0" w:space="0" w:color="auto"/>
        <w:right w:val="none" w:sz="0" w:space="0" w:color="auto"/>
      </w:divBdr>
    </w:div>
    <w:div w:id="63334595">
      <w:bodyDiv w:val="1"/>
      <w:marLeft w:val="0"/>
      <w:marRight w:val="0"/>
      <w:marTop w:val="0"/>
      <w:marBottom w:val="0"/>
      <w:divBdr>
        <w:top w:val="none" w:sz="0" w:space="0" w:color="auto"/>
        <w:left w:val="none" w:sz="0" w:space="0" w:color="auto"/>
        <w:bottom w:val="none" w:sz="0" w:space="0" w:color="auto"/>
        <w:right w:val="none" w:sz="0" w:space="0" w:color="auto"/>
      </w:divBdr>
    </w:div>
    <w:div w:id="63647574">
      <w:bodyDiv w:val="1"/>
      <w:marLeft w:val="0"/>
      <w:marRight w:val="0"/>
      <w:marTop w:val="0"/>
      <w:marBottom w:val="0"/>
      <w:divBdr>
        <w:top w:val="none" w:sz="0" w:space="0" w:color="auto"/>
        <w:left w:val="none" w:sz="0" w:space="0" w:color="auto"/>
        <w:bottom w:val="none" w:sz="0" w:space="0" w:color="auto"/>
        <w:right w:val="none" w:sz="0" w:space="0" w:color="auto"/>
      </w:divBdr>
    </w:div>
    <w:div w:id="64035516">
      <w:bodyDiv w:val="1"/>
      <w:marLeft w:val="0"/>
      <w:marRight w:val="0"/>
      <w:marTop w:val="0"/>
      <w:marBottom w:val="0"/>
      <w:divBdr>
        <w:top w:val="none" w:sz="0" w:space="0" w:color="auto"/>
        <w:left w:val="none" w:sz="0" w:space="0" w:color="auto"/>
        <w:bottom w:val="none" w:sz="0" w:space="0" w:color="auto"/>
        <w:right w:val="none" w:sz="0" w:space="0" w:color="auto"/>
      </w:divBdr>
    </w:div>
    <w:div w:id="64113665">
      <w:bodyDiv w:val="1"/>
      <w:marLeft w:val="0"/>
      <w:marRight w:val="0"/>
      <w:marTop w:val="0"/>
      <w:marBottom w:val="0"/>
      <w:divBdr>
        <w:top w:val="none" w:sz="0" w:space="0" w:color="auto"/>
        <w:left w:val="none" w:sz="0" w:space="0" w:color="auto"/>
        <w:bottom w:val="none" w:sz="0" w:space="0" w:color="auto"/>
        <w:right w:val="none" w:sz="0" w:space="0" w:color="auto"/>
      </w:divBdr>
    </w:div>
    <w:div w:id="65760889">
      <w:bodyDiv w:val="1"/>
      <w:marLeft w:val="0"/>
      <w:marRight w:val="0"/>
      <w:marTop w:val="0"/>
      <w:marBottom w:val="0"/>
      <w:divBdr>
        <w:top w:val="none" w:sz="0" w:space="0" w:color="auto"/>
        <w:left w:val="none" w:sz="0" w:space="0" w:color="auto"/>
        <w:bottom w:val="none" w:sz="0" w:space="0" w:color="auto"/>
        <w:right w:val="none" w:sz="0" w:space="0" w:color="auto"/>
      </w:divBdr>
    </w:div>
    <w:div w:id="65879635">
      <w:bodyDiv w:val="1"/>
      <w:marLeft w:val="0"/>
      <w:marRight w:val="0"/>
      <w:marTop w:val="0"/>
      <w:marBottom w:val="0"/>
      <w:divBdr>
        <w:top w:val="none" w:sz="0" w:space="0" w:color="auto"/>
        <w:left w:val="none" w:sz="0" w:space="0" w:color="auto"/>
        <w:bottom w:val="none" w:sz="0" w:space="0" w:color="auto"/>
        <w:right w:val="none" w:sz="0" w:space="0" w:color="auto"/>
      </w:divBdr>
    </w:div>
    <w:div w:id="66539642">
      <w:bodyDiv w:val="1"/>
      <w:marLeft w:val="0"/>
      <w:marRight w:val="0"/>
      <w:marTop w:val="0"/>
      <w:marBottom w:val="0"/>
      <w:divBdr>
        <w:top w:val="none" w:sz="0" w:space="0" w:color="auto"/>
        <w:left w:val="none" w:sz="0" w:space="0" w:color="auto"/>
        <w:bottom w:val="none" w:sz="0" w:space="0" w:color="auto"/>
        <w:right w:val="none" w:sz="0" w:space="0" w:color="auto"/>
      </w:divBdr>
    </w:div>
    <w:div w:id="67043774">
      <w:bodyDiv w:val="1"/>
      <w:marLeft w:val="0"/>
      <w:marRight w:val="0"/>
      <w:marTop w:val="0"/>
      <w:marBottom w:val="0"/>
      <w:divBdr>
        <w:top w:val="none" w:sz="0" w:space="0" w:color="auto"/>
        <w:left w:val="none" w:sz="0" w:space="0" w:color="auto"/>
        <w:bottom w:val="none" w:sz="0" w:space="0" w:color="auto"/>
        <w:right w:val="none" w:sz="0" w:space="0" w:color="auto"/>
      </w:divBdr>
    </w:div>
    <w:div w:id="69231847">
      <w:bodyDiv w:val="1"/>
      <w:marLeft w:val="0"/>
      <w:marRight w:val="0"/>
      <w:marTop w:val="0"/>
      <w:marBottom w:val="0"/>
      <w:divBdr>
        <w:top w:val="none" w:sz="0" w:space="0" w:color="auto"/>
        <w:left w:val="none" w:sz="0" w:space="0" w:color="auto"/>
        <w:bottom w:val="none" w:sz="0" w:space="0" w:color="auto"/>
        <w:right w:val="none" w:sz="0" w:space="0" w:color="auto"/>
      </w:divBdr>
    </w:div>
    <w:div w:id="70087150">
      <w:bodyDiv w:val="1"/>
      <w:marLeft w:val="0"/>
      <w:marRight w:val="0"/>
      <w:marTop w:val="0"/>
      <w:marBottom w:val="0"/>
      <w:divBdr>
        <w:top w:val="none" w:sz="0" w:space="0" w:color="auto"/>
        <w:left w:val="none" w:sz="0" w:space="0" w:color="auto"/>
        <w:bottom w:val="none" w:sz="0" w:space="0" w:color="auto"/>
        <w:right w:val="none" w:sz="0" w:space="0" w:color="auto"/>
      </w:divBdr>
    </w:div>
    <w:div w:id="70543558">
      <w:bodyDiv w:val="1"/>
      <w:marLeft w:val="0"/>
      <w:marRight w:val="0"/>
      <w:marTop w:val="0"/>
      <w:marBottom w:val="0"/>
      <w:divBdr>
        <w:top w:val="none" w:sz="0" w:space="0" w:color="auto"/>
        <w:left w:val="none" w:sz="0" w:space="0" w:color="auto"/>
        <w:bottom w:val="none" w:sz="0" w:space="0" w:color="auto"/>
        <w:right w:val="none" w:sz="0" w:space="0" w:color="auto"/>
      </w:divBdr>
    </w:div>
    <w:div w:id="70932603">
      <w:bodyDiv w:val="1"/>
      <w:marLeft w:val="0"/>
      <w:marRight w:val="0"/>
      <w:marTop w:val="0"/>
      <w:marBottom w:val="0"/>
      <w:divBdr>
        <w:top w:val="none" w:sz="0" w:space="0" w:color="auto"/>
        <w:left w:val="none" w:sz="0" w:space="0" w:color="auto"/>
        <w:bottom w:val="none" w:sz="0" w:space="0" w:color="auto"/>
        <w:right w:val="none" w:sz="0" w:space="0" w:color="auto"/>
      </w:divBdr>
    </w:div>
    <w:div w:id="70932859">
      <w:bodyDiv w:val="1"/>
      <w:marLeft w:val="0"/>
      <w:marRight w:val="0"/>
      <w:marTop w:val="0"/>
      <w:marBottom w:val="0"/>
      <w:divBdr>
        <w:top w:val="none" w:sz="0" w:space="0" w:color="auto"/>
        <w:left w:val="none" w:sz="0" w:space="0" w:color="auto"/>
        <w:bottom w:val="none" w:sz="0" w:space="0" w:color="auto"/>
        <w:right w:val="none" w:sz="0" w:space="0" w:color="auto"/>
      </w:divBdr>
    </w:div>
    <w:div w:id="71780368">
      <w:bodyDiv w:val="1"/>
      <w:marLeft w:val="0"/>
      <w:marRight w:val="0"/>
      <w:marTop w:val="0"/>
      <w:marBottom w:val="0"/>
      <w:divBdr>
        <w:top w:val="none" w:sz="0" w:space="0" w:color="auto"/>
        <w:left w:val="none" w:sz="0" w:space="0" w:color="auto"/>
        <w:bottom w:val="none" w:sz="0" w:space="0" w:color="auto"/>
        <w:right w:val="none" w:sz="0" w:space="0" w:color="auto"/>
      </w:divBdr>
    </w:div>
    <w:div w:id="72437512">
      <w:bodyDiv w:val="1"/>
      <w:marLeft w:val="0"/>
      <w:marRight w:val="0"/>
      <w:marTop w:val="0"/>
      <w:marBottom w:val="0"/>
      <w:divBdr>
        <w:top w:val="none" w:sz="0" w:space="0" w:color="auto"/>
        <w:left w:val="none" w:sz="0" w:space="0" w:color="auto"/>
        <w:bottom w:val="none" w:sz="0" w:space="0" w:color="auto"/>
        <w:right w:val="none" w:sz="0" w:space="0" w:color="auto"/>
      </w:divBdr>
    </w:div>
    <w:div w:id="72897430">
      <w:bodyDiv w:val="1"/>
      <w:marLeft w:val="0"/>
      <w:marRight w:val="0"/>
      <w:marTop w:val="0"/>
      <w:marBottom w:val="0"/>
      <w:divBdr>
        <w:top w:val="none" w:sz="0" w:space="0" w:color="auto"/>
        <w:left w:val="none" w:sz="0" w:space="0" w:color="auto"/>
        <w:bottom w:val="none" w:sz="0" w:space="0" w:color="auto"/>
        <w:right w:val="none" w:sz="0" w:space="0" w:color="auto"/>
      </w:divBdr>
    </w:div>
    <w:div w:id="73477687">
      <w:bodyDiv w:val="1"/>
      <w:marLeft w:val="0"/>
      <w:marRight w:val="0"/>
      <w:marTop w:val="0"/>
      <w:marBottom w:val="0"/>
      <w:divBdr>
        <w:top w:val="none" w:sz="0" w:space="0" w:color="auto"/>
        <w:left w:val="none" w:sz="0" w:space="0" w:color="auto"/>
        <w:bottom w:val="none" w:sz="0" w:space="0" w:color="auto"/>
        <w:right w:val="none" w:sz="0" w:space="0" w:color="auto"/>
      </w:divBdr>
    </w:div>
    <w:div w:id="74666377">
      <w:bodyDiv w:val="1"/>
      <w:marLeft w:val="0"/>
      <w:marRight w:val="0"/>
      <w:marTop w:val="0"/>
      <w:marBottom w:val="0"/>
      <w:divBdr>
        <w:top w:val="none" w:sz="0" w:space="0" w:color="auto"/>
        <w:left w:val="none" w:sz="0" w:space="0" w:color="auto"/>
        <w:bottom w:val="none" w:sz="0" w:space="0" w:color="auto"/>
        <w:right w:val="none" w:sz="0" w:space="0" w:color="auto"/>
      </w:divBdr>
    </w:div>
    <w:div w:id="75170717">
      <w:bodyDiv w:val="1"/>
      <w:marLeft w:val="0"/>
      <w:marRight w:val="0"/>
      <w:marTop w:val="0"/>
      <w:marBottom w:val="0"/>
      <w:divBdr>
        <w:top w:val="none" w:sz="0" w:space="0" w:color="auto"/>
        <w:left w:val="none" w:sz="0" w:space="0" w:color="auto"/>
        <w:bottom w:val="none" w:sz="0" w:space="0" w:color="auto"/>
        <w:right w:val="none" w:sz="0" w:space="0" w:color="auto"/>
      </w:divBdr>
    </w:div>
    <w:div w:id="76830979">
      <w:bodyDiv w:val="1"/>
      <w:marLeft w:val="0"/>
      <w:marRight w:val="0"/>
      <w:marTop w:val="0"/>
      <w:marBottom w:val="0"/>
      <w:divBdr>
        <w:top w:val="none" w:sz="0" w:space="0" w:color="auto"/>
        <w:left w:val="none" w:sz="0" w:space="0" w:color="auto"/>
        <w:bottom w:val="none" w:sz="0" w:space="0" w:color="auto"/>
        <w:right w:val="none" w:sz="0" w:space="0" w:color="auto"/>
      </w:divBdr>
    </w:div>
    <w:div w:id="77145122">
      <w:bodyDiv w:val="1"/>
      <w:marLeft w:val="0"/>
      <w:marRight w:val="0"/>
      <w:marTop w:val="0"/>
      <w:marBottom w:val="0"/>
      <w:divBdr>
        <w:top w:val="none" w:sz="0" w:space="0" w:color="auto"/>
        <w:left w:val="none" w:sz="0" w:space="0" w:color="auto"/>
        <w:bottom w:val="none" w:sz="0" w:space="0" w:color="auto"/>
        <w:right w:val="none" w:sz="0" w:space="0" w:color="auto"/>
      </w:divBdr>
    </w:div>
    <w:div w:id="77218250">
      <w:bodyDiv w:val="1"/>
      <w:marLeft w:val="0"/>
      <w:marRight w:val="0"/>
      <w:marTop w:val="0"/>
      <w:marBottom w:val="0"/>
      <w:divBdr>
        <w:top w:val="none" w:sz="0" w:space="0" w:color="auto"/>
        <w:left w:val="none" w:sz="0" w:space="0" w:color="auto"/>
        <w:bottom w:val="none" w:sz="0" w:space="0" w:color="auto"/>
        <w:right w:val="none" w:sz="0" w:space="0" w:color="auto"/>
      </w:divBdr>
    </w:div>
    <w:div w:id="78720286">
      <w:bodyDiv w:val="1"/>
      <w:marLeft w:val="0"/>
      <w:marRight w:val="0"/>
      <w:marTop w:val="0"/>
      <w:marBottom w:val="0"/>
      <w:divBdr>
        <w:top w:val="none" w:sz="0" w:space="0" w:color="auto"/>
        <w:left w:val="none" w:sz="0" w:space="0" w:color="auto"/>
        <w:bottom w:val="none" w:sz="0" w:space="0" w:color="auto"/>
        <w:right w:val="none" w:sz="0" w:space="0" w:color="auto"/>
      </w:divBdr>
    </w:div>
    <w:div w:id="80225635">
      <w:bodyDiv w:val="1"/>
      <w:marLeft w:val="0"/>
      <w:marRight w:val="0"/>
      <w:marTop w:val="0"/>
      <w:marBottom w:val="0"/>
      <w:divBdr>
        <w:top w:val="none" w:sz="0" w:space="0" w:color="auto"/>
        <w:left w:val="none" w:sz="0" w:space="0" w:color="auto"/>
        <w:bottom w:val="none" w:sz="0" w:space="0" w:color="auto"/>
        <w:right w:val="none" w:sz="0" w:space="0" w:color="auto"/>
      </w:divBdr>
    </w:div>
    <w:div w:id="80378690">
      <w:bodyDiv w:val="1"/>
      <w:marLeft w:val="0"/>
      <w:marRight w:val="0"/>
      <w:marTop w:val="0"/>
      <w:marBottom w:val="0"/>
      <w:divBdr>
        <w:top w:val="none" w:sz="0" w:space="0" w:color="auto"/>
        <w:left w:val="none" w:sz="0" w:space="0" w:color="auto"/>
        <w:bottom w:val="none" w:sz="0" w:space="0" w:color="auto"/>
        <w:right w:val="none" w:sz="0" w:space="0" w:color="auto"/>
      </w:divBdr>
    </w:div>
    <w:div w:id="80879884">
      <w:bodyDiv w:val="1"/>
      <w:marLeft w:val="0"/>
      <w:marRight w:val="0"/>
      <w:marTop w:val="0"/>
      <w:marBottom w:val="0"/>
      <w:divBdr>
        <w:top w:val="none" w:sz="0" w:space="0" w:color="auto"/>
        <w:left w:val="none" w:sz="0" w:space="0" w:color="auto"/>
        <w:bottom w:val="none" w:sz="0" w:space="0" w:color="auto"/>
        <w:right w:val="none" w:sz="0" w:space="0" w:color="auto"/>
      </w:divBdr>
    </w:div>
    <w:div w:id="81412382">
      <w:bodyDiv w:val="1"/>
      <w:marLeft w:val="0"/>
      <w:marRight w:val="0"/>
      <w:marTop w:val="0"/>
      <w:marBottom w:val="0"/>
      <w:divBdr>
        <w:top w:val="none" w:sz="0" w:space="0" w:color="auto"/>
        <w:left w:val="none" w:sz="0" w:space="0" w:color="auto"/>
        <w:bottom w:val="none" w:sz="0" w:space="0" w:color="auto"/>
        <w:right w:val="none" w:sz="0" w:space="0" w:color="auto"/>
      </w:divBdr>
    </w:div>
    <w:div w:id="81606648">
      <w:bodyDiv w:val="1"/>
      <w:marLeft w:val="0"/>
      <w:marRight w:val="0"/>
      <w:marTop w:val="0"/>
      <w:marBottom w:val="0"/>
      <w:divBdr>
        <w:top w:val="none" w:sz="0" w:space="0" w:color="auto"/>
        <w:left w:val="none" w:sz="0" w:space="0" w:color="auto"/>
        <w:bottom w:val="none" w:sz="0" w:space="0" w:color="auto"/>
        <w:right w:val="none" w:sz="0" w:space="0" w:color="auto"/>
      </w:divBdr>
    </w:div>
    <w:div w:id="83845589">
      <w:bodyDiv w:val="1"/>
      <w:marLeft w:val="0"/>
      <w:marRight w:val="0"/>
      <w:marTop w:val="0"/>
      <w:marBottom w:val="0"/>
      <w:divBdr>
        <w:top w:val="none" w:sz="0" w:space="0" w:color="auto"/>
        <w:left w:val="none" w:sz="0" w:space="0" w:color="auto"/>
        <w:bottom w:val="none" w:sz="0" w:space="0" w:color="auto"/>
        <w:right w:val="none" w:sz="0" w:space="0" w:color="auto"/>
      </w:divBdr>
    </w:div>
    <w:div w:id="84541911">
      <w:bodyDiv w:val="1"/>
      <w:marLeft w:val="0"/>
      <w:marRight w:val="0"/>
      <w:marTop w:val="0"/>
      <w:marBottom w:val="0"/>
      <w:divBdr>
        <w:top w:val="none" w:sz="0" w:space="0" w:color="auto"/>
        <w:left w:val="none" w:sz="0" w:space="0" w:color="auto"/>
        <w:bottom w:val="none" w:sz="0" w:space="0" w:color="auto"/>
        <w:right w:val="none" w:sz="0" w:space="0" w:color="auto"/>
      </w:divBdr>
    </w:div>
    <w:div w:id="86115907">
      <w:bodyDiv w:val="1"/>
      <w:marLeft w:val="0"/>
      <w:marRight w:val="0"/>
      <w:marTop w:val="0"/>
      <w:marBottom w:val="0"/>
      <w:divBdr>
        <w:top w:val="none" w:sz="0" w:space="0" w:color="auto"/>
        <w:left w:val="none" w:sz="0" w:space="0" w:color="auto"/>
        <w:bottom w:val="none" w:sz="0" w:space="0" w:color="auto"/>
        <w:right w:val="none" w:sz="0" w:space="0" w:color="auto"/>
      </w:divBdr>
    </w:div>
    <w:div w:id="86509877">
      <w:bodyDiv w:val="1"/>
      <w:marLeft w:val="0"/>
      <w:marRight w:val="0"/>
      <w:marTop w:val="0"/>
      <w:marBottom w:val="0"/>
      <w:divBdr>
        <w:top w:val="none" w:sz="0" w:space="0" w:color="auto"/>
        <w:left w:val="none" w:sz="0" w:space="0" w:color="auto"/>
        <w:bottom w:val="none" w:sz="0" w:space="0" w:color="auto"/>
        <w:right w:val="none" w:sz="0" w:space="0" w:color="auto"/>
      </w:divBdr>
    </w:div>
    <w:div w:id="88090026">
      <w:bodyDiv w:val="1"/>
      <w:marLeft w:val="0"/>
      <w:marRight w:val="0"/>
      <w:marTop w:val="0"/>
      <w:marBottom w:val="0"/>
      <w:divBdr>
        <w:top w:val="none" w:sz="0" w:space="0" w:color="auto"/>
        <w:left w:val="none" w:sz="0" w:space="0" w:color="auto"/>
        <w:bottom w:val="none" w:sz="0" w:space="0" w:color="auto"/>
        <w:right w:val="none" w:sz="0" w:space="0" w:color="auto"/>
      </w:divBdr>
    </w:div>
    <w:div w:id="88358783">
      <w:bodyDiv w:val="1"/>
      <w:marLeft w:val="0"/>
      <w:marRight w:val="0"/>
      <w:marTop w:val="0"/>
      <w:marBottom w:val="0"/>
      <w:divBdr>
        <w:top w:val="none" w:sz="0" w:space="0" w:color="auto"/>
        <w:left w:val="none" w:sz="0" w:space="0" w:color="auto"/>
        <w:bottom w:val="none" w:sz="0" w:space="0" w:color="auto"/>
        <w:right w:val="none" w:sz="0" w:space="0" w:color="auto"/>
      </w:divBdr>
    </w:div>
    <w:div w:id="88504176">
      <w:bodyDiv w:val="1"/>
      <w:marLeft w:val="0"/>
      <w:marRight w:val="0"/>
      <w:marTop w:val="0"/>
      <w:marBottom w:val="0"/>
      <w:divBdr>
        <w:top w:val="none" w:sz="0" w:space="0" w:color="auto"/>
        <w:left w:val="none" w:sz="0" w:space="0" w:color="auto"/>
        <w:bottom w:val="none" w:sz="0" w:space="0" w:color="auto"/>
        <w:right w:val="none" w:sz="0" w:space="0" w:color="auto"/>
      </w:divBdr>
    </w:div>
    <w:div w:id="88896895">
      <w:bodyDiv w:val="1"/>
      <w:marLeft w:val="0"/>
      <w:marRight w:val="0"/>
      <w:marTop w:val="0"/>
      <w:marBottom w:val="0"/>
      <w:divBdr>
        <w:top w:val="none" w:sz="0" w:space="0" w:color="auto"/>
        <w:left w:val="none" w:sz="0" w:space="0" w:color="auto"/>
        <w:bottom w:val="none" w:sz="0" w:space="0" w:color="auto"/>
        <w:right w:val="none" w:sz="0" w:space="0" w:color="auto"/>
      </w:divBdr>
      <w:divsChild>
        <w:div w:id="1129128125">
          <w:marLeft w:val="0"/>
          <w:marRight w:val="0"/>
          <w:marTop w:val="0"/>
          <w:marBottom w:val="0"/>
          <w:divBdr>
            <w:top w:val="none" w:sz="0" w:space="0" w:color="auto"/>
            <w:left w:val="none" w:sz="0" w:space="0" w:color="auto"/>
            <w:bottom w:val="none" w:sz="0" w:space="0" w:color="auto"/>
            <w:right w:val="none" w:sz="0" w:space="0" w:color="auto"/>
          </w:divBdr>
          <w:divsChild>
            <w:div w:id="1199775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083225">
      <w:bodyDiv w:val="1"/>
      <w:marLeft w:val="0"/>
      <w:marRight w:val="0"/>
      <w:marTop w:val="0"/>
      <w:marBottom w:val="0"/>
      <w:divBdr>
        <w:top w:val="none" w:sz="0" w:space="0" w:color="auto"/>
        <w:left w:val="none" w:sz="0" w:space="0" w:color="auto"/>
        <w:bottom w:val="none" w:sz="0" w:space="0" w:color="auto"/>
        <w:right w:val="none" w:sz="0" w:space="0" w:color="auto"/>
      </w:divBdr>
    </w:div>
    <w:div w:id="90127958">
      <w:bodyDiv w:val="1"/>
      <w:marLeft w:val="0"/>
      <w:marRight w:val="0"/>
      <w:marTop w:val="0"/>
      <w:marBottom w:val="0"/>
      <w:divBdr>
        <w:top w:val="none" w:sz="0" w:space="0" w:color="auto"/>
        <w:left w:val="none" w:sz="0" w:space="0" w:color="auto"/>
        <w:bottom w:val="none" w:sz="0" w:space="0" w:color="auto"/>
        <w:right w:val="none" w:sz="0" w:space="0" w:color="auto"/>
      </w:divBdr>
    </w:div>
    <w:div w:id="90704243">
      <w:bodyDiv w:val="1"/>
      <w:marLeft w:val="0"/>
      <w:marRight w:val="0"/>
      <w:marTop w:val="0"/>
      <w:marBottom w:val="0"/>
      <w:divBdr>
        <w:top w:val="none" w:sz="0" w:space="0" w:color="auto"/>
        <w:left w:val="none" w:sz="0" w:space="0" w:color="auto"/>
        <w:bottom w:val="none" w:sz="0" w:space="0" w:color="auto"/>
        <w:right w:val="none" w:sz="0" w:space="0" w:color="auto"/>
      </w:divBdr>
    </w:div>
    <w:div w:id="91166314">
      <w:bodyDiv w:val="1"/>
      <w:marLeft w:val="0"/>
      <w:marRight w:val="0"/>
      <w:marTop w:val="0"/>
      <w:marBottom w:val="0"/>
      <w:divBdr>
        <w:top w:val="none" w:sz="0" w:space="0" w:color="auto"/>
        <w:left w:val="none" w:sz="0" w:space="0" w:color="auto"/>
        <w:bottom w:val="none" w:sz="0" w:space="0" w:color="auto"/>
        <w:right w:val="none" w:sz="0" w:space="0" w:color="auto"/>
      </w:divBdr>
    </w:div>
    <w:div w:id="91899299">
      <w:bodyDiv w:val="1"/>
      <w:marLeft w:val="0"/>
      <w:marRight w:val="0"/>
      <w:marTop w:val="0"/>
      <w:marBottom w:val="0"/>
      <w:divBdr>
        <w:top w:val="none" w:sz="0" w:space="0" w:color="auto"/>
        <w:left w:val="none" w:sz="0" w:space="0" w:color="auto"/>
        <w:bottom w:val="none" w:sz="0" w:space="0" w:color="auto"/>
        <w:right w:val="none" w:sz="0" w:space="0" w:color="auto"/>
      </w:divBdr>
    </w:div>
    <w:div w:id="92092466">
      <w:bodyDiv w:val="1"/>
      <w:marLeft w:val="0"/>
      <w:marRight w:val="0"/>
      <w:marTop w:val="0"/>
      <w:marBottom w:val="0"/>
      <w:divBdr>
        <w:top w:val="none" w:sz="0" w:space="0" w:color="auto"/>
        <w:left w:val="none" w:sz="0" w:space="0" w:color="auto"/>
        <w:bottom w:val="none" w:sz="0" w:space="0" w:color="auto"/>
        <w:right w:val="none" w:sz="0" w:space="0" w:color="auto"/>
      </w:divBdr>
    </w:div>
    <w:div w:id="97718903">
      <w:bodyDiv w:val="1"/>
      <w:marLeft w:val="0"/>
      <w:marRight w:val="0"/>
      <w:marTop w:val="0"/>
      <w:marBottom w:val="0"/>
      <w:divBdr>
        <w:top w:val="none" w:sz="0" w:space="0" w:color="auto"/>
        <w:left w:val="none" w:sz="0" w:space="0" w:color="auto"/>
        <w:bottom w:val="none" w:sz="0" w:space="0" w:color="auto"/>
        <w:right w:val="none" w:sz="0" w:space="0" w:color="auto"/>
      </w:divBdr>
    </w:div>
    <w:div w:id="99956982">
      <w:bodyDiv w:val="1"/>
      <w:marLeft w:val="0"/>
      <w:marRight w:val="0"/>
      <w:marTop w:val="0"/>
      <w:marBottom w:val="0"/>
      <w:divBdr>
        <w:top w:val="none" w:sz="0" w:space="0" w:color="auto"/>
        <w:left w:val="none" w:sz="0" w:space="0" w:color="auto"/>
        <w:bottom w:val="none" w:sz="0" w:space="0" w:color="auto"/>
        <w:right w:val="none" w:sz="0" w:space="0" w:color="auto"/>
      </w:divBdr>
    </w:div>
    <w:div w:id="100997625">
      <w:bodyDiv w:val="1"/>
      <w:marLeft w:val="0"/>
      <w:marRight w:val="0"/>
      <w:marTop w:val="0"/>
      <w:marBottom w:val="0"/>
      <w:divBdr>
        <w:top w:val="none" w:sz="0" w:space="0" w:color="auto"/>
        <w:left w:val="none" w:sz="0" w:space="0" w:color="auto"/>
        <w:bottom w:val="none" w:sz="0" w:space="0" w:color="auto"/>
        <w:right w:val="none" w:sz="0" w:space="0" w:color="auto"/>
      </w:divBdr>
    </w:div>
    <w:div w:id="105152059">
      <w:bodyDiv w:val="1"/>
      <w:marLeft w:val="0"/>
      <w:marRight w:val="0"/>
      <w:marTop w:val="0"/>
      <w:marBottom w:val="0"/>
      <w:divBdr>
        <w:top w:val="none" w:sz="0" w:space="0" w:color="auto"/>
        <w:left w:val="none" w:sz="0" w:space="0" w:color="auto"/>
        <w:bottom w:val="none" w:sz="0" w:space="0" w:color="auto"/>
        <w:right w:val="none" w:sz="0" w:space="0" w:color="auto"/>
      </w:divBdr>
    </w:div>
    <w:div w:id="108474910">
      <w:bodyDiv w:val="1"/>
      <w:marLeft w:val="0"/>
      <w:marRight w:val="0"/>
      <w:marTop w:val="0"/>
      <w:marBottom w:val="0"/>
      <w:divBdr>
        <w:top w:val="none" w:sz="0" w:space="0" w:color="auto"/>
        <w:left w:val="none" w:sz="0" w:space="0" w:color="auto"/>
        <w:bottom w:val="none" w:sz="0" w:space="0" w:color="auto"/>
        <w:right w:val="none" w:sz="0" w:space="0" w:color="auto"/>
      </w:divBdr>
    </w:div>
    <w:div w:id="109403586">
      <w:bodyDiv w:val="1"/>
      <w:marLeft w:val="0"/>
      <w:marRight w:val="0"/>
      <w:marTop w:val="0"/>
      <w:marBottom w:val="0"/>
      <w:divBdr>
        <w:top w:val="none" w:sz="0" w:space="0" w:color="auto"/>
        <w:left w:val="none" w:sz="0" w:space="0" w:color="auto"/>
        <w:bottom w:val="none" w:sz="0" w:space="0" w:color="auto"/>
        <w:right w:val="none" w:sz="0" w:space="0" w:color="auto"/>
      </w:divBdr>
    </w:div>
    <w:div w:id="112288617">
      <w:bodyDiv w:val="1"/>
      <w:marLeft w:val="0"/>
      <w:marRight w:val="0"/>
      <w:marTop w:val="0"/>
      <w:marBottom w:val="0"/>
      <w:divBdr>
        <w:top w:val="none" w:sz="0" w:space="0" w:color="auto"/>
        <w:left w:val="none" w:sz="0" w:space="0" w:color="auto"/>
        <w:bottom w:val="none" w:sz="0" w:space="0" w:color="auto"/>
        <w:right w:val="none" w:sz="0" w:space="0" w:color="auto"/>
      </w:divBdr>
    </w:div>
    <w:div w:id="113909095">
      <w:bodyDiv w:val="1"/>
      <w:marLeft w:val="0"/>
      <w:marRight w:val="0"/>
      <w:marTop w:val="0"/>
      <w:marBottom w:val="0"/>
      <w:divBdr>
        <w:top w:val="none" w:sz="0" w:space="0" w:color="auto"/>
        <w:left w:val="none" w:sz="0" w:space="0" w:color="auto"/>
        <w:bottom w:val="none" w:sz="0" w:space="0" w:color="auto"/>
        <w:right w:val="none" w:sz="0" w:space="0" w:color="auto"/>
      </w:divBdr>
    </w:div>
    <w:div w:id="114178274">
      <w:bodyDiv w:val="1"/>
      <w:marLeft w:val="0"/>
      <w:marRight w:val="0"/>
      <w:marTop w:val="0"/>
      <w:marBottom w:val="0"/>
      <w:divBdr>
        <w:top w:val="none" w:sz="0" w:space="0" w:color="auto"/>
        <w:left w:val="none" w:sz="0" w:space="0" w:color="auto"/>
        <w:bottom w:val="none" w:sz="0" w:space="0" w:color="auto"/>
        <w:right w:val="none" w:sz="0" w:space="0" w:color="auto"/>
      </w:divBdr>
    </w:div>
    <w:div w:id="117187817">
      <w:bodyDiv w:val="1"/>
      <w:marLeft w:val="0"/>
      <w:marRight w:val="0"/>
      <w:marTop w:val="0"/>
      <w:marBottom w:val="0"/>
      <w:divBdr>
        <w:top w:val="none" w:sz="0" w:space="0" w:color="auto"/>
        <w:left w:val="none" w:sz="0" w:space="0" w:color="auto"/>
        <w:bottom w:val="none" w:sz="0" w:space="0" w:color="auto"/>
        <w:right w:val="none" w:sz="0" w:space="0" w:color="auto"/>
      </w:divBdr>
    </w:div>
    <w:div w:id="117919741">
      <w:bodyDiv w:val="1"/>
      <w:marLeft w:val="0"/>
      <w:marRight w:val="0"/>
      <w:marTop w:val="0"/>
      <w:marBottom w:val="0"/>
      <w:divBdr>
        <w:top w:val="none" w:sz="0" w:space="0" w:color="auto"/>
        <w:left w:val="none" w:sz="0" w:space="0" w:color="auto"/>
        <w:bottom w:val="none" w:sz="0" w:space="0" w:color="auto"/>
        <w:right w:val="none" w:sz="0" w:space="0" w:color="auto"/>
      </w:divBdr>
    </w:div>
    <w:div w:id="117964899">
      <w:bodyDiv w:val="1"/>
      <w:marLeft w:val="0"/>
      <w:marRight w:val="0"/>
      <w:marTop w:val="0"/>
      <w:marBottom w:val="0"/>
      <w:divBdr>
        <w:top w:val="none" w:sz="0" w:space="0" w:color="auto"/>
        <w:left w:val="none" w:sz="0" w:space="0" w:color="auto"/>
        <w:bottom w:val="none" w:sz="0" w:space="0" w:color="auto"/>
        <w:right w:val="none" w:sz="0" w:space="0" w:color="auto"/>
      </w:divBdr>
    </w:div>
    <w:div w:id="118691468">
      <w:bodyDiv w:val="1"/>
      <w:marLeft w:val="0"/>
      <w:marRight w:val="0"/>
      <w:marTop w:val="0"/>
      <w:marBottom w:val="0"/>
      <w:divBdr>
        <w:top w:val="none" w:sz="0" w:space="0" w:color="auto"/>
        <w:left w:val="none" w:sz="0" w:space="0" w:color="auto"/>
        <w:bottom w:val="none" w:sz="0" w:space="0" w:color="auto"/>
        <w:right w:val="none" w:sz="0" w:space="0" w:color="auto"/>
      </w:divBdr>
    </w:div>
    <w:div w:id="119032522">
      <w:bodyDiv w:val="1"/>
      <w:marLeft w:val="0"/>
      <w:marRight w:val="0"/>
      <w:marTop w:val="0"/>
      <w:marBottom w:val="0"/>
      <w:divBdr>
        <w:top w:val="none" w:sz="0" w:space="0" w:color="auto"/>
        <w:left w:val="none" w:sz="0" w:space="0" w:color="auto"/>
        <w:bottom w:val="none" w:sz="0" w:space="0" w:color="auto"/>
        <w:right w:val="none" w:sz="0" w:space="0" w:color="auto"/>
      </w:divBdr>
    </w:div>
    <w:div w:id="119342792">
      <w:bodyDiv w:val="1"/>
      <w:marLeft w:val="0"/>
      <w:marRight w:val="0"/>
      <w:marTop w:val="0"/>
      <w:marBottom w:val="0"/>
      <w:divBdr>
        <w:top w:val="none" w:sz="0" w:space="0" w:color="auto"/>
        <w:left w:val="none" w:sz="0" w:space="0" w:color="auto"/>
        <w:bottom w:val="none" w:sz="0" w:space="0" w:color="auto"/>
        <w:right w:val="none" w:sz="0" w:space="0" w:color="auto"/>
      </w:divBdr>
    </w:div>
    <w:div w:id="119349496">
      <w:bodyDiv w:val="1"/>
      <w:marLeft w:val="0"/>
      <w:marRight w:val="0"/>
      <w:marTop w:val="0"/>
      <w:marBottom w:val="0"/>
      <w:divBdr>
        <w:top w:val="none" w:sz="0" w:space="0" w:color="auto"/>
        <w:left w:val="none" w:sz="0" w:space="0" w:color="auto"/>
        <w:bottom w:val="none" w:sz="0" w:space="0" w:color="auto"/>
        <w:right w:val="none" w:sz="0" w:space="0" w:color="auto"/>
      </w:divBdr>
    </w:div>
    <w:div w:id="120805330">
      <w:bodyDiv w:val="1"/>
      <w:marLeft w:val="0"/>
      <w:marRight w:val="0"/>
      <w:marTop w:val="0"/>
      <w:marBottom w:val="0"/>
      <w:divBdr>
        <w:top w:val="none" w:sz="0" w:space="0" w:color="auto"/>
        <w:left w:val="none" w:sz="0" w:space="0" w:color="auto"/>
        <w:bottom w:val="none" w:sz="0" w:space="0" w:color="auto"/>
        <w:right w:val="none" w:sz="0" w:space="0" w:color="auto"/>
      </w:divBdr>
    </w:div>
    <w:div w:id="125860367">
      <w:bodyDiv w:val="1"/>
      <w:marLeft w:val="0"/>
      <w:marRight w:val="0"/>
      <w:marTop w:val="0"/>
      <w:marBottom w:val="0"/>
      <w:divBdr>
        <w:top w:val="none" w:sz="0" w:space="0" w:color="auto"/>
        <w:left w:val="none" w:sz="0" w:space="0" w:color="auto"/>
        <w:bottom w:val="none" w:sz="0" w:space="0" w:color="auto"/>
        <w:right w:val="none" w:sz="0" w:space="0" w:color="auto"/>
      </w:divBdr>
    </w:div>
    <w:div w:id="125897011">
      <w:bodyDiv w:val="1"/>
      <w:marLeft w:val="0"/>
      <w:marRight w:val="0"/>
      <w:marTop w:val="0"/>
      <w:marBottom w:val="0"/>
      <w:divBdr>
        <w:top w:val="none" w:sz="0" w:space="0" w:color="auto"/>
        <w:left w:val="none" w:sz="0" w:space="0" w:color="auto"/>
        <w:bottom w:val="none" w:sz="0" w:space="0" w:color="auto"/>
        <w:right w:val="none" w:sz="0" w:space="0" w:color="auto"/>
      </w:divBdr>
    </w:div>
    <w:div w:id="126824634">
      <w:bodyDiv w:val="1"/>
      <w:marLeft w:val="0"/>
      <w:marRight w:val="0"/>
      <w:marTop w:val="0"/>
      <w:marBottom w:val="0"/>
      <w:divBdr>
        <w:top w:val="none" w:sz="0" w:space="0" w:color="auto"/>
        <w:left w:val="none" w:sz="0" w:space="0" w:color="auto"/>
        <w:bottom w:val="none" w:sz="0" w:space="0" w:color="auto"/>
        <w:right w:val="none" w:sz="0" w:space="0" w:color="auto"/>
      </w:divBdr>
    </w:div>
    <w:div w:id="127868516">
      <w:bodyDiv w:val="1"/>
      <w:marLeft w:val="0"/>
      <w:marRight w:val="0"/>
      <w:marTop w:val="0"/>
      <w:marBottom w:val="0"/>
      <w:divBdr>
        <w:top w:val="none" w:sz="0" w:space="0" w:color="auto"/>
        <w:left w:val="none" w:sz="0" w:space="0" w:color="auto"/>
        <w:bottom w:val="none" w:sz="0" w:space="0" w:color="auto"/>
        <w:right w:val="none" w:sz="0" w:space="0" w:color="auto"/>
      </w:divBdr>
    </w:div>
    <w:div w:id="128255265">
      <w:bodyDiv w:val="1"/>
      <w:marLeft w:val="0"/>
      <w:marRight w:val="0"/>
      <w:marTop w:val="0"/>
      <w:marBottom w:val="0"/>
      <w:divBdr>
        <w:top w:val="none" w:sz="0" w:space="0" w:color="auto"/>
        <w:left w:val="none" w:sz="0" w:space="0" w:color="auto"/>
        <w:bottom w:val="none" w:sz="0" w:space="0" w:color="auto"/>
        <w:right w:val="none" w:sz="0" w:space="0" w:color="auto"/>
      </w:divBdr>
    </w:div>
    <w:div w:id="129057218">
      <w:bodyDiv w:val="1"/>
      <w:marLeft w:val="0"/>
      <w:marRight w:val="0"/>
      <w:marTop w:val="0"/>
      <w:marBottom w:val="0"/>
      <w:divBdr>
        <w:top w:val="none" w:sz="0" w:space="0" w:color="auto"/>
        <w:left w:val="none" w:sz="0" w:space="0" w:color="auto"/>
        <w:bottom w:val="none" w:sz="0" w:space="0" w:color="auto"/>
        <w:right w:val="none" w:sz="0" w:space="0" w:color="auto"/>
      </w:divBdr>
    </w:div>
    <w:div w:id="131606706">
      <w:bodyDiv w:val="1"/>
      <w:marLeft w:val="0"/>
      <w:marRight w:val="0"/>
      <w:marTop w:val="0"/>
      <w:marBottom w:val="0"/>
      <w:divBdr>
        <w:top w:val="none" w:sz="0" w:space="0" w:color="auto"/>
        <w:left w:val="none" w:sz="0" w:space="0" w:color="auto"/>
        <w:bottom w:val="none" w:sz="0" w:space="0" w:color="auto"/>
        <w:right w:val="none" w:sz="0" w:space="0" w:color="auto"/>
      </w:divBdr>
    </w:div>
    <w:div w:id="132211694">
      <w:bodyDiv w:val="1"/>
      <w:marLeft w:val="0"/>
      <w:marRight w:val="0"/>
      <w:marTop w:val="0"/>
      <w:marBottom w:val="0"/>
      <w:divBdr>
        <w:top w:val="none" w:sz="0" w:space="0" w:color="auto"/>
        <w:left w:val="none" w:sz="0" w:space="0" w:color="auto"/>
        <w:bottom w:val="none" w:sz="0" w:space="0" w:color="auto"/>
        <w:right w:val="none" w:sz="0" w:space="0" w:color="auto"/>
      </w:divBdr>
    </w:div>
    <w:div w:id="132454667">
      <w:bodyDiv w:val="1"/>
      <w:marLeft w:val="0"/>
      <w:marRight w:val="0"/>
      <w:marTop w:val="0"/>
      <w:marBottom w:val="0"/>
      <w:divBdr>
        <w:top w:val="none" w:sz="0" w:space="0" w:color="auto"/>
        <w:left w:val="none" w:sz="0" w:space="0" w:color="auto"/>
        <w:bottom w:val="none" w:sz="0" w:space="0" w:color="auto"/>
        <w:right w:val="none" w:sz="0" w:space="0" w:color="auto"/>
      </w:divBdr>
    </w:div>
    <w:div w:id="133639243">
      <w:bodyDiv w:val="1"/>
      <w:marLeft w:val="0"/>
      <w:marRight w:val="0"/>
      <w:marTop w:val="0"/>
      <w:marBottom w:val="0"/>
      <w:divBdr>
        <w:top w:val="none" w:sz="0" w:space="0" w:color="auto"/>
        <w:left w:val="none" w:sz="0" w:space="0" w:color="auto"/>
        <w:bottom w:val="none" w:sz="0" w:space="0" w:color="auto"/>
        <w:right w:val="none" w:sz="0" w:space="0" w:color="auto"/>
      </w:divBdr>
    </w:div>
    <w:div w:id="136653103">
      <w:bodyDiv w:val="1"/>
      <w:marLeft w:val="0"/>
      <w:marRight w:val="0"/>
      <w:marTop w:val="0"/>
      <w:marBottom w:val="0"/>
      <w:divBdr>
        <w:top w:val="none" w:sz="0" w:space="0" w:color="auto"/>
        <w:left w:val="none" w:sz="0" w:space="0" w:color="auto"/>
        <w:bottom w:val="none" w:sz="0" w:space="0" w:color="auto"/>
        <w:right w:val="none" w:sz="0" w:space="0" w:color="auto"/>
      </w:divBdr>
    </w:div>
    <w:div w:id="137186373">
      <w:bodyDiv w:val="1"/>
      <w:marLeft w:val="0"/>
      <w:marRight w:val="0"/>
      <w:marTop w:val="0"/>
      <w:marBottom w:val="0"/>
      <w:divBdr>
        <w:top w:val="none" w:sz="0" w:space="0" w:color="auto"/>
        <w:left w:val="none" w:sz="0" w:space="0" w:color="auto"/>
        <w:bottom w:val="none" w:sz="0" w:space="0" w:color="auto"/>
        <w:right w:val="none" w:sz="0" w:space="0" w:color="auto"/>
      </w:divBdr>
    </w:div>
    <w:div w:id="137460935">
      <w:bodyDiv w:val="1"/>
      <w:marLeft w:val="0"/>
      <w:marRight w:val="0"/>
      <w:marTop w:val="0"/>
      <w:marBottom w:val="0"/>
      <w:divBdr>
        <w:top w:val="none" w:sz="0" w:space="0" w:color="auto"/>
        <w:left w:val="none" w:sz="0" w:space="0" w:color="auto"/>
        <w:bottom w:val="none" w:sz="0" w:space="0" w:color="auto"/>
        <w:right w:val="none" w:sz="0" w:space="0" w:color="auto"/>
      </w:divBdr>
    </w:div>
    <w:div w:id="139152893">
      <w:bodyDiv w:val="1"/>
      <w:marLeft w:val="0"/>
      <w:marRight w:val="0"/>
      <w:marTop w:val="0"/>
      <w:marBottom w:val="0"/>
      <w:divBdr>
        <w:top w:val="none" w:sz="0" w:space="0" w:color="auto"/>
        <w:left w:val="none" w:sz="0" w:space="0" w:color="auto"/>
        <w:bottom w:val="none" w:sz="0" w:space="0" w:color="auto"/>
        <w:right w:val="none" w:sz="0" w:space="0" w:color="auto"/>
      </w:divBdr>
    </w:div>
    <w:div w:id="139200099">
      <w:bodyDiv w:val="1"/>
      <w:marLeft w:val="0"/>
      <w:marRight w:val="0"/>
      <w:marTop w:val="0"/>
      <w:marBottom w:val="0"/>
      <w:divBdr>
        <w:top w:val="none" w:sz="0" w:space="0" w:color="auto"/>
        <w:left w:val="none" w:sz="0" w:space="0" w:color="auto"/>
        <w:bottom w:val="none" w:sz="0" w:space="0" w:color="auto"/>
        <w:right w:val="none" w:sz="0" w:space="0" w:color="auto"/>
      </w:divBdr>
    </w:div>
    <w:div w:id="139732478">
      <w:bodyDiv w:val="1"/>
      <w:marLeft w:val="0"/>
      <w:marRight w:val="0"/>
      <w:marTop w:val="0"/>
      <w:marBottom w:val="0"/>
      <w:divBdr>
        <w:top w:val="none" w:sz="0" w:space="0" w:color="auto"/>
        <w:left w:val="none" w:sz="0" w:space="0" w:color="auto"/>
        <w:bottom w:val="none" w:sz="0" w:space="0" w:color="auto"/>
        <w:right w:val="none" w:sz="0" w:space="0" w:color="auto"/>
      </w:divBdr>
    </w:div>
    <w:div w:id="140663109">
      <w:bodyDiv w:val="1"/>
      <w:marLeft w:val="0"/>
      <w:marRight w:val="0"/>
      <w:marTop w:val="0"/>
      <w:marBottom w:val="0"/>
      <w:divBdr>
        <w:top w:val="none" w:sz="0" w:space="0" w:color="auto"/>
        <w:left w:val="none" w:sz="0" w:space="0" w:color="auto"/>
        <w:bottom w:val="none" w:sz="0" w:space="0" w:color="auto"/>
        <w:right w:val="none" w:sz="0" w:space="0" w:color="auto"/>
      </w:divBdr>
    </w:div>
    <w:div w:id="142039978">
      <w:bodyDiv w:val="1"/>
      <w:marLeft w:val="0"/>
      <w:marRight w:val="0"/>
      <w:marTop w:val="0"/>
      <w:marBottom w:val="0"/>
      <w:divBdr>
        <w:top w:val="none" w:sz="0" w:space="0" w:color="auto"/>
        <w:left w:val="none" w:sz="0" w:space="0" w:color="auto"/>
        <w:bottom w:val="none" w:sz="0" w:space="0" w:color="auto"/>
        <w:right w:val="none" w:sz="0" w:space="0" w:color="auto"/>
      </w:divBdr>
    </w:div>
    <w:div w:id="143276708">
      <w:bodyDiv w:val="1"/>
      <w:marLeft w:val="0"/>
      <w:marRight w:val="0"/>
      <w:marTop w:val="0"/>
      <w:marBottom w:val="0"/>
      <w:divBdr>
        <w:top w:val="none" w:sz="0" w:space="0" w:color="auto"/>
        <w:left w:val="none" w:sz="0" w:space="0" w:color="auto"/>
        <w:bottom w:val="none" w:sz="0" w:space="0" w:color="auto"/>
        <w:right w:val="none" w:sz="0" w:space="0" w:color="auto"/>
      </w:divBdr>
    </w:div>
    <w:div w:id="143468809">
      <w:bodyDiv w:val="1"/>
      <w:marLeft w:val="0"/>
      <w:marRight w:val="0"/>
      <w:marTop w:val="0"/>
      <w:marBottom w:val="0"/>
      <w:divBdr>
        <w:top w:val="none" w:sz="0" w:space="0" w:color="auto"/>
        <w:left w:val="none" w:sz="0" w:space="0" w:color="auto"/>
        <w:bottom w:val="none" w:sz="0" w:space="0" w:color="auto"/>
        <w:right w:val="none" w:sz="0" w:space="0" w:color="auto"/>
      </w:divBdr>
    </w:div>
    <w:div w:id="143858974">
      <w:bodyDiv w:val="1"/>
      <w:marLeft w:val="0"/>
      <w:marRight w:val="0"/>
      <w:marTop w:val="0"/>
      <w:marBottom w:val="0"/>
      <w:divBdr>
        <w:top w:val="none" w:sz="0" w:space="0" w:color="auto"/>
        <w:left w:val="none" w:sz="0" w:space="0" w:color="auto"/>
        <w:bottom w:val="none" w:sz="0" w:space="0" w:color="auto"/>
        <w:right w:val="none" w:sz="0" w:space="0" w:color="auto"/>
      </w:divBdr>
    </w:div>
    <w:div w:id="143982600">
      <w:bodyDiv w:val="1"/>
      <w:marLeft w:val="0"/>
      <w:marRight w:val="0"/>
      <w:marTop w:val="0"/>
      <w:marBottom w:val="0"/>
      <w:divBdr>
        <w:top w:val="none" w:sz="0" w:space="0" w:color="auto"/>
        <w:left w:val="none" w:sz="0" w:space="0" w:color="auto"/>
        <w:bottom w:val="none" w:sz="0" w:space="0" w:color="auto"/>
        <w:right w:val="none" w:sz="0" w:space="0" w:color="auto"/>
      </w:divBdr>
    </w:div>
    <w:div w:id="144400654">
      <w:bodyDiv w:val="1"/>
      <w:marLeft w:val="0"/>
      <w:marRight w:val="0"/>
      <w:marTop w:val="0"/>
      <w:marBottom w:val="0"/>
      <w:divBdr>
        <w:top w:val="none" w:sz="0" w:space="0" w:color="auto"/>
        <w:left w:val="none" w:sz="0" w:space="0" w:color="auto"/>
        <w:bottom w:val="none" w:sz="0" w:space="0" w:color="auto"/>
        <w:right w:val="none" w:sz="0" w:space="0" w:color="auto"/>
      </w:divBdr>
    </w:div>
    <w:div w:id="145321767">
      <w:bodyDiv w:val="1"/>
      <w:marLeft w:val="0"/>
      <w:marRight w:val="0"/>
      <w:marTop w:val="0"/>
      <w:marBottom w:val="0"/>
      <w:divBdr>
        <w:top w:val="none" w:sz="0" w:space="0" w:color="auto"/>
        <w:left w:val="none" w:sz="0" w:space="0" w:color="auto"/>
        <w:bottom w:val="none" w:sz="0" w:space="0" w:color="auto"/>
        <w:right w:val="none" w:sz="0" w:space="0" w:color="auto"/>
      </w:divBdr>
    </w:div>
    <w:div w:id="145516921">
      <w:bodyDiv w:val="1"/>
      <w:marLeft w:val="0"/>
      <w:marRight w:val="0"/>
      <w:marTop w:val="0"/>
      <w:marBottom w:val="0"/>
      <w:divBdr>
        <w:top w:val="none" w:sz="0" w:space="0" w:color="auto"/>
        <w:left w:val="none" w:sz="0" w:space="0" w:color="auto"/>
        <w:bottom w:val="none" w:sz="0" w:space="0" w:color="auto"/>
        <w:right w:val="none" w:sz="0" w:space="0" w:color="auto"/>
      </w:divBdr>
    </w:div>
    <w:div w:id="145703176">
      <w:bodyDiv w:val="1"/>
      <w:marLeft w:val="0"/>
      <w:marRight w:val="0"/>
      <w:marTop w:val="0"/>
      <w:marBottom w:val="0"/>
      <w:divBdr>
        <w:top w:val="none" w:sz="0" w:space="0" w:color="auto"/>
        <w:left w:val="none" w:sz="0" w:space="0" w:color="auto"/>
        <w:bottom w:val="none" w:sz="0" w:space="0" w:color="auto"/>
        <w:right w:val="none" w:sz="0" w:space="0" w:color="auto"/>
      </w:divBdr>
    </w:div>
    <w:div w:id="146633394">
      <w:bodyDiv w:val="1"/>
      <w:marLeft w:val="0"/>
      <w:marRight w:val="0"/>
      <w:marTop w:val="0"/>
      <w:marBottom w:val="0"/>
      <w:divBdr>
        <w:top w:val="none" w:sz="0" w:space="0" w:color="auto"/>
        <w:left w:val="none" w:sz="0" w:space="0" w:color="auto"/>
        <w:bottom w:val="none" w:sz="0" w:space="0" w:color="auto"/>
        <w:right w:val="none" w:sz="0" w:space="0" w:color="auto"/>
      </w:divBdr>
    </w:div>
    <w:div w:id="147065447">
      <w:bodyDiv w:val="1"/>
      <w:marLeft w:val="0"/>
      <w:marRight w:val="0"/>
      <w:marTop w:val="0"/>
      <w:marBottom w:val="0"/>
      <w:divBdr>
        <w:top w:val="none" w:sz="0" w:space="0" w:color="auto"/>
        <w:left w:val="none" w:sz="0" w:space="0" w:color="auto"/>
        <w:bottom w:val="none" w:sz="0" w:space="0" w:color="auto"/>
        <w:right w:val="none" w:sz="0" w:space="0" w:color="auto"/>
      </w:divBdr>
    </w:div>
    <w:div w:id="147132887">
      <w:bodyDiv w:val="1"/>
      <w:marLeft w:val="0"/>
      <w:marRight w:val="0"/>
      <w:marTop w:val="0"/>
      <w:marBottom w:val="0"/>
      <w:divBdr>
        <w:top w:val="none" w:sz="0" w:space="0" w:color="auto"/>
        <w:left w:val="none" w:sz="0" w:space="0" w:color="auto"/>
        <w:bottom w:val="none" w:sz="0" w:space="0" w:color="auto"/>
        <w:right w:val="none" w:sz="0" w:space="0" w:color="auto"/>
      </w:divBdr>
    </w:div>
    <w:div w:id="147214191">
      <w:bodyDiv w:val="1"/>
      <w:marLeft w:val="0"/>
      <w:marRight w:val="0"/>
      <w:marTop w:val="0"/>
      <w:marBottom w:val="0"/>
      <w:divBdr>
        <w:top w:val="none" w:sz="0" w:space="0" w:color="auto"/>
        <w:left w:val="none" w:sz="0" w:space="0" w:color="auto"/>
        <w:bottom w:val="none" w:sz="0" w:space="0" w:color="auto"/>
        <w:right w:val="none" w:sz="0" w:space="0" w:color="auto"/>
      </w:divBdr>
    </w:div>
    <w:div w:id="149712845">
      <w:bodyDiv w:val="1"/>
      <w:marLeft w:val="0"/>
      <w:marRight w:val="0"/>
      <w:marTop w:val="0"/>
      <w:marBottom w:val="0"/>
      <w:divBdr>
        <w:top w:val="none" w:sz="0" w:space="0" w:color="auto"/>
        <w:left w:val="none" w:sz="0" w:space="0" w:color="auto"/>
        <w:bottom w:val="none" w:sz="0" w:space="0" w:color="auto"/>
        <w:right w:val="none" w:sz="0" w:space="0" w:color="auto"/>
      </w:divBdr>
    </w:div>
    <w:div w:id="149752561">
      <w:bodyDiv w:val="1"/>
      <w:marLeft w:val="0"/>
      <w:marRight w:val="0"/>
      <w:marTop w:val="0"/>
      <w:marBottom w:val="0"/>
      <w:divBdr>
        <w:top w:val="none" w:sz="0" w:space="0" w:color="auto"/>
        <w:left w:val="none" w:sz="0" w:space="0" w:color="auto"/>
        <w:bottom w:val="none" w:sz="0" w:space="0" w:color="auto"/>
        <w:right w:val="none" w:sz="0" w:space="0" w:color="auto"/>
      </w:divBdr>
    </w:div>
    <w:div w:id="150944938">
      <w:bodyDiv w:val="1"/>
      <w:marLeft w:val="0"/>
      <w:marRight w:val="0"/>
      <w:marTop w:val="0"/>
      <w:marBottom w:val="0"/>
      <w:divBdr>
        <w:top w:val="none" w:sz="0" w:space="0" w:color="auto"/>
        <w:left w:val="none" w:sz="0" w:space="0" w:color="auto"/>
        <w:bottom w:val="none" w:sz="0" w:space="0" w:color="auto"/>
        <w:right w:val="none" w:sz="0" w:space="0" w:color="auto"/>
      </w:divBdr>
    </w:div>
    <w:div w:id="152380645">
      <w:bodyDiv w:val="1"/>
      <w:marLeft w:val="0"/>
      <w:marRight w:val="0"/>
      <w:marTop w:val="0"/>
      <w:marBottom w:val="0"/>
      <w:divBdr>
        <w:top w:val="none" w:sz="0" w:space="0" w:color="auto"/>
        <w:left w:val="none" w:sz="0" w:space="0" w:color="auto"/>
        <w:bottom w:val="none" w:sz="0" w:space="0" w:color="auto"/>
        <w:right w:val="none" w:sz="0" w:space="0" w:color="auto"/>
      </w:divBdr>
    </w:div>
    <w:div w:id="153228074">
      <w:bodyDiv w:val="1"/>
      <w:marLeft w:val="0"/>
      <w:marRight w:val="0"/>
      <w:marTop w:val="0"/>
      <w:marBottom w:val="0"/>
      <w:divBdr>
        <w:top w:val="none" w:sz="0" w:space="0" w:color="auto"/>
        <w:left w:val="none" w:sz="0" w:space="0" w:color="auto"/>
        <w:bottom w:val="none" w:sz="0" w:space="0" w:color="auto"/>
        <w:right w:val="none" w:sz="0" w:space="0" w:color="auto"/>
      </w:divBdr>
    </w:div>
    <w:div w:id="153228718">
      <w:bodyDiv w:val="1"/>
      <w:marLeft w:val="0"/>
      <w:marRight w:val="0"/>
      <w:marTop w:val="0"/>
      <w:marBottom w:val="0"/>
      <w:divBdr>
        <w:top w:val="none" w:sz="0" w:space="0" w:color="auto"/>
        <w:left w:val="none" w:sz="0" w:space="0" w:color="auto"/>
        <w:bottom w:val="none" w:sz="0" w:space="0" w:color="auto"/>
        <w:right w:val="none" w:sz="0" w:space="0" w:color="auto"/>
      </w:divBdr>
    </w:div>
    <w:div w:id="153647010">
      <w:bodyDiv w:val="1"/>
      <w:marLeft w:val="0"/>
      <w:marRight w:val="0"/>
      <w:marTop w:val="0"/>
      <w:marBottom w:val="0"/>
      <w:divBdr>
        <w:top w:val="none" w:sz="0" w:space="0" w:color="auto"/>
        <w:left w:val="none" w:sz="0" w:space="0" w:color="auto"/>
        <w:bottom w:val="none" w:sz="0" w:space="0" w:color="auto"/>
        <w:right w:val="none" w:sz="0" w:space="0" w:color="auto"/>
      </w:divBdr>
    </w:div>
    <w:div w:id="155463222">
      <w:bodyDiv w:val="1"/>
      <w:marLeft w:val="0"/>
      <w:marRight w:val="0"/>
      <w:marTop w:val="0"/>
      <w:marBottom w:val="0"/>
      <w:divBdr>
        <w:top w:val="none" w:sz="0" w:space="0" w:color="auto"/>
        <w:left w:val="none" w:sz="0" w:space="0" w:color="auto"/>
        <w:bottom w:val="none" w:sz="0" w:space="0" w:color="auto"/>
        <w:right w:val="none" w:sz="0" w:space="0" w:color="auto"/>
      </w:divBdr>
    </w:div>
    <w:div w:id="156726180">
      <w:bodyDiv w:val="1"/>
      <w:marLeft w:val="0"/>
      <w:marRight w:val="0"/>
      <w:marTop w:val="0"/>
      <w:marBottom w:val="0"/>
      <w:divBdr>
        <w:top w:val="none" w:sz="0" w:space="0" w:color="auto"/>
        <w:left w:val="none" w:sz="0" w:space="0" w:color="auto"/>
        <w:bottom w:val="none" w:sz="0" w:space="0" w:color="auto"/>
        <w:right w:val="none" w:sz="0" w:space="0" w:color="auto"/>
      </w:divBdr>
    </w:div>
    <w:div w:id="156922507">
      <w:bodyDiv w:val="1"/>
      <w:marLeft w:val="0"/>
      <w:marRight w:val="0"/>
      <w:marTop w:val="0"/>
      <w:marBottom w:val="0"/>
      <w:divBdr>
        <w:top w:val="none" w:sz="0" w:space="0" w:color="auto"/>
        <w:left w:val="none" w:sz="0" w:space="0" w:color="auto"/>
        <w:bottom w:val="none" w:sz="0" w:space="0" w:color="auto"/>
        <w:right w:val="none" w:sz="0" w:space="0" w:color="auto"/>
      </w:divBdr>
    </w:div>
    <w:div w:id="157044172">
      <w:bodyDiv w:val="1"/>
      <w:marLeft w:val="0"/>
      <w:marRight w:val="0"/>
      <w:marTop w:val="0"/>
      <w:marBottom w:val="0"/>
      <w:divBdr>
        <w:top w:val="none" w:sz="0" w:space="0" w:color="auto"/>
        <w:left w:val="none" w:sz="0" w:space="0" w:color="auto"/>
        <w:bottom w:val="none" w:sz="0" w:space="0" w:color="auto"/>
        <w:right w:val="none" w:sz="0" w:space="0" w:color="auto"/>
      </w:divBdr>
    </w:div>
    <w:div w:id="157549685">
      <w:bodyDiv w:val="1"/>
      <w:marLeft w:val="0"/>
      <w:marRight w:val="0"/>
      <w:marTop w:val="0"/>
      <w:marBottom w:val="0"/>
      <w:divBdr>
        <w:top w:val="none" w:sz="0" w:space="0" w:color="auto"/>
        <w:left w:val="none" w:sz="0" w:space="0" w:color="auto"/>
        <w:bottom w:val="none" w:sz="0" w:space="0" w:color="auto"/>
        <w:right w:val="none" w:sz="0" w:space="0" w:color="auto"/>
      </w:divBdr>
    </w:div>
    <w:div w:id="161512888">
      <w:bodyDiv w:val="1"/>
      <w:marLeft w:val="0"/>
      <w:marRight w:val="0"/>
      <w:marTop w:val="0"/>
      <w:marBottom w:val="0"/>
      <w:divBdr>
        <w:top w:val="none" w:sz="0" w:space="0" w:color="auto"/>
        <w:left w:val="none" w:sz="0" w:space="0" w:color="auto"/>
        <w:bottom w:val="none" w:sz="0" w:space="0" w:color="auto"/>
        <w:right w:val="none" w:sz="0" w:space="0" w:color="auto"/>
      </w:divBdr>
    </w:div>
    <w:div w:id="162818852">
      <w:bodyDiv w:val="1"/>
      <w:marLeft w:val="0"/>
      <w:marRight w:val="0"/>
      <w:marTop w:val="0"/>
      <w:marBottom w:val="0"/>
      <w:divBdr>
        <w:top w:val="none" w:sz="0" w:space="0" w:color="auto"/>
        <w:left w:val="none" w:sz="0" w:space="0" w:color="auto"/>
        <w:bottom w:val="none" w:sz="0" w:space="0" w:color="auto"/>
        <w:right w:val="none" w:sz="0" w:space="0" w:color="auto"/>
      </w:divBdr>
    </w:div>
    <w:div w:id="163323641">
      <w:bodyDiv w:val="1"/>
      <w:marLeft w:val="0"/>
      <w:marRight w:val="0"/>
      <w:marTop w:val="0"/>
      <w:marBottom w:val="0"/>
      <w:divBdr>
        <w:top w:val="none" w:sz="0" w:space="0" w:color="auto"/>
        <w:left w:val="none" w:sz="0" w:space="0" w:color="auto"/>
        <w:bottom w:val="none" w:sz="0" w:space="0" w:color="auto"/>
        <w:right w:val="none" w:sz="0" w:space="0" w:color="auto"/>
      </w:divBdr>
    </w:div>
    <w:div w:id="163520560">
      <w:bodyDiv w:val="1"/>
      <w:marLeft w:val="0"/>
      <w:marRight w:val="0"/>
      <w:marTop w:val="0"/>
      <w:marBottom w:val="0"/>
      <w:divBdr>
        <w:top w:val="none" w:sz="0" w:space="0" w:color="auto"/>
        <w:left w:val="none" w:sz="0" w:space="0" w:color="auto"/>
        <w:bottom w:val="none" w:sz="0" w:space="0" w:color="auto"/>
        <w:right w:val="none" w:sz="0" w:space="0" w:color="auto"/>
      </w:divBdr>
    </w:div>
    <w:div w:id="163666226">
      <w:bodyDiv w:val="1"/>
      <w:marLeft w:val="0"/>
      <w:marRight w:val="0"/>
      <w:marTop w:val="0"/>
      <w:marBottom w:val="0"/>
      <w:divBdr>
        <w:top w:val="none" w:sz="0" w:space="0" w:color="auto"/>
        <w:left w:val="none" w:sz="0" w:space="0" w:color="auto"/>
        <w:bottom w:val="none" w:sz="0" w:space="0" w:color="auto"/>
        <w:right w:val="none" w:sz="0" w:space="0" w:color="auto"/>
      </w:divBdr>
    </w:div>
    <w:div w:id="163712828">
      <w:bodyDiv w:val="1"/>
      <w:marLeft w:val="0"/>
      <w:marRight w:val="0"/>
      <w:marTop w:val="0"/>
      <w:marBottom w:val="0"/>
      <w:divBdr>
        <w:top w:val="none" w:sz="0" w:space="0" w:color="auto"/>
        <w:left w:val="none" w:sz="0" w:space="0" w:color="auto"/>
        <w:bottom w:val="none" w:sz="0" w:space="0" w:color="auto"/>
        <w:right w:val="none" w:sz="0" w:space="0" w:color="auto"/>
      </w:divBdr>
    </w:div>
    <w:div w:id="164367792">
      <w:bodyDiv w:val="1"/>
      <w:marLeft w:val="0"/>
      <w:marRight w:val="0"/>
      <w:marTop w:val="0"/>
      <w:marBottom w:val="0"/>
      <w:divBdr>
        <w:top w:val="none" w:sz="0" w:space="0" w:color="auto"/>
        <w:left w:val="none" w:sz="0" w:space="0" w:color="auto"/>
        <w:bottom w:val="none" w:sz="0" w:space="0" w:color="auto"/>
        <w:right w:val="none" w:sz="0" w:space="0" w:color="auto"/>
      </w:divBdr>
    </w:div>
    <w:div w:id="164518728">
      <w:bodyDiv w:val="1"/>
      <w:marLeft w:val="0"/>
      <w:marRight w:val="0"/>
      <w:marTop w:val="0"/>
      <w:marBottom w:val="0"/>
      <w:divBdr>
        <w:top w:val="none" w:sz="0" w:space="0" w:color="auto"/>
        <w:left w:val="none" w:sz="0" w:space="0" w:color="auto"/>
        <w:bottom w:val="none" w:sz="0" w:space="0" w:color="auto"/>
        <w:right w:val="none" w:sz="0" w:space="0" w:color="auto"/>
      </w:divBdr>
    </w:div>
    <w:div w:id="165247616">
      <w:bodyDiv w:val="1"/>
      <w:marLeft w:val="0"/>
      <w:marRight w:val="0"/>
      <w:marTop w:val="0"/>
      <w:marBottom w:val="0"/>
      <w:divBdr>
        <w:top w:val="none" w:sz="0" w:space="0" w:color="auto"/>
        <w:left w:val="none" w:sz="0" w:space="0" w:color="auto"/>
        <w:bottom w:val="none" w:sz="0" w:space="0" w:color="auto"/>
        <w:right w:val="none" w:sz="0" w:space="0" w:color="auto"/>
      </w:divBdr>
    </w:div>
    <w:div w:id="165365052">
      <w:bodyDiv w:val="1"/>
      <w:marLeft w:val="0"/>
      <w:marRight w:val="0"/>
      <w:marTop w:val="0"/>
      <w:marBottom w:val="0"/>
      <w:divBdr>
        <w:top w:val="none" w:sz="0" w:space="0" w:color="auto"/>
        <w:left w:val="none" w:sz="0" w:space="0" w:color="auto"/>
        <w:bottom w:val="none" w:sz="0" w:space="0" w:color="auto"/>
        <w:right w:val="none" w:sz="0" w:space="0" w:color="auto"/>
      </w:divBdr>
    </w:div>
    <w:div w:id="166868091">
      <w:bodyDiv w:val="1"/>
      <w:marLeft w:val="0"/>
      <w:marRight w:val="0"/>
      <w:marTop w:val="0"/>
      <w:marBottom w:val="0"/>
      <w:divBdr>
        <w:top w:val="none" w:sz="0" w:space="0" w:color="auto"/>
        <w:left w:val="none" w:sz="0" w:space="0" w:color="auto"/>
        <w:bottom w:val="none" w:sz="0" w:space="0" w:color="auto"/>
        <w:right w:val="none" w:sz="0" w:space="0" w:color="auto"/>
      </w:divBdr>
    </w:div>
    <w:div w:id="167141741">
      <w:bodyDiv w:val="1"/>
      <w:marLeft w:val="0"/>
      <w:marRight w:val="0"/>
      <w:marTop w:val="0"/>
      <w:marBottom w:val="0"/>
      <w:divBdr>
        <w:top w:val="none" w:sz="0" w:space="0" w:color="auto"/>
        <w:left w:val="none" w:sz="0" w:space="0" w:color="auto"/>
        <w:bottom w:val="none" w:sz="0" w:space="0" w:color="auto"/>
        <w:right w:val="none" w:sz="0" w:space="0" w:color="auto"/>
      </w:divBdr>
    </w:div>
    <w:div w:id="167596969">
      <w:bodyDiv w:val="1"/>
      <w:marLeft w:val="0"/>
      <w:marRight w:val="0"/>
      <w:marTop w:val="0"/>
      <w:marBottom w:val="0"/>
      <w:divBdr>
        <w:top w:val="none" w:sz="0" w:space="0" w:color="auto"/>
        <w:left w:val="none" w:sz="0" w:space="0" w:color="auto"/>
        <w:bottom w:val="none" w:sz="0" w:space="0" w:color="auto"/>
        <w:right w:val="none" w:sz="0" w:space="0" w:color="auto"/>
      </w:divBdr>
    </w:div>
    <w:div w:id="168059629">
      <w:bodyDiv w:val="1"/>
      <w:marLeft w:val="0"/>
      <w:marRight w:val="0"/>
      <w:marTop w:val="0"/>
      <w:marBottom w:val="0"/>
      <w:divBdr>
        <w:top w:val="none" w:sz="0" w:space="0" w:color="auto"/>
        <w:left w:val="none" w:sz="0" w:space="0" w:color="auto"/>
        <w:bottom w:val="none" w:sz="0" w:space="0" w:color="auto"/>
        <w:right w:val="none" w:sz="0" w:space="0" w:color="auto"/>
      </w:divBdr>
    </w:div>
    <w:div w:id="168715186">
      <w:bodyDiv w:val="1"/>
      <w:marLeft w:val="0"/>
      <w:marRight w:val="0"/>
      <w:marTop w:val="0"/>
      <w:marBottom w:val="0"/>
      <w:divBdr>
        <w:top w:val="none" w:sz="0" w:space="0" w:color="auto"/>
        <w:left w:val="none" w:sz="0" w:space="0" w:color="auto"/>
        <w:bottom w:val="none" w:sz="0" w:space="0" w:color="auto"/>
        <w:right w:val="none" w:sz="0" w:space="0" w:color="auto"/>
      </w:divBdr>
    </w:div>
    <w:div w:id="168760804">
      <w:bodyDiv w:val="1"/>
      <w:marLeft w:val="0"/>
      <w:marRight w:val="0"/>
      <w:marTop w:val="0"/>
      <w:marBottom w:val="0"/>
      <w:divBdr>
        <w:top w:val="none" w:sz="0" w:space="0" w:color="auto"/>
        <w:left w:val="none" w:sz="0" w:space="0" w:color="auto"/>
        <w:bottom w:val="none" w:sz="0" w:space="0" w:color="auto"/>
        <w:right w:val="none" w:sz="0" w:space="0" w:color="auto"/>
      </w:divBdr>
    </w:div>
    <w:div w:id="170412187">
      <w:bodyDiv w:val="1"/>
      <w:marLeft w:val="0"/>
      <w:marRight w:val="0"/>
      <w:marTop w:val="0"/>
      <w:marBottom w:val="0"/>
      <w:divBdr>
        <w:top w:val="none" w:sz="0" w:space="0" w:color="auto"/>
        <w:left w:val="none" w:sz="0" w:space="0" w:color="auto"/>
        <w:bottom w:val="none" w:sz="0" w:space="0" w:color="auto"/>
        <w:right w:val="none" w:sz="0" w:space="0" w:color="auto"/>
      </w:divBdr>
    </w:div>
    <w:div w:id="171067439">
      <w:bodyDiv w:val="1"/>
      <w:marLeft w:val="0"/>
      <w:marRight w:val="0"/>
      <w:marTop w:val="0"/>
      <w:marBottom w:val="0"/>
      <w:divBdr>
        <w:top w:val="none" w:sz="0" w:space="0" w:color="auto"/>
        <w:left w:val="none" w:sz="0" w:space="0" w:color="auto"/>
        <w:bottom w:val="none" w:sz="0" w:space="0" w:color="auto"/>
        <w:right w:val="none" w:sz="0" w:space="0" w:color="auto"/>
      </w:divBdr>
    </w:div>
    <w:div w:id="172497357">
      <w:bodyDiv w:val="1"/>
      <w:marLeft w:val="0"/>
      <w:marRight w:val="0"/>
      <w:marTop w:val="0"/>
      <w:marBottom w:val="0"/>
      <w:divBdr>
        <w:top w:val="none" w:sz="0" w:space="0" w:color="auto"/>
        <w:left w:val="none" w:sz="0" w:space="0" w:color="auto"/>
        <w:bottom w:val="none" w:sz="0" w:space="0" w:color="auto"/>
        <w:right w:val="none" w:sz="0" w:space="0" w:color="auto"/>
      </w:divBdr>
    </w:div>
    <w:div w:id="172695462">
      <w:bodyDiv w:val="1"/>
      <w:marLeft w:val="0"/>
      <w:marRight w:val="0"/>
      <w:marTop w:val="0"/>
      <w:marBottom w:val="0"/>
      <w:divBdr>
        <w:top w:val="none" w:sz="0" w:space="0" w:color="auto"/>
        <w:left w:val="none" w:sz="0" w:space="0" w:color="auto"/>
        <w:bottom w:val="none" w:sz="0" w:space="0" w:color="auto"/>
        <w:right w:val="none" w:sz="0" w:space="0" w:color="auto"/>
      </w:divBdr>
    </w:div>
    <w:div w:id="173149611">
      <w:bodyDiv w:val="1"/>
      <w:marLeft w:val="0"/>
      <w:marRight w:val="0"/>
      <w:marTop w:val="0"/>
      <w:marBottom w:val="0"/>
      <w:divBdr>
        <w:top w:val="none" w:sz="0" w:space="0" w:color="auto"/>
        <w:left w:val="none" w:sz="0" w:space="0" w:color="auto"/>
        <w:bottom w:val="none" w:sz="0" w:space="0" w:color="auto"/>
        <w:right w:val="none" w:sz="0" w:space="0" w:color="auto"/>
      </w:divBdr>
    </w:div>
    <w:div w:id="173541558">
      <w:bodyDiv w:val="1"/>
      <w:marLeft w:val="0"/>
      <w:marRight w:val="0"/>
      <w:marTop w:val="0"/>
      <w:marBottom w:val="0"/>
      <w:divBdr>
        <w:top w:val="none" w:sz="0" w:space="0" w:color="auto"/>
        <w:left w:val="none" w:sz="0" w:space="0" w:color="auto"/>
        <w:bottom w:val="none" w:sz="0" w:space="0" w:color="auto"/>
        <w:right w:val="none" w:sz="0" w:space="0" w:color="auto"/>
      </w:divBdr>
    </w:div>
    <w:div w:id="174542230">
      <w:bodyDiv w:val="1"/>
      <w:marLeft w:val="0"/>
      <w:marRight w:val="0"/>
      <w:marTop w:val="0"/>
      <w:marBottom w:val="0"/>
      <w:divBdr>
        <w:top w:val="none" w:sz="0" w:space="0" w:color="auto"/>
        <w:left w:val="none" w:sz="0" w:space="0" w:color="auto"/>
        <w:bottom w:val="none" w:sz="0" w:space="0" w:color="auto"/>
        <w:right w:val="none" w:sz="0" w:space="0" w:color="auto"/>
      </w:divBdr>
    </w:div>
    <w:div w:id="176310413">
      <w:bodyDiv w:val="1"/>
      <w:marLeft w:val="0"/>
      <w:marRight w:val="0"/>
      <w:marTop w:val="0"/>
      <w:marBottom w:val="0"/>
      <w:divBdr>
        <w:top w:val="none" w:sz="0" w:space="0" w:color="auto"/>
        <w:left w:val="none" w:sz="0" w:space="0" w:color="auto"/>
        <w:bottom w:val="none" w:sz="0" w:space="0" w:color="auto"/>
        <w:right w:val="none" w:sz="0" w:space="0" w:color="auto"/>
      </w:divBdr>
    </w:div>
    <w:div w:id="176431146">
      <w:bodyDiv w:val="1"/>
      <w:marLeft w:val="0"/>
      <w:marRight w:val="0"/>
      <w:marTop w:val="0"/>
      <w:marBottom w:val="0"/>
      <w:divBdr>
        <w:top w:val="none" w:sz="0" w:space="0" w:color="auto"/>
        <w:left w:val="none" w:sz="0" w:space="0" w:color="auto"/>
        <w:bottom w:val="none" w:sz="0" w:space="0" w:color="auto"/>
        <w:right w:val="none" w:sz="0" w:space="0" w:color="auto"/>
      </w:divBdr>
    </w:div>
    <w:div w:id="177931883">
      <w:bodyDiv w:val="1"/>
      <w:marLeft w:val="0"/>
      <w:marRight w:val="0"/>
      <w:marTop w:val="0"/>
      <w:marBottom w:val="0"/>
      <w:divBdr>
        <w:top w:val="none" w:sz="0" w:space="0" w:color="auto"/>
        <w:left w:val="none" w:sz="0" w:space="0" w:color="auto"/>
        <w:bottom w:val="none" w:sz="0" w:space="0" w:color="auto"/>
        <w:right w:val="none" w:sz="0" w:space="0" w:color="auto"/>
      </w:divBdr>
    </w:div>
    <w:div w:id="178472127">
      <w:bodyDiv w:val="1"/>
      <w:marLeft w:val="0"/>
      <w:marRight w:val="0"/>
      <w:marTop w:val="0"/>
      <w:marBottom w:val="0"/>
      <w:divBdr>
        <w:top w:val="none" w:sz="0" w:space="0" w:color="auto"/>
        <w:left w:val="none" w:sz="0" w:space="0" w:color="auto"/>
        <w:bottom w:val="none" w:sz="0" w:space="0" w:color="auto"/>
        <w:right w:val="none" w:sz="0" w:space="0" w:color="auto"/>
      </w:divBdr>
    </w:div>
    <w:div w:id="178783691">
      <w:bodyDiv w:val="1"/>
      <w:marLeft w:val="0"/>
      <w:marRight w:val="0"/>
      <w:marTop w:val="0"/>
      <w:marBottom w:val="0"/>
      <w:divBdr>
        <w:top w:val="none" w:sz="0" w:space="0" w:color="auto"/>
        <w:left w:val="none" w:sz="0" w:space="0" w:color="auto"/>
        <w:bottom w:val="none" w:sz="0" w:space="0" w:color="auto"/>
        <w:right w:val="none" w:sz="0" w:space="0" w:color="auto"/>
      </w:divBdr>
    </w:div>
    <w:div w:id="180054011">
      <w:bodyDiv w:val="1"/>
      <w:marLeft w:val="0"/>
      <w:marRight w:val="0"/>
      <w:marTop w:val="0"/>
      <w:marBottom w:val="0"/>
      <w:divBdr>
        <w:top w:val="none" w:sz="0" w:space="0" w:color="auto"/>
        <w:left w:val="none" w:sz="0" w:space="0" w:color="auto"/>
        <w:bottom w:val="none" w:sz="0" w:space="0" w:color="auto"/>
        <w:right w:val="none" w:sz="0" w:space="0" w:color="auto"/>
      </w:divBdr>
    </w:div>
    <w:div w:id="180553930">
      <w:bodyDiv w:val="1"/>
      <w:marLeft w:val="0"/>
      <w:marRight w:val="0"/>
      <w:marTop w:val="0"/>
      <w:marBottom w:val="0"/>
      <w:divBdr>
        <w:top w:val="none" w:sz="0" w:space="0" w:color="auto"/>
        <w:left w:val="none" w:sz="0" w:space="0" w:color="auto"/>
        <w:bottom w:val="none" w:sz="0" w:space="0" w:color="auto"/>
        <w:right w:val="none" w:sz="0" w:space="0" w:color="auto"/>
      </w:divBdr>
    </w:div>
    <w:div w:id="180752557">
      <w:bodyDiv w:val="1"/>
      <w:marLeft w:val="0"/>
      <w:marRight w:val="0"/>
      <w:marTop w:val="0"/>
      <w:marBottom w:val="0"/>
      <w:divBdr>
        <w:top w:val="none" w:sz="0" w:space="0" w:color="auto"/>
        <w:left w:val="none" w:sz="0" w:space="0" w:color="auto"/>
        <w:bottom w:val="none" w:sz="0" w:space="0" w:color="auto"/>
        <w:right w:val="none" w:sz="0" w:space="0" w:color="auto"/>
      </w:divBdr>
    </w:div>
    <w:div w:id="181941506">
      <w:bodyDiv w:val="1"/>
      <w:marLeft w:val="0"/>
      <w:marRight w:val="0"/>
      <w:marTop w:val="0"/>
      <w:marBottom w:val="0"/>
      <w:divBdr>
        <w:top w:val="none" w:sz="0" w:space="0" w:color="auto"/>
        <w:left w:val="none" w:sz="0" w:space="0" w:color="auto"/>
        <w:bottom w:val="none" w:sz="0" w:space="0" w:color="auto"/>
        <w:right w:val="none" w:sz="0" w:space="0" w:color="auto"/>
      </w:divBdr>
    </w:div>
    <w:div w:id="182518307">
      <w:bodyDiv w:val="1"/>
      <w:marLeft w:val="0"/>
      <w:marRight w:val="0"/>
      <w:marTop w:val="0"/>
      <w:marBottom w:val="0"/>
      <w:divBdr>
        <w:top w:val="none" w:sz="0" w:space="0" w:color="auto"/>
        <w:left w:val="none" w:sz="0" w:space="0" w:color="auto"/>
        <w:bottom w:val="none" w:sz="0" w:space="0" w:color="auto"/>
        <w:right w:val="none" w:sz="0" w:space="0" w:color="auto"/>
      </w:divBdr>
    </w:div>
    <w:div w:id="183788100">
      <w:bodyDiv w:val="1"/>
      <w:marLeft w:val="0"/>
      <w:marRight w:val="0"/>
      <w:marTop w:val="0"/>
      <w:marBottom w:val="0"/>
      <w:divBdr>
        <w:top w:val="none" w:sz="0" w:space="0" w:color="auto"/>
        <w:left w:val="none" w:sz="0" w:space="0" w:color="auto"/>
        <w:bottom w:val="none" w:sz="0" w:space="0" w:color="auto"/>
        <w:right w:val="none" w:sz="0" w:space="0" w:color="auto"/>
      </w:divBdr>
    </w:div>
    <w:div w:id="185100013">
      <w:bodyDiv w:val="1"/>
      <w:marLeft w:val="0"/>
      <w:marRight w:val="0"/>
      <w:marTop w:val="0"/>
      <w:marBottom w:val="0"/>
      <w:divBdr>
        <w:top w:val="none" w:sz="0" w:space="0" w:color="auto"/>
        <w:left w:val="none" w:sz="0" w:space="0" w:color="auto"/>
        <w:bottom w:val="none" w:sz="0" w:space="0" w:color="auto"/>
        <w:right w:val="none" w:sz="0" w:space="0" w:color="auto"/>
      </w:divBdr>
    </w:div>
    <w:div w:id="186917016">
      <w:bodyDiv w:val="1"/>
      <w:marLeft w:val="0"/>
      <w:marRight w:val="0"/>
      <w:marTop w:val="0"/>
      <w:marBottom w:val="0"/>
      <w:divBdr>
        <w:top w:val="none" w:sz="0" w:space="0" w:color="auto"/>
        <w:left w:val="none" w:sz="0" w:space="0" w:color="auto"/>
        <w:bottom w:val="none" w:sz="0" w:space="0" w:color="auto"/>
        <w:right w:val="none" w:sz="0" w:space="0" w:color="auto"/>
      </w:divBdr>
    </w:div>
    <w:div w:id="187302923">
      <w:bodyDiv w:val="1"/>
      <w:marLeft w:val="0"/>
      <w:marRight w:val="0"/>
      <w:marTop w:val="0"/>
      <w:marBottom w:val="0"/>
      <w:divBdr>
        <w:top w:val="none" w:sz="0" w:space="0" w:color="auto"/>
        <w:left w:val="none" w:sz="0" w:space="0" w:color="auto"/>
        <w:bottom w:val="none" w:sz="0" w:space="0" w:color="auto"/>
        <w:right w:val="none" w:sz="0" w:space="0" w:color="auto"/>
      </w:divBdr>
    </w:div>
    <w:div w:id="187915446">
      <w:bodyDiv w:val="1"/>
      <w:marLeft w:val="0"/>
      <w:marRight w:val="0"/>
      <w:marTop w:val="0"/>
      <w:marBottom w:val="0"/>
      <w:divBdr>
        <w:top w:val="none" w:sz="0" w:space="0" w:color="auto"/>
        <w:left w:val="none" w:sz="0" w:space="0" w:color="auto"/>
        <w:bottom w:val="none" w:sz="0" w:space="0" w:color="auto"/>
        <w:right w:val="none" w:sz="0" w:space="0" w:color="auto"/>
      </w:divBdr>
    </w:div>
    <w:div w:id="188489016">
      <w:bodyDiv w:val="1"/>
      <w:marLeft w:val="0"/>
      <w:marRight w:val="0"/>
      <w:marTop w:val="0"/>
      <w:marBottom w:val="0"/>
      <w:divBdr>
        <w:top w:val="none" w:sz="0" w:space="0" w:color="auto"/>
        <w:left w:val="none" w:sz="0" w:space="0" w:color="auto"/>
        <w:bottom w:val="none" w:sz="0" w:space="0" w:color="auto"/>
        <w:right w:val="none" w:sz="0" w:space="0" w:color="auto"/>
      </w:divBdr>
    </w:div>
    <w:div w:id="189226675">
      <w:bodyDiv w:val="1"/>
      <w:marLeft w:val="0"/>
      <w:marRight w:val="0"/>
      <w:marTop w:val="0"/>
      <w:marBottom w:val="0"/>
      <w:divBdr>
        <w:top w:val="none" w:sz="0" w:space="0" w:color="auto"/>
        <w:left w:val="none" w:sz="0" w:space="0" w:color="auto"/>
        <w:bottom w:val="none" w:sz="0" w:space="0" w:color="auto"/>
        <w:right w:val="none" w:sz="0" w:space="0" w:color="auto"/>
      </w:divBdr>
    </w:div>
    <w:div w:id="189227097">
      <w:bodyDiv w:val="1"/>
      <w:marLeft w:val="0"/>
      <w:marRight w:val="0"/>
      <w:marTop w:val="0"/>
      <w:marBottom w:val="0"/>
      <w:divBdr>
        <w:top w:val="none" w:sz="0" w:space="0" w:color="auto"/>
        <w:left w:val="none" w:sz="0" w:space="0" w:color="auto"/>
        <w:bottom w:val="none" w:sz="0" w:space="0" w:color="auto"/>
        <w:right w:val="none" w:sz="0" w:space="0" w:color="auto"/>
      </w:divBdr>
    </w:div>
    <w:div w:id="190264375">
      <w:bodyDiv w:val="1"/>
      <w:marLeft w:val="0"/>
      <w:marRight w:val="0"/>
      <w:marTop w:val="0"/>
      <w:marBottom w:val="0"/>
      <w:divBdr>
        <w:top w:val="none" w:sz="0" w:space="0" w:color="auto"/>
        <w:left w:val="none" w:sz="0" w:space="0" w:color="auto"/>
        <w:bottom w:val="none" w:sz="0" w:space="0" w:color="auto"/>
        <w:right w:val="none" w:sz="0" w:space="0" w:color="auto"/>
      </w:divBdr>
    </w:div>
    <w:div w:id="190532508">
      <w:bodyDiv w:val="1"/>
      <w:marLeft w:val="0"/>
      <w:marRight w:val="0"/>
      <w:marTop w:val="0"/>
      <w:marBottom w:val="0"/>
      <w:divBdr>
        <w:top w:val="none" w:sz="0" w:space="0" w:color="auto"/>
        <w:left w:val="none" w:sz="0" w:space="0" w:color="auto"/>
        <w:bottom w:val="none" w:sz="0" w:space="0" w:color="auto"/>
        <w:right w:val="none" w:sz="0" w:space="0" w:color="auto"/>
      </w:divBdr>
    </w:div>
    <w:div w:id="191380850">
      <w:bodyDiv w:val="1"/>
      <w:marLeft w:val="0"/>
      <w:marRight w:val="0"/>
      <w:marTop w:val="0"/>
      <w:marBottom w:val="0"/>
      <w:divBdr>
        <w:top w:val="none" w:sz="0" w:space="0" w:color="auto"/>
        <w:left w:val="none" w:sz="0" w:space="0" w:color="auto"/>
        <w:bottom w:val="none" w:sz="0" w:space="0" w:color="auto"/>
        <w:right w:val="none" w:sz="0" w:space="0" w:color="auto"/>
      </w:divBdr>
    </w:div>
    <w:div w:id="191960093">
      <w:bodyDiv w:val="1"/>
      <w:marLeft w:val="0"/>
      <w:marRight w:val="0"/>
      <w:marTop w:val="0"/>
      <w:marBottom w:val="0"/>
      <w:divBdr>
        <w:top w:val="none" w:sz="0" w:space="0" w:color="auto"/>
        <w:left w:val="none" w:sz="0" w:space="0" w:color="auto"/>
        <w:bottom w:val="none" w:sz="0" w:space="0" w:color="auto"/>
        <w:right w:val="none" w:sz="0" w:space="0" w:color="auto"/>
      </w:divBdr>
    </w:div>
    <w:div w:id="192380526">
      <w:bodyDiv w:val="1"/>
      <w:marLeft w:val="0"/>
      <w:marRight w:val="0"/>
      <w:marTop w:val="0"/>
      <w:marBottom w:val="0"/>
      <w:divBdr>
        <w:top w:val="none" w:sz="0" w:space="0" w:color="auto"/>
        <w:left w:val="none" w:sz="0" w:space="0" w:color="auto"/>
        <w:bottom w:val="none" w:sz="0" w:space="0" w:color="auto"/>
        <w:right w:val="none" w:sz="0" w:space="0" w:color="auto"/>
      </w:divBdr>
    </w:div>
    <w:div w:id="193349227">
      <w:bodyDiv w:val="1"/>
      <w:marLeft w:val="0"/>
      <w:marRight w:val="0"/>
      <w:marTop w:val="0"/>
      <w:marBottom w:val="0"/>
      <w:divBdr>
        <w:top w:val="none" w:sz="0" w:space="0" w:color="auto"/>
        <w:left w:val="none" w:sz="0" w:space="0" w:color="auto"/>
        <w:bottom w:val="none" w:sz="0" w:space="0" w:color="auto"/>
        <w:right w:val="none" w:sz="0" w:space="0" w:color="auto"/>
      </w:divBdr>
    </w:div>
    <w:div w:id="193540080">
      <w:bodyDiv w:val="1"/>
      <w:marLeft w:val="0"/>
      <w:marRight w:val="0"/>
      <w:marTop w:val="0"/>
      <w:marBottom w:val="0"/>
      <w:divBdr>
        <w:top w:val="none" w:sz="0" w:space="0" w:color="auto"/>
        <w:left w:val="none" w:sz="0" w:space="0" w:color="auto"/>
        <w:bottom w:val="none" w:sz="0" w:space="0" w:color="auto"/>
        <w:right w:val="none" w:sz="0" w:space="0" w:color="auto"/>
      </w:divBdr>
    </w:div>
    <w:div w:id="195046443">
      <w:bodyDiv w:val="1"/>
      <w:marLeft w:val="0"/>
      <w:marRight w:val="0"/>
      <w:marTop w:val="0"/>
      <w:marBottom w:val="0"/>
      <w:divBdr>
        <w:top w:val="none" w:sz="0" w:space="0" w:color="auto"/>
        <w:left w:val="none" w:sz="0" w:space="0" w:color="auto"/>
        <w:bottom w:val="none" w:sz="0" w:space="0" w:color="auto"/>
        <w:right w:val="none" w:sz="0" w:space="0" w:color="auto"/>
      </w:divBdr>
    </w:div>
    <w:div w:id="196167778">
      <w:bodyDiv w:val="1"/>
      <w:marLeft w:val="0"/>
      <w:marRight w:val="0"/>
      <w:marTop w:val="0"/>
      <w:marBottom w:val="0"/>
      <w:divBdr>
        <w:top w:val="none" w:sz="0" w:space="0" w:color="auto"/>
        <w:left w:val="none" w:sz="0" w:space="0" w:color="auto"/>
        <w:bottom w:val="none" w:sz="0" w:space="0" w:color="auto"/>
        <w:right w:val="none" w:sz="0" w:space="0" w:color="auto"/>
      </w:divBdr>
    </w:div>
    <w:div w:id="197206910">
      <w:bodyDiv w:val="1"/>
      <w:marLeft w:val="0"/>
      <w:marRight w:val="0"/>
      <w:marTop w:val="0"/>
      <w:marBottom w:val="0"/>
      <w:divBdr>
        <w:top w:val="none" w:sz="0" w:space="0" w:color="auto"/>
        <w:left w:val="none" w:sz="0" w:space="0" w:color="auto"/>
        <w:bottom w:val="none" w:sz="0" w:space="0" w:color="auto"/>
        <w:right w:val="none" w:sz="0" w:space="0" w:color="auto"/>
      </w:divBdr>
    </w:div>
    <w:div w:id="197788691">
      <w:bodyDiv w:val="1"/>
      <w:marLeft w:val="0"/>
      <w:marRight w:val="0"/>
      <w:marTop w:val="0"/>
      <w:marBottom w:val="0"/>
      <w:divBdr>
        <w:top w:val="none" w:sz="0" w:space="0" w:color="auto"/>
        <w:left w:val="none" w:sz="0" w:space="0" w:color="auto"/>
        <w:bottom w:val="none" w:sz="0" w:space="0" w:color="auto"/>
        <w:right w:val="none" w:sz="0" w:space="0" w:color="auto"/>
      </w:divBdr>
    </w:div>
    <w:div w:id="197816779">
      <w:bodyDiv w:val="1"/>
      <w:marLeft w:val="0"/>
      <w:marRight w:val="0"/>
      <w:marTop w:val="0"/>
      <w:marBottom w:val="0"/>
      <w:divBdr>
        <w:top w:val="none" w:sz="0" w:space="0" w:color="auto"/>
        <w:left w:val="none" w:sz="0" w:space="0" w:color="auto"/>
        <w:bottom w:val="none" w:sz="0" w:space="0" w:color="auto"/>
        <w:right w:val="none" w:sz="0" w:space="0" w:color="auto"/>
      </w:divBdr>
    </w:div>
    <w:div w:id="198081677">
      <w:bodyDiv w:val="1"/>
      <w:marLeft w:val="0"/>
      <w:marRight w:val="0"/>
      <w:marTop w:val="0"/>
      <w:marBottom w:val="0"/>
      <w:divBdr>
        <w:top w:val="none" w:sz="0" w:space="0" w:color="auto"/>
        <w:left w:val="none" w:sz="0" w:space="0" w:color="auto"/>
        <w:bottom w:val="none" w:sz="0" w:space="0" w:color="auto"/>
        <w:right w:val="none" w:sz="0" w:space="0" w:color="auto"/>
      </w:divBdr>
    </w:div>
    <w:div w:id="198662597">
      <w:bodyDiv w:val="1"/>
      <w:marLeft w:val="0"/>
      <w:marRight w:val="0"/>
      <w:marTop w:val="0"/>
      <w:marBottom w:val="0"/>
      <w:divBdr>
        <w:top w:val="none" w:sz="0" w:space="0" w:color="auto"/>
        <w:left w:val="none" w:sz="0" w:space="0" w:color="auto"/>
        <w:bottom w:val="none" w:sz="0" w:space="0" w:color="auto"/>
        <w:right w:val="none" w:sz="0" w:space="0" w:color="auto"/>
      </w:divBdr>
    </w:div>
    <w:div w:id="199361088">
      <w:bodyDiv w:val="1"/>
      <w:marLeft w:val="0"/>
      <w:marRight w:val="0"/>
      <w:marTop w:val="0"/>
      <w:marBottom w:val="0"/>
      <w:divBdr>
        <w:top w:val="none" w:sz="0" w:space="0" w:color="auto"/>
        <w:left w:val="none" w:sz="0" w:space="0" w:color="auto"/>
        <w:bottom w:val="none" w:sz="0" w:space="0" w:color="auto"/>
        <w:right w:val="none" w:sz="0" w:space="0" w:color="auto"/>
      </w:divBdr>
    </w:div>
    <w:div w:id="199826450">
      <w:bodyDiv w:val="1"/>
      <w:marLeft w:val="0"/>
      <w:marRight w:val="0"/>
      <w:marTop w:val="0"/>
      <w:marBottom w:val="0"/>
      <w:divBdr>
        <w:top w:val="none" w:sz="0" w:space="0" w:color="auto"/>
        <w:left w:val="none" w:sz="0" w:space="0" w:color="auto"/>
        <w:bottom w:val="none" w:sz="0" w:space="0" w:color="auto"/>
        <w:right w:val="none" w:sz="0" w:space="0" w:color="auto"/>
      </w:divBdr>
    </w:div>
    <w:div w:id="200020671">
      <w:bodyDiv w:val="1"/>
      <w:marLeft w:val="0"/>
      <w:marRight w:val="0"/>
      <w:marTop w:val="0"/>
      <w:marBottom w:val="0"/>
      <w:divBdr>
        <w:top w:val="none" w:sz="0" w:space="0" w:color="auto"/>
        <w:left w:val="none" w:sz="0" w:space="0" w:color="auto"/>
        <w:bottom w:val="none" w:sz="0" w:space="0" w:color="auto"/>
        <w:right w:val="none" w:sz="0" w:space="0" w:color="auto"/>
      </w:divBdr>
    </w:div>
    <w:div w:id="200243415">
      <w:bodyDiv w:val="1"/>
      <w:marLeft w:val="0"/>
      <w:marRight w:val="0"/>
      <w:marTop w:val="0"/>
      <w:marBottom w:val="0"/>
      <w:divBdr>
        <w:top w:val="none" w:sz="0" w:space="0" w:color="auto"/>
        <w:left w:val="none" w:sz="0" w:space="0" w:color="auto"/>
        <w:bottom w:val="none" w:sz="0" w:space="0" w:color="auto"/>
        <w:right w:val="none" w:sz="0" w:space="0" w:color="auto"/>
      </w:divBdr>
    </w:div>
    <w:div w:id="200552361">
      <w:bodyDiv w:val="1"/>
      <w:marLeft w:val="0"/>
      <w:marRight w:val="0"/>
      <w:marTop w:val="0"/>
      <w:marBottom w:val="0"/>
      <w:divBdr>
        <w:top w:val="none" w:sz="0" w:space="0" w:color="auto"/>
        <w:left w:val="none" w:sz="0" w:space="0" w:color="auto"/>
        <w:bottom w:val="none" w:sz="0" w:space="0" w:color="auto"/>
        <w:right w:val="none" w:sz="0" w:space="0" w:color="auto"/>
      </w:divBdr>
    </w:div>
    <w:div w:id="200631391">
      <w:bodyDiv w:val="1"/>
      <w:marLeft w:val="0"/>
      <w:marRight w:val="0"/>
      <w:marTop w:val="0"/>
      <w:marBottom w:val="0"/>
      <w:divBdr>
        <w:top w:val="none" w:sz="0" w:space="0" w:color="auto"/>
        <w:left w:val="none" w:sz="0" w:space="0" w:color="auto"/>
        <w:bottom w:val="none" w:sz="0" w:space="0" w:color="auto"/>
        <w:right w:val="none" w:sz="0" w:space="0" w:color="auto"/>
      </w:divBdr>
    </w:div>
    <w:div w:id="200868628">
      <w:bodyDiv w:val="1"/>
      <w:marLeft w:val="0"/>
      <w:marRight w:val="0"/>
      <w:marTop w:val="0"/>
      <w:marBottom w:val="0"/>
      <w:divBdr>
        <w:top w:val="none" w:sz="0" w:space="0" w:color="auto"/>
        <w:left w:val="none" w:sz="0" w:space="0" w:color="auto"/>
        <w:bottom w:val="none" w:sz="0" w:space="0" w:color="auto"/>
        <w:right w:val="none" w:sz="0" w:space="0" w:color="auto"/>
      </w:divBdr>
    </w:div>
    <w:div w:id="201401475">
      <w:bodyDiv w:val="1"/>
      <w:marLeft w:val="0"/>
      <w:marRight w:val="0"/>
      <w:marTop w:val="0"/>
      <w:marBottom w:val="0"/>
      <w:divBdr>
        <w:top w:val="none" w:sz="0" w:space="0" w:color="auto"/>
        <w:left w:val="none" w:sz="0" w:space="0" w:color="auto"/>
        <w:bottom w:val="none" w:sz="0" w:space="0" w:color="auto"/>
        <w:right w:val="none" w:sz="0" w:space="0" w:color="auto"/>
      </w:divBdr>
    </w:div>
    <w:div w:id="202258848">
      <w:bodyDiv w:val="1"/>
      <w:marLeft w:val="0"/>
      <w:marRight w:val="0"/>
      <w:marTop w:val="0"/>
      <w:marBottom w:val="0"/>
      <w:divBdr>
        <w:top w:val="none" w:sz="0" w:space="0" w:color="auto"/>
        <w:left w:val="none" w:sz="0" w:space="0" w:color="auto"/>
        <w:bottom w:val="none" w:sz="0" w:space="0" w:color="auto"/>
        <w:right w:val="none" w:sz="0" w:space="0" w:color="auto"/>
      </w:divBdr>
    </w:div>
    <w:div w:id="202401708">
      <w:bodyDiv w:val="1"/>
      <w:marLeft w:val="0"/>
      <w:marRight w:val="0"/>
      <w:marTop w:val="0"/>
      <w:marBottom w:val="0"/>
      <w:divBdr>
        <w:top w:val="none" w:sz="0" w:space="0" w:color="auto"/>
        <w:left w:val="none" w:sz="0" w:space="0" w:color="auto"/>
        <w:bottom w:val="none" w:sz="0" w:space="0" w:color="auto"/>
        <w:right w:val="none" w:sz="0" w:space="0" w:color="auto"/>
      </w:divBdr>
    </w:div>
    <w:div w:id="202405539">
      <w:bodyDiv w:val="1"/>
      <w:marLeft w:val="0"/>
      <w:marRight w:val="0"/>
      <w:marTop w:val="0"/>
      <w:marBottom w:val="0"/>
      <w:divBdr>
        <w:top w:val="none" w:sz="0" w:space="0" w:color="auto"/>
        <w:left w:val="none" w:sz="0" w:space="0" w:color="auto"/>
        <w:bottom w:val="none" w:sz="0" w:space="0" w:color="auto"/>
        <w:right w:val="none" w:sz="0" w:space="0" w:color="auto"/>
      </w:divBdr>
    </w:div>
    <w:div w:id="203567998">
      <w:bodyDiv w:val="1"/>
      <w:marLeft w:val="0"/>
      <w:marRight w:val="0"/>
      <w:marTop w:val="0"/>
      <w:marBottom w:val="0"/>
      <w:divBdr>
        <w:top w:val="none" w:sz="0" w:space="0" w:color="auto"/>
        <w:left w:val="none" w:sz="0" w:space="0" w:color="auto"/>
        <w:bottom w:val="none" w:sz="0" w:space="0" w:color="auto"/>
        <w:right w:val="none" w:sz="0" w:space="0" w:color="auto"/>
      </w:divBdr>
    </w:div>
    <w:div w:id="204175980">
      <w:bodyDiv w:val="1"/>
      <w:marLeft w:val="0"/>
      <w:marRight w:val="0"/>
      <w:marTop w:val="0"/>
      <w:marBottom w:val="0"/>
      <w:divBdr>
        <w:top w:val="none" w:sz="0" w:space="0" w:color="auto"/>
        <w:left w:val="none" w:sz="0" w:space="0" w:color="auto"/>
        <w:bottom w:val="none" w:sz="0" w:space="0" w:color="auto"/>
        <w:right w:val="none" w:sz="0" w:space="0" w:color="auto"/>
      </w:divBdr>
    </w:div>
    <w:div w:id="204224758">
      <w:bodyDiv w:val="1"/>
      <w:marLeft w:val="0"/>
      <w:marRight w:val="0"/>
      <w:marTop w:val="0"/>
      <w:marBottom w:val="0"/>
      <w:divBdr>
        <w:top w:val="none" w:sz="0" w:space="0" w:color="auto"/>
        <w:left w:val="none" w:sz="0" w:space="0" w:color="auto"/>
        <w:bottom w:val="none" w:sz="0" w:space="0" w:color="auto"/>
        <w:right w:val="none" w:sz="0" w:space="0" w:color="auto"/>
      </w:divBdr>
    </w:div>
    <w:div w:id="204803194">
      <w:bodyDiv w:val="1"/>
      <w:marLeft w:val="0"/>
      <w:marRight w:val="0"/>
      <w:marTop w:val="0"/>
      <w:marBottom w:val="0"/>
      <w:divBdr>
        <w:top w:val="none" w:sz="0" w:space="0" w:color="auto"/>
        <w:left w:val="none" w:sz="0" w:space="0" w:color="auto"/>
        <w:bottom w:val="none" w:sz="0" w:space="0" w:color="auto"/>
        <w:right w:val="none" w:sz="0" w:space="0" w:color="auto"/>
      </w:divBdr>
    </w:div>
    <w:div w:id="206186560">
      <w:bodyDiv w:val="1"/>
      <w:marLeft w:val="0"/>
      <w:marRight w:val="0"/>
      <w:marTop w:val="0"/>
      <w:marBottom w:val="0"/>
      <w:divBdr>
        <w:top w:val="none" w:sz="0" w:space="0" w:color="auto"/>
        <w:left w:val="none" w:sz="0" w:space="0" w:color="auto"/>
        <w:bottom w:val="none" w:sz="0" w:space="0" w:color="auto"/>
        <w:right w:val="none" w:sz="0" w:space="0" w:color="auto"/>
      </w:divBdr>
    </w:div>
    <w:div w:id="206380869">
      <w:bodyDiv w:val="1"/>
      <w:marLeft w:val="0"/>
      <w:marRight w:val="0"/>
      <w:marTop w:val="0"/>
      <w:marBottom w:val="0"/>
      <w:divBdr>
        <w:top w:val="none" w:sz="0" w:space="0" w:color="auto"/>
        <w:left w:val="none" w:sz="0" w:space="0" w:color="auto"/>
        <w:bottom w:val="none" w:sz="0" w:space="0" w:color="auto"/>
        <w:right w:val="none" w:sz="0" w:space="0" w:color="auto"/>
      </w:divBdr>
    </w:div>
    <w:div w:id="207377544">
      <w:bodyDiv w:val="1"/>
      <w:marLeft w:val="0"/>
      <w:marRight w:val="0"/>
      <w:marTop w:val="0"/>
      <w:marBottom w:val="0"/>
      <w:divBdr>
        <w:top w:val="none" w:sz="0" w:space="0" w:color="auto"/>
        <w:left w:val="none" w:sz="0" w:space="0" w:color="auto"/>
        <w:bottom w:val="none" w:sz="0" w:space="0" w:color="auto"/>
        <w:right w:val="none" w:sz="0" w:space="0" w:color="auto"/>
      </w:divBdr>
    </w:div>
    <w:div w:id="208031859">
      <w:bodyDiv w:val="1"/>
      <w:marLeft w:val="0"/>
      <w:marRight w:val="0"/>
      <w:marTop w:val="0"/>
      <w:marBottom w:val="0"/>
      <w:divBdr>
        <w:top w:val="none" w:sz="0" w:space="0" w:color="auto"/>
        <w:left w:val="none" w:sz="0" w:space="0" w:color="auto"/>
        <w:bottom w:val="none" w:sz="0" w:space="0" w:color="auto"/>
        <w:right w:val="none" w:sz="0" w:space="0" w:color="auto"/>
      </w:divBdr>
    </w:div>
    <w:div w:id="210655958">
      <w:bodyDiv w:val="1"/>
      <w:marLeft w:val="0"/>
      <w:marRight w:val="0"/>
      <w:marTop w:val="0"/>
      <w:marBottom w:val="0"/>
      <w:divBdr>
        <w:top w:val="none" w:sz="0" w:space="0" w:color="auto"/>
        <w:left w:val="none" w:sz="0" w:space="0" w:color="auto"/>
        <w:bottom w:val="none" w:sz="0" w:space="0" w:color="auto"/>
        <w:right w:val="none" w:sz="0" w:space="0" w:color="auto"/>
      </w:divBdr>
    </w:div>
    <w:div w:id="211574258">
      <w:bodyDiv w:val="1"/>
      <w:marLeft w:val="0"/>
      <w:marRight w:val="0"/>
      <w:marTop w:val="0"/>
      <w:marBottom w:val="0"/>
      <w:divBdr>
        <w:top w:val="none" w:sz="0" w:space="0" w:color="auto"/>
        <w:left w:val="none" w:sz="0" w:space="0" w:color="auto"/>
        <w:bottom w:val="none" w:sz="0" w:space="0" w:color="auto"/>
        <w:right w:val="none" w:sz="0" w:space="0" w:color="auto"/>
      </w:divBdr>
    </w:div>
    <w:div w:id="211774568">
      <w:bodyDiv w:val="1"/>
      <w:marLeft w:val="0"/>
      <w:marRight w:val="0"/>
      <w:marTop w:val="0"/>
      <w:marBottom w:val="0"/>
      <w:divBdr>
        <w:top w:val="none" w:sz="0" w:space="0" w:color="auto"/>
        <w:left w:val="none" w:sz="0" w:space="0" w:color="auto"/>
        <w:bottom w:val="none" w:sz="0" w:space="0" w:color="auto"/>
        <w:right w:val="none" w:sz="0" w:space="0" w:color="auto"/>
      </w:divBdr>
    </w:div>
    <w:div w:id="213473544">
      <w:bodyDiv w:val="1"/>
      <w:marLeft w:val="0"/>
      <w:marRight w:val="0"/>
      <w:marTop w:val="0"/>
      <w:marBottom w:val="0"/>
      <w:divBdr>
        <w:top w:val="none" w:sz="0" w:space="0" w:color="auto"/>
        <w:left w:val="none" w:sz="0" w:space="0" w:color="auto"/>
        <w:bottom w:val="none" w:sz="0" w:space="0" w:color="auto"/>
        <w:right w:val="none" w:sz="0" w:space="0" w:color="auto"/>
      </w:divBdr>
    </w:div>
    <w:div w:id="213657504">
      <w:bodyDiv w:val="1"/>
      <w:marLeft w:val="0"/>
      <w:marRight w:val="0"/>
      <w:marTop w:val="0"/>
      <w:marBottom w:val="0"/>
      <w:divBdr>
        <w:top w:val="none" w:sz="0" w:space="0" w:color="auto"/>
        <w:left w:val="none" w:sz="0" w:space="0" w:color="auto"/>
        <w:bottom w:val="none" w:sz="0" w:space="0" w:color="auto"/>
        <w:right w:val="none" w:sz="0" w:space="0" w:color="auto"/>
      </w:divBdr>
    </w:div>
    <w:div w:id="214507943">
      <w:bodyDiv w:val="1"/>
      <w:marLeft w:val="0"/>
      <w:marRight w:val="0"/>
      <w:marTop w:val="0"/>
      <w:marBottom w:val="0"/>
      <w:divBdr>
        <w:top w:val="none" w:sz="0" w:space="0" w:color="auto"/>
        <w:left w:val="none" w:sz="0" w:space="0" w:color="auto"/>
        <w:bottom w:val="none" w:sz="0" w:space="0" w:color="auto"/>
        <w:right w:val="none" w:sz="0" w:space="0" w:color="auto"/>
      </w:divBdr>
    </w:div>
    <w:div w:id="217977771">
      <w:bodyDiv w:val="1"/>
      <w:marLeft w:val="0"/>
      <w:marRight w:val="0"/>
      <w:marTop w:val="0"/>
      <w:marBottom w:val="0"/>
      <w:divBdr>
        <w:top w:val="none" w:sz="0" w:space="0" w:color="auto"/>
        <w:left w:val="none" w:sz="0" w:space="0" w:color="auto"/>
        <w:bottom w:val="none" w:sz="0" w:space="0" w:color="auto"/>
        <w:right w:val="none" w:sz="0" w:space="0" w:color="auto"/>
      </w:divBdr>
    </w:div>
    <w:div w:id="218169447">
      <w:bodyDiv w:val="1"/>
      <w:marLeft w:val="0"/>
      <w:marRight w:val="0"/>
      <w:marTop w:val="0"/>
      <w:marBottom w:val="0"/>
      <w:divBdr>
        <w:top w:val="none" w:sz="0" w:space="0" w:color="auto"/>
        <w:left w:val="none" w:sz="0" w:space="0" w:color="auto"/>
        <w:bottom w:val="none" w:sz="0" w:space="0" w:color="auto"/>
        <w:right w:val="none" w:sz="0" w:space="0" w:color="auto"/>
      </w:divBdr>
    </w:div>
    <w:div w:id="219562529">
      <w:bodyDiv w:val="1"/>
      <w:marLeft w:val="0"/>
      <w:marRight w:val="0"/>
      <w:marTop w:val="0"/>
      <w:marBottom w:val="0"/>
      <w:divBdr>
        <w:top w:val="none" w:sz="0" w:space="0" w:color="auto"/>
        <w:left w:val="none" w:sz="0" w:space="0" w:color="auto"/>
        <w:bottom w:val="none" w:sz="0" w:space="0" w:color="auto"/>
        <w:right w:val="none" w:sz="0" w:space="0" w:color="auto"/>
      </w:divBdr>
    </w:div>
    <w:div w:id="222907325">
      <w:bodyDiv w:val="1"/>
      <w:marLeft w:val="0"/>
      <w:marRight w:val="0"/>
      <w:marTop w:val="0"/>
      <w:marBottom w:val="0"/>
      <w:divBdr>
        <w:top w:val="none" w:sz="0" w:space="0" w:color="auto"/>
        <w:left w:val="none" w:sz="0" w:space="0" w:color="auto"/>
        <w:bottom w:val="none" w:sz="0" w:space="0" w:color="auto"/>
        <w:right w:val="none" w:sz="0" w:space="0" w:color="auto"/>
      </w:divBdr>
    </w:div>
    <w:div w:id="223491142">
      <w:bodyDiv w:val="1"/>
      <w:marLeft w:val="0"/>
      <w:marRight w:val="0"/>
      <w:marTop w:val="0"/>
      <w:marBottom w:val="0"/>
      <w:divBdr>
        <w:top w:val="none" w:sz="0" w:space="0" w:color="auto"/>
        <w:left w:val="none" w:sz="0" w:space="0" w:color="auto"/>
        <w:bottom w:val="none" w:sz="0" w:space="0" w:color="auto"/>
        <w:right w:val="none" w:sz="0" w:space="0" w:color="auto"/>
      </w:divBdr>
    </w:div>
    <w:div w:id="223873434">
      <w:bodyDiv w:val="1"/>
      <w:marLeft w:val="0"/>
      <w:marRight w:val="0"/>
      <w:marTop w:val="0"/>
      <w:marBottom w:val="0"/>
      <w:divBdr>
        <w:top w:val="none" w:sz="0" w:space="0" w:color="auto"/>
        <w:left w:val="none" w:sz="0" w:space="0" w:color="auto"/>
        <w:bottom w:val="none" w:sz="0" w:space="0" w:color="auto"/>
        <w:right w:val="none" w:sz="0" w:space="0" w:color="auto"/>
      </w:divBdr>
    </w:div>
    <w:div w:id="224032630">
      <w:bodyDiv w:val="1"/>
      <w:marLeft w:val="0"/>
      <w:marRight w:val="0"/>
      <w:marTop w:val="0"/>
      <w:marBottom w:val="0"/>
      <w:divBdr>
        <w:top w:val="none" w:sz="0" w:space="0" w:color="auto"/>
        <w:left w:val="none" w:sz="0" w:space="0" w:color="auto"/>
        <w:bottom w:val="none" w:sz="0" w:space="0" w:color="auto"/>
        <w:right w:val="none" w:sz="0" w:space="0" w:color="auto"/>
      </w:divBdr>
    </w:div>
    <w:div w:id="224071239">
      <w:bodyDiv w:val="1"/>
      <w:marLeft w:val="0"/>
      <w:marRight w:val="0"/>
      <w:marTop w:val="0"/>
      <w:marBottom w:val="0"/>
      <w:divBdr>
        <w:top w:val="none" w:sz="0" w:space="0" w:color="auto"/>
        <w:left w:val="none" w:sz="0" w:space="0" w:color="auto"/>
        <w:bottom w:val="none" w:sz="0" w:space="0" w:color="auto"/>
        <w:right w:val="none" w:sz="0" w:space="0" w:color="auto"/>
      </w:divBdr>
    </w:div>
    <w:div w:id="224150284">
      <w:bodyDiv w:val="1"/>
      <w:marLeft w:val="0"/>
      <w:marRight w:val="0"/>
      <w:marTop w:val="0"/>
      <w:marBottom w:val="0"/>
      <w:divBdr>
        <w:top w:val="none" w:sz="0" w:space="0" w:color="auto"/>
        <w:left w:val="none" w:sz="0" w:space="0" w:color="auto"/>
        <w:bottom w:val="none" w:sz="0" w:space="0" w:color="auto"/>
        <w:right w:val="none" w:sz="0" w:space="0" w:color="auto"/>
      </w:divBdr>
    </w:div>
    <w:div w:id="224268645">
      <w:bodyDiv w:val="1"/>
      <w:marLeft w:val="0"/>
      <w:marRight w:val="0"/>
      <w:marTop w:val="0"/>
      <w:marBottom w:val="0"/>
      <w:divBdr>
        <w:top w:val="none" w:sz="0" w:space="0" w:color="auto"/>
        <w:left w:val="none" w:sz="0" w:space="0" w:color="auto"/>
        <w:bottom w:val="none" w:sz="0" w:space="0" w:color="auto"/>
        <w:right w:val="none" w:sz="0" w:space="0" w:color="auto"/>
      </w:divBdr>
    </w:div>
    <w:div w:id="224492082">
      <w:bodyDiv w:val="1"/>
      <w:marLeft w:val="0"/>
      <w:marRight w:val="0"/>
      <w:marTop w:val="0"/>
      <w:marBottom w:val="0"/>
      <w:divBdr>
        <w:top w:val="none" w:sz="0" w:space="0" w:color="auto"/>
        <w:left w:val="none" w:sz="0" w:space="0" w:color="auto"/>
        <w:bottom w:val="none" w:sz="0" w:space="0" w:color="auto"/>
        <w:right w:val="none" w:sz="0" w:space="0" w:color="auto"/>
      </w:divBdr>
    </w:div>
    <w:div w:id="224608076">
      <w:bodyDiv w:val="1"/>
      <w:marLeft w:val="0"/>
      <w:marRight w:val="0"/>
      <w:marTop w:val="0"/>
      <w:marBottom w:val="0"/>
      <w:divBdr>
        <w:top w:val="none" w:sz="0" w:space="0" w:color="auto"/>
        <w:left w:val="none" w:sz="0" w:space="0" w:color="auto"/>
        <w:bottom w:val="none" w:sz="0" w:space="0" w:color="auto"/>
        <w:right w:val="none" w:sz="0" w:space="0" w:color="auto"/>
      </w:divBdr>
    </w:div>
    <w:div w:id="224802196">
      <w:bodyDiv w:val="1"/>
      <w:marLeft w:val="0"/>
      <w:marRight w:val="0"/>
      <w:marTop w:val="0"/>
      <w:marBottom w:val="0"/>
      <w:divBdr>
        <w:top w:val="none" w:sz="0" w:space="0" w:color="auto"/>
        <w:left w:val="none" w:sz="0" w:space="0" w:color="auto"/>
        <w:bottom w:val="none" w:sz="0" w:space="0" w:color="auto"/>
        <w:right w:val="none" w:sz="0" w:space="0" w:color="auto"/>
      </w:divBdr>
    </w:div>
    <w:div w:id="225258997">
      <w:bodyDiv w:val="1"/>
      <w:marLeft w:val="0"/>
      <w:marRight w:val="0"/>
      <w:marTop w:val="0"/>
      <w:marBottom w:val="0"/>
      <w:divBdr>
        <w:top w:val="none" w:sz="0" w:space="0" w:color="auto"/>
        <w:left w:val="none" w:sz="0" w:space="0" w:color="auto"/>
        <w:bottom w:val="none" w:sz="0" w:space="0" w:color="auto"/>
        <w:right w:val="none" w:sz="0" w:space="0" w:color="auto"/>
      </w:divBdr>
    </w:div>
    <w:div w:id="225336654">
      <w:bodyDiv w:val="1"/>
      <w:marLeft w:val="0"/>
      <w:marRight w:val="0"/>
      <w:marTop w:val="0"/>
      <w:marBottom w:val="0"/>
      <w:divBdr>
        <w:top w:val="none" w:sz="0" w:space="0" w:color="auto"/>
        <w:left w:val="none" w:sz="0" w:space="0" w:color="auto"/>
        <w:bottom w:val="none" w:sz="0" w:space="0" w:color="auto"/>
        <w:right w:val="none" w:sz="0" w:space="0" w:color="auto"/>
      </w:divBdr>
    </w:div>
    <w:div w:id="226114813">
      <w:bodyDiv w:val="1"/>
      <w:marLeft w:val="0"/>
      <w:marRight w:val="0"/>
      <w:marTop w:val="0"/>
      <w:marBottom w:val="0"/>
      <w:divBdr>
        <w:top w:val="none" w:sz="0" w:space="0" w:color="auto"/>
        <w:left w:val="none" w:sz="0" w:space="0" w:color="auto"/>
        <w:bottom w:val="none" w:sz="0" w:space="0" w:color="auto"/>
        <w:right w:val="none" w:sz="0" w:space="0" w:color="auto"/>
      </w:divBdr>
    </w:div>
    <w:div w:id="226958407">
      <w:bodyDiv w:val="1"/>
      <w:marLeft w:val="0"/>
      <w:marRight w:val="0"/>
      <w:marTop w:val="0"/>
      <w:marBottom w:val="0"/>
      <w:divBdr>
        <w:top w:val="none" w:sz="0" w:space="0" w:color="auto"/>
        <w:left w:val="none" w:sz="0" w:space="0" w:color="auto"/>
        <w:bottom w:val="none" w:sz="0" w:space="0" w:color="auto"/>
        <w:right w:val="none" w:sz="0" w:space="0" w:color="auto"/>
      </w:divBdr>
    </w:div>
    <w:div w:id="227038214">
      <w:bodyDiv w:val="1"/>
      <w:marLeft w:val="0"/>
      <w:marRight w:val="0"/>
      <w:marTop w:val="0"/>
      <w:marBottom w:val="0"/>
      <w:divBdr>
        <w:top w:val="none" w:sz="0" w:space="0" w:color="auto"/>
        <w:left w:val="none" w:sz="0" w:space="0" w:color="auto"/>
        <w:bottom w:val="none" w:sz="0" w:space="0" w:color="auto"/>
        <w:right w:val="none" w:sz="0" w:space="0" w:color="auto"/>
      </w:divBdr>
    </w:div>
    <w:div w:id="228813098">
      <w:bodyDiv w:val="1"/>
      <w:marLeft w:val="0"/>
      <w:marRight w:val="0"/>
      <w:marTop w:val="0"/>
      <w:marBottom w:val="0"/>
      <w:divBdr>
        <w:top w:val="none" w:sz="0" w:space="0" w:color="auto"/>
        <w:left w:val="none" w:sz="0" w:space="0" w:color="auto"/>
        <w:bottom w:val="none" w:sz="0" w:space="0" w:color="auto"/>
        <w:right w:val="none" w:sz="0" w:space="0" w:color="auto"/>
      </w:divBdr>
    </w:div>
    <w:div w:id="229511393">
      <w:bodyDiv w:val="1"/>
      <w:marLeft w:val="0"/>
      <w:marRight w:val="0"/>
      <w:marTop w:val="0"/>
      <w:marBottom w:val="0"/>
      <w:divBdr>
        <w:top w:val="none" w:sz="0" w:space="0" w:color="auto"/>
        <w:left w:val="none" w:sz="0" w:space="0" w:color="auto"/>
        <w:bottom w:val="none" w:sz="0" w:space="0" w:color="auto"/>
        <w:right w:val="none" w:sz="0" w:space="0" w:color="auto"/>
      </w:divBdr>
    </w:div>
    <w:div w:id="230164635">
      <w:bodyDiv w:val="1"/>
      <w:marLeft w:val="0"/>
      <w:marRight w:val="0"/>
      <w:marTop w:val="0"/>
      <w:marBottom w:val="0"/>
      <w:divBdr>
        <w:top w:val="none" w:sz="0" w:space="0" w:color="auto"/>
        <w:left w:val="none" w:sz="0" w:space="0" w:color="auto"/>
        <w:bottom w:val="none" w:sz="0" w:space="0" w:color="auto"/>
        <w:right w:val="none" w:sz="0" w:space="0" w:color="auto"/>
      </w:divBdr>
    </w:div>
    <w:div w:id="230510161">
      <w:bodyDiv w:val="1"/>
      <w:marLeft w:val="0"/>
      <w:marRight w:val="0"/>
      <w:marTop w:val="0"/>
      <w:marBottom w:val="0"/>
      <w:divBdr>
        <w:top w:val="none" w:sz="0" w:space="0" w:color="auto"/>
        <w:left w:val="none" w:sz="0" w:space="0" w:color="auto"/>
        <w:bottom w:val="none" w:sz="0" w:space="0" w:color="auto"/>
        <w:right w:val="none" w:sz="0" w:space="0" w:color="auto"/>
      </w:divBdr>
    </w:div>
    <w:div w:id="230963869">
      <w:bodyDiv w:val="1"/>
      <w:marLeft w:val="0"/>
      <w:marRight w:val="0"/>
      <w:marTop w:val="0"/>
      <w:marBottom w:val="0"/>
      <w:divBdr>
        <w:top w:val="none" w:sz="0" w:space="0" w:color="auto"/>
        <w:left w:val="none" w:sz="0" w:space="0" w:color="auto"/>
        <w:bottom w:val="none" w:sz="0" w:space="0" w:color="auto"/>
        <w:right w:val="none" w:sz="0" w:space="0" w:color="auto"/>
      </w:divBdr>
    </w:div>
    <w:div w:id="232934112">
      <w:bodyDiv w:val="1"/>
      <w:marLeft w:val="0"/>
      <w:marRight w:val="0"/>
      <w:marTop w:val="0"/>
      <w:marBottom w:val="0"/>
      <w:divBdr>
        <w:top w:val="none" w:sz="0" w:space="0" w:color="auto"/>
        <w:left w:val="none" w:sz="0" w:space="0" w:color="auto"/>
        <w:bottom w:val="none" w:sz="0" w:space="0" w:color="auto"/>
        <w:right w:val="none" w:sz="0" w:space="0" w:color="auto"/>
      </w:divBdr>
    </w:div>
    <w:div w:id="233273040">
      <w:bodyDiv w:val="1"/>
      <w:marLeft w:val="0"/>
      <w:marRight w:val="0"/>
      <w:marTop w:val="0"/>
      <w:marBottom w:val="0"/>
      <w:divBdr>
        <w:top w:val="none" w:sz="0" w:space="0" w:color="auto"/>
        <w:left w:val="none" w:sz="0" w:space="0" w:color="auto"/>
        <w:bottom w:val="none" w:sz="0" w:space="0" w:color="auto"/>
        <w:right w:val="none" w:sz="0" w:space="0" w:color="auto"/>
      </w:divBdr>
    </w:div>
    <w:div w:id="233707198">
      <w:bodyDiv w:val="1"/>
      <w:marLeft w:val="0"/>
      <w:marRight w:val="0"/>
      <w:marTop w:val="0"/>
      <w:marBottom w:val="0"/>
      <w:divBdr>
        <w:top w:val="none" w:sz="0" w:space="0" w:color="auto"/>
        <w:left w:val="none" w:sz="0" w:space="0" w:color="auto"/>
        <w:bottom w:val="none" w:sz="0" w:space="0" w:color="auto"/>
        <w:right w:val="none" w:sz="0" w:space="0" w:color="auto"/>
      </w:divBdr>
    </w:div>
    <w:div w:id="234096070">
      <w:bodyDiv w:val="1"/>
      <w:marLeft w:val="0"/>
      <w:marRight w:val="0"/>
      <w:marTop w:val="0"/>
      <w:marBottom w:val="0"/>
      <w:divBdr>
        <w:top w:val="none" w:sz="0" w:space="0" w:color="auto"/>
        <w:left w:val="none" w:sz="0" w:space="0" w:color="auto"/>
        <w:bottom w:val="none" w:sz="0" w:space="0" w:color="auto"/>
        <w:right w:val="none" w:sz="0" w:space="0" w:color="auto"/>
      </w:divBdr>
    </w:div>
    <w:div w:id="234169366">
      <w:bodyDiv w:val="1"/>
      <w:marLeft w:val="0"/>
      <w:marRight w:val="0"/>
      <w:marTop w:val="0"/>
      <w:marBottom w:val="0"/>
      <w:divBdr>
        <w:top w:val="none" w:sz="0" w:space="0" w:color="auto"/>
        <w:left w:val="none" w:sz="0" w:space="0" w:color="auto"/>
        <w:bottom w:val="none" w:sz="0" w:space="0" w:color="auto"/>
        <w:right w:val="none" w:sz="0" w:space="0" w:color="auto"/>
      </w:divBdr>
    </w:div>
    <w:div w:id="234709475">
      <w:bodyDiv w:val="1"/>
      <w:marLeft w:val="0"/>
      <w:marRight w:val="0"/>
      <w:marTop w:val="0"/>
      <w:marBottom w:val="0"/>
      <w:divBdr>
        <w:top w:val="none" w:sz="0" w:space="0" w:color="auto"/>
        <w:left w:val="none" w:sz="0" w:space="0" w:color="auto"/>
        <w:bottom w:val="none" w:sz="0" w:space="0" w:color="auto"/>
        <w:right w:val="none" w:sz="0" w:space="0" w:color="auto"/>
      </w:divBdr>
    </w:div>
    <w:div w:id="234777897">
      <w:bodyDiv w:val="1"/>
      <w:marLeft w:val="0"/>
      <w:marRight w:val="0"/>
      <w:marTop w:val="0"/>
      <w:marBottom w:val="0"/>
      <w:divBdr>
        <w:top w:val="none" w:sz="0" w:space="0" w:color="auto"/>
        <w:left w:val="none" w:sz="0" w:space="0" w:color="auto"/>
        <w:bottom w:val="none" w:sz="0" w:space="0" w:color="auto"/>
        <w:right w:val="none" w:sz="0" w:space="0" w:color="auto"/>
      </w:divBdr>
    </w:div>
    <w:div w:id="235477488">
      <w:bodyDiv w:val="1"/>
      <w:marLeft w:val="0"/>
      <w:marRight w:val="0"/>
      <w:marTop w:val="0"/>
      <w:marBottom w:val="0"/>
      <w:divBdr>
        <w:top w:val="none" w:sz="0" w:space="0" w:color="auto"/>
        <w:left w:val="none" w:sz="0" w:space="0" w:color="auto"/>
        <w:bottom w:val="none" w:sz="0" w:space="0" w:color="auto"/>
        <w:right w:val="none" w:sz="0" w:space="0" w:color="auto"/>
      </w:divBdr>
    </w:div>
    <w:div w:id="235823529">
      <w:bodyDiv w:val="1"/>
      <w:marLeft w:val="0"/>
      <w:marRight w:val="0"/>
      <w:marTop w:val="0"/>
      <w:marBottom w:val="0"/>
      <w:divBdr>
        <w:top w:val="none" w:sz="0" w:space="0" w:color="auto"/>
        <w:left w:val="none" w:sz="0" w:space="0" w:color="auto"/>
        <w:bottom w:val="none" w:sz="0" w:space="0" w:color="auto"/>
        <w:right w:val="none" w:sz="0" w:space="0" w:color="auto"/>
      </w:divBdr>
    </w:div>
    <w:div w:id="236943109">
      <w:bodyDiv w:val="1"/>
      <w:marLeft w:val="0"/>
      <w:marRight w:val="0"/>
      <w:marTop w:val="0"/>
      <w:marBottom w:val="0"/>
      <w:divBdr>
        <w:top w:val="none" w:sz="0" w:space="0" w:color="auto"/>
        <w:left w:val="none" w:sz="0" w:space="0" w:color="auto"/>
        <w:bottom w:val="none" w:sz="0" w:space="0" w:color="auto"/>
        <w:right w:val="none" w:sz="0" w:space="0" w:color="auto"/>
      </w:divBdr>
    </w:div>
    <w:div w:id="236983706">
      <w:bodyDiv w:val="1"/>
      <w:marLeft w:val="0"/>
      <w:marRight w:val="0"/>
      <w:marTop w:val="0"/>
      <w:marBottom w:val="0"/>
      <w:divBdr>
        <w:top w:val="none" w:sz="0" w:space="0" w:color="auto"/>
        <w:left w:val="none" w:sz="0" w:space="0" w:color="auto"/>
        <w:bottom w:val="none" w:sz="0" w:space="0" w:color="auto"/>
        <w:right w:val="none" w:sz="0" w:space="0" w:color="auto"/>
      </w:divBdr>
    </w:div>
    <w:div w:id="237180594">
      <w:bodyDiv w:val="1"/>
      <w:marLeft w:val="0"/>
      <w:marRight w:val="0"/>
      <w:marTop w:val="0"/>
      <w:marBottom w:val="0"/>
      <w:divBdr>
        <w:top w:val="none" w:sz="0" w:space="0" w:color="auto"/>
        <w:left w:val="none" w:sz="0" w:space="0" w:color="auto"/>
        <w:bottom w:val="none" w:sz="0" w:space="0" w:color="auto"/>
        <w:right w:val="none" w:sz="0" w:space="0" w:color="auto"/>
      </w:divBdr>
    </w:div>
    <w:div w:id="238712048">
      <w:bodyDiv w:val="1"/>
      <w:marLeft w:val="0"/>
      <w:marRight w:val="0"/>
      <w:marTop w:val="0"/>
      <w:marBottom w:val="0"/>
      <w:divBdr>
        <w:top w:val="none" w:sz="0" w:space="0" w:color="auto"/>
        <w:left w:val="none" w:sz="0" w:space="0" w:color="auto"/>
        <w:bottom w:val="none" w:sz="0" w:space="0" w:color="auto"/>
        <w:right w:val="none" w:sz="0" w:space="0" w:color="auto"/>
      </w:divBdr>
    </w:div>
    <w:div w:id="238713343">
      <w:bodyDiv w:val="1"/>
      <w:marLeft w:val="0"/>
      <w:marRight w:val="0"/>
      <w:marTop w:val="0"/>
      <w:marBottom w:val="0"/>
      <w:divBdr>
        <w:top w:val="none" w:sz="0" w:space="0" w:color="auto"/>
        <w:left w:val="none" w:sz="0" w:space="0" w:color="auto"/>
        <w:bottom w:val="none" w:sz="0" w:space="0" w:color="auto"/>
        <w:right w:val="none" w:sz="0" w:space="0" w:color="auto"/>
      </w:divBdr>
    </w:div>
    <w:div w:id="238831926">
      <w:bodyDiv w:val="1"/>
      <w:marLeft w:val="0"/>
      <w:marRight w:val="0"/>
      <w:marTop w:val="0"/>
      <w:marBottom w:val="0"/>
      <w:divBdr>
        <w:top w:val="none" w:sz="0" w:space="0" w:color="auto"/>
        <w:left w:val="none" w:sz="0" w:space="0" w:color="auto"/>
        <w:bottom w:val="none" w:sz="0" w:space="0" w:color="auto"/>
        <w:right w:val="none" w:sz="0" w:space="0" w:color="auto"/>
      </w:divBdr>
    </w:div>
    <w:div w:id="239023454">
      <w:bodyDiv w:val="1"/>
      <w:marLeft w:val="0"/>
      <w:marRight w:val="0"/>
      <w:marTop w:val="0"/>
      <w:marBottom w:val="0"/>
      <w:divBdr>
        <w:top w:val="none" w:sz="0" w:space="0" w:color="auto"/>
        <w:left w:val="none" w:sz="0" w:space="0" w:color="auto"/>
        <w:bottom w:val="none" w:sz="0" w:space="0" w:color="auto"/>
        <w:right w:val="none" w:sz="0" w:space="0" w:color="auto"/>
      </w:divBdr>
    </w:div>
    <w:div w:id="240066886">
      <w:bodyDiv w:val="1"/>
      <w:marLeft w:val="0"/>
      <w:marRight w:val="0"/>
      <w:marTop w:val="0"/>
      <w:marBottom w:val="0"/>
      <w:divBdr>
        <w:top w:val="none" w:sz="0" w:space="0" w:color="auto"/>
        <w:left w:val="none" w:sz="0" w:space="0" w:color="auto"/>
        <w:bottom w:val="none" w:sz="0" w:space="0" w:color="auto"/>
        <w:right w:val="none" w:sz="0" w:space="0" w:color="auto"/>
      </w:divBdr>
    </w:div>
    <w:div w:id="240797407">
      <w:bodyDiv w:val="1"/>
      <w:marLeft w:val="0"/>
      <w:marRight w:val="0"/>
      <w:marTop w:val="0"/>
      <w:marBottom w:val="0"/>
      <w:divBdr>
        <w:top w:val="none" w:sz="0" w:space="0" w:color="auto"/>
        <w:left w:val="none" w:sz="0" w:space="0" w:color="auto"/>
        <w:bottom w:val="none" w:sz="0" w:space="0" w:color="auto"/>
        <w:right w:val="none" w:sz="0" w:space="0" w:color="auto"/>
      </w:divBdr>
    </w:div>
    <w:div w:id="241111721">
      <w:bodyDiv w:val="1"/>
      <w:marLeft w:val="0"/>
      <w:marRight w:val="0"/>
      <w:marTop w:val="0"/>
      <w:marBottom w:val="0"/>
      <w:divBdr>
        <w:top w:val="none" w:sz="0" w:space="0" w:color="auto"/>
        <w:left w:val="none" w:sz="0" w:space="0" w:color="auto"/>
        <w:bottom w:val="none" w:sz="0" w:space="0" w:color="auto"/>
        <w:right w:val="none" w:sz="0" w:space="0" w:color="auto"/>
      </w:divBdr>
    </w:div>
    <w:div w:id="241530274">
      <w:bodyDiv w:val="1"/>
      <w:marLeft w:val="0"/>
      <w:marRight w:val="0"/>
      <w:marTop w:val="0"/>
      <w:marBottom w:val="0"/>
      <w:divBdr>
        <w:top w:val="none" w:sz="0" w:space="0" w:color="auto"/>
        <w:left w:val="none" w:sz="0" w:space="0" w:color="auto"/>
        <w:bottom w:val="none" w:sz="0" w:space="0" w:color="auto"/>
        <w:right w:val="none" w:sz="0" w:space="0" w:color="auto"/>
      </w:divBdr>
    </w:div>
    <w:div w:id="242104496">
      <w:bodyDiv w:val="1"/>
      <w:marLeft w:val="0"/>
      <w:marRight w:val="0"/>
      <w:marTop w:val="0"/>
      <w:marBottom w:val="0"/>
      <w:divBdr>
        <w:top w:val="none" w:sz="0" w:space="0" w:color="auto"/>
        <w:left w:val="none" w:sz="0" w:space="0" w:color="auto"/>
        <w:bottom w:val="none" w:sz="0" w:space="0" w:color="auto"/>
        <w:right w:val="none" w:sz="0" w:space="0" w:color="auto"/>
      </w:divBdr>
    </w:div>
    <w:div w:id="243413316">
      <w:bodyDiv w:val="1"/>
      <w:marLeft w:val="0"/>
      <w:marRight w:val="0"/>
      <w:marTop w:val="0"/>
      <w:marBottom w:val="0"/>
      <w:divBdr>
        <w:top w:val="none" w:sz="0" w:space="0" w:color="auto"/>
        <w:left w:val="none" w:sz="0" w:space="0" w:color="auto"/>
        <w:bottom w:val="none" w:sz="0" w:space="0" w:color="auto"/>
        <w:right w:val="none" w:sz="0" w:space="0" w:color="auto"/>
      </w:divBdr>
    </w:div>
    <w:div w:id="243690632">
      <w:bodyDiv w:val="1"/>
      <w:marLeft w:val="0"/>
      <w:marRight w:val="0"/>
      <w:marTop w:val="0"/>
      <w:marBottom w:val="0"/>
      <w:divBdr>
        <w:top w:val="none" w:sz="0" w:space="0" w:color="auto"/>
        <w:left w:val="none" w:sz="0" w:space="0" w:color="auto"/>
        <w:bottom w:val="none" w:sz="0" w:space="0" w:color="auto"/>
        <w:right w:val="none" w:sz="0" w:space="0" w:color="auto"/>
      </w:divBdr>
    </w:div>
    <w:div w:id="245698754">
      <w:bodyDiv w:val="1"/>
      <w:marLeft w:val="0"/>
      <w:marRight w:val="0"/>
      <w:marTop w:val="0"/>
      <w:marBottom w:val="0"/>
      <w:divBdr>
        <w:top w:val="none" w:sz="0" w:space="0" w:color="auto"/>
        <w:left w:val="none" w:sz="0" w:space="0" w:color="auto"/>
        <w:bottom w:val="none" w:sz="0" w:space="0" w:color="auto"/>
        <w:right w:val="none" w:sz="0" w:space="0" w:color="auto"/>
      </w:divBdr>
    </w:div>
    <w:div w:id="245893134">
      <w:bodyDiv w:val="1"/>
      <w:marLeft w:val="0"/>
      <w:marRight w:val="0"/>
      <w:marTop w:val="0"/>
      <w:marBottom w:val="0"/>
      <w:divBdr>
        <w:top w:val="none" w:sz="0" w:space="0" w:color="auto"/>
        <w:left w:val="none" w:sz="0" w:space="0" w:color="auto"/>
        <w:bottom w:val="none" w:sz="0" w:space="0" w:color="auto"/>
        <w:right w:val="none" w:sz="0" w:space="0" w:color="auto"/>
      </w:divBdr>
    </w:div>
    <w:div w:id="248202577">
      <w:bodyDiv w:val="1"/>
      <w:marLeft w:val="0"/>
      <w:marRight w:val="0"/>
      <w:marTop w:val="0"/>
      <w:marBottom w:val="0"/>
      <w:divBdr>
        <w:top w:val="none" w:sz="0" w:space="0" w:color="auto"/>
        <w:left w:val="none" w:sz="0" w:space="0" w:color="auto"/>
        <w:bottom w:val="none" w:sz="0" w:space="0" w:color="auto"/>
        <w:right w:val="none" w:sz="0" w:space="0" w:color="auto"/>
      </w:divBdr>
    </w:div>
    <w:div w:id="249655581">
      <w:bodyDiv w:val="1"/>
      <w:marLeft w:val="0"/>
      <w:marRight w:val="0"/>
      <w:marTop w:val="0"/>
      <w:marBottom w:val="0"/>
      <w:divBdr>
        <w:top w:val="none" w:sz="0" w:space="0" w:color="auto"/>
        <w:left w:val="none" w:sz="0" w:space="0" w:color="auto"/>
        <w:bottom w:val="none" w:sz="0" w:space="0" w:color="auto"/>
        <w:right w:val="none" w:sz="0" w:space="0" w:color="auto"/>
      </w:divBdr>
    </w:div>
    <w:div w:id="249855105">
      <w:bodyDiv w:val="1"/>
      <w:marLeft w:val="0"/>
      <w:marRight w:val="0"/>
      <w:marTop w:val="0"/>
      <w:marBottom w:val="0"/>
      <w:divBdr>
        <w:top w:val="none" w:sz="0" w:space="0" w:color="auto"/>
        <w:left w:val="none" w:sz="0" w:space="0" w:color="auto"/>
        <w:bottom w:val="none" w:sz="0" w:space="0" w:color="auto"/>
        <w:right w:val="none" w:sz="0" w:space="0" w:color="auto"/>
      </w:divBdr>
    </w:div>
    <w:div w:id="249892304">
      <w:bodyDiv w:val="1"/>
      <w:marLeft w:val="0"/>
      <w:marRight w:val="0"/>
      <w:marTop w:val="0"/>
      <w:marBottom w:val="0"/>
      <w:divBdr>
        <w:top w:val="none" w:sz="0" w:space="0" w:color="auto"/>
        <w:left w:val="none" w:sz="0" w:space="0" w:color="auto"/>
        <w:bottom w:val="none" w:sz="0" w:space="0" w:color="auto"/>
        <w:right w:val="none" w:sz="0" w:space="0" w:color="auto"/>
      </w:divBdr>
    </w:div>
    <w:div w:id="250045074">
      <w:bodyDiv w:val="1"/>
      <w:marLeft w:val="0"/>
      <w:marRight w:val="0"/>
      <w:marTop w:val="0"/>
      <w:marBottom w:val="0"/>
      <w:divBdr>
        <w:top w:val="none" w:sz="0" w:space="0" w:color="auto"/>
        <w:left w:val="none" w:sz="0" w:space="0" w:color="auto"/>
        <w:bottom w:val="none" w:sz="0" w:space="0" w:color="auto"/>
        <w:right w:val="none" w:sz="0" w:space="0" w:color="auto"/>
      </w:divBdr>
    </w:div>
    <w:div w:id="250548375">
      <w:bodyDiv w:val="1"/>
      <w:marLeft w:val="0"/>
      <w:marRight w:val="0"/>
      <w:marTop w:val="0"/>
      <w:marBottom w:val="0"/>
      <w:divBdr>
        <w:top w:val="none" w:sz="0" w:space="0" w:color="auto"/>
        <w:left w:val="none" w:sz="0" w:space="0" w:color="auto"/>
        <w:bottom w:val="none" w:sz="0" w:space="0" w:color="auto"/>
        <w:right w:val="none" w:sz="0" w:space="0" w:color="auto"/>
      </w:divBdr>
    </w:div>
    <w:div w:id="250941709">
      <w:bodyDiv w:val="1"/>
      <w:marLeft w:val="0"/>
      <w:marRight w:val="0"/>
      <w:marTop w:val="0"/>
      <w:marBottom w:val="0"/>
      <w:divBdr>
        <w:top w:val="none" w:sz="0" w:space="0" w:color="auto"/>
        <w:left w:val="none" w:sz="0" w:space="0" w:color="auto"/>
        <w:bottom w:val="none" w:sz="0" w:space="0" w:color="auto"/>
        <w:right w:val="none" w:sz="0" w:space="0" w:color="auto"/>
      </w:divBdr>
    </w:div>
    <w:div w:id="251160916">
      <w:bodyDiv w:val="1"/>
      <w:marLeft w:val="0"/>
      <w:marRight w:val="0"/>
      <w:marTop w:val="0"/>
      <w:marBottom w:val="0"/>
      <w:divBdr>
        <w:top w:val="none" w:sz="0" w:space="0" w:color="auto"/>
        <w:left w:val="none" w:sz="0" w:space="0" w:color="auto"/>
        <w:bottom w:val="none" w:sz="0" w:space="0" w:color="auto"/>
        <w:right w:val="none" w:sz="0" w:space="0" w:color="auto"/>
      </w:divBdr>
    </w:div>
    <w:div w:id="252056851">
      <w:bodyDiv w:val="1"/>
      <w:marLeft w:val="0"/>
      <w:marRight w:val="0"/>
      <w:marTop w:val="0"/>
      <w:marBottom w:val="0"/>
      <w:divBdr>
        <w:top w:val="none" w:sz="0" w:space="0" w:color="auto"/>
        <w:left w:val="none" w:sz="0" w:space="0" w:color="auto"/>
        <w:bottom w:val="none" w:sz="0" w:space="0" w:color="auto"/>
        <w:right w:val="none" w:sz="0" w:space="0" w:color="auto"/>
      </w:divBdr>
    </w:div>
    <w:div w:id="254286167">
      <w:bodyDiv w:val="1"/>
      <w:marLeft w:val="0"/>
      <w:marRight w:val="0"/>
      <w:marTop w:val="0"/>
      <w:marBottom w:val="0"/>
      <w:divBdr>
        <w:top w:val="none" w:sz="0" w:space="0" w:color="auto"/>
        <w:left w:val="none" w:sz="0" w:space="0" w:color="auto"/>
        <w:bottom w:val="none" w:sz="0" w:space="0" w:color="auto"/>
        <w:right w:val="none" w:sz="0" w:space="0" w:color="auto"/>
      </w:divBdr>
    </w:div>
    <w:div w:id="254441948">
      <w:bodyDiv w:val="1"/>
      <w:marLeft w:val="0"/>
      <w:marRight w:val="0"/>
      <w:marTop w:val="0"/>
      <w:marBottom w:val="0"/>
      <w:divBdr>
        <w:top w:val="none" w:sz="0" w:space="0" w:color="auto"/>
        <w:left w:val="none" w:sz="0" w:space="0" w:color="auto"/>
        <w:bottom w:val="none" w:sz="0" w:space="0" w:color="auto"/>
        <w:right w:val="none" w:sz="0" w:space="0" w:color="auto"/>
      </w:divBdr>
    </w:div>
    <w:div w:id="254485305">
      <w:bodyDiv w:val="1"/>
      <w:marLeft w:val="0"/>
      <w:marRight w:val="0"/>
      <w:marTop w:val="0"/>
      <w:marBottom w:val="0"/>
      <w:divBdr>
        <w:top w:val="none" w:sz="0" w:space="0" w:color="auto"/>
        <w:left w:val="none" w:sz="0" w:space="0" w:color="auto"/>
        <w:bottom w:val="none" w:sz="0" w:space="0" w:color="auto"/>
        <w:right w:val="none" w:sz="0" w:space="0" w:color="auto"/>
      </w:divBdr>
    </w:div>
    <w:div w:id="254554874">
      <w:bodyDiv w:val="1"/>
      <w:marLeft w:val="0"/>
      <w:marRight w:val="0"/>
      <w:marTop w:val="0"/>
      <w:marBottom w:val="0"/>
      <w:divBdr>
        <w:top w:val="none" w:sz="0" w:space="0" w:color="auto"/>
        <w:left w:val="none" w:sz="0" w:space="0" w:color="auto"/>
        <w:bottom w:val="none" w:sz="0" w:space="0" w:color="auto"/>
        <w:right w:val="none" w:sz="0" w:space="0" w:color="auto"/>
      </w:divBdr>
    </w:div>
    <w:div w:id="254899790">
      <w:bodyDiv w:val="1"/>
      <w:marLeft w:val="0"/>
      <w:marRight w:val="0"/>
      <w:marTop w:val="0"/>
      <w:marBottom w:val="0"/>
      <w:divBdr>
        <w:top w:val="none" w:sz="0" w:space="0" w:color="auto"/>
        <w:left w:val="none" w:sz="0" w:space="0" w:color="auto"/>
        <w:bottom w:val="none" w:sz="0" w:space="0" w:color="auto"/>
        <w:right w:val="none" w:sz="0" w:space="0" w:color="auto"/>
      </w:divBdr>
    </w:div>
    <w:div w:id="256913306">
      <w:bodyDiv w:val="1"/>
      <w:marLeft w:val="0"/>
      <w:marRight w:val="0"/>
      <w:marTop w:val="0"/>
      <w:marBottom w:val="0"/>
      <w:divBdr>
        <w:top w:val="none" w:sz="0" w:space="0" w:color="auto"/>
        <w:left w:val="none" w:sz="0" w:space="0" w:color="auto"/>
        <w:bottom w:val="none" w:sz="0" w:space="0" w:color="auto"/>
        <w:right w:val="none" w:sz="0" w:space="0" w:color="auto"/>
      </w:divBdr>
    </w:div>
    <w:div w:id="258028664">
      <w:bodyDiv w:val="1"/>
      <w:marLeft w:val="0"/>
      <w:marRight w:val="0"/>
      <w:marTop w:val="0"/>
      <w:marBottom w:val="0"/>
      <w:divBdr>
        <w:top w:val="none" w:sz="0" w:space="0" w:color="auto"/>
        <w:left w:val="none" w:sz="0" w:space="0" w:color="auto"/>
        <w:bottom w:val="none" w:sz="0" w:space="0" w:color="auto"/>
        <w:right w:val="none" w:sz="0" w:space="0" w:color="auto"/>
      </w:divBdr>
    </w:div>
    <w:div w:id="262498461">
      <w:bodyDiv w:val="1"/>
      <w:marLeft w:val="0"/>
      <w:marRight w:val="0"/>
      <w:marTop w:val="0"/>
      <w:marBottom w:val="0"/>
      <w:divBdr>
        <w:top w:val="none" w:sz="0" w:space="0" w:color="auto"/>
        <w:left w:val="none" w:sz="0" w:space="0" w:color="auto"/>
        <w:bottom w:val="none" w:sz="0" w:space="0" w:color="auto"/>
        <w:right w:val="none" w:sz="0" w:space="0" w:color="auto"/>
      </w:divBdr>
    </w:div>
    <w:div w:id="262566940">
      <w:bodyDiv w:val="1"/>
      <w:marLeft w:val="0"/>
      <w:marRight w:val="0"/>
      <w:marTop w:val="0"/>
      <w:marBottom w:val="0"/>
      <w:divBdr>
        <w:top w:val="none" w:sz="0" w:space="0" w:color="auto"/>
        <w:left w:val="none" w:sz="0" w:space="0" w:color="auto"/>
        <w:bottom w:val="none" w:sz="0" w:space="0" w:color="auto"/>
        <w:right w:val="none" w:sz="0" w:space="0" w:color="auto"/>
      </w:divBdr>
    </w:div>
    <w:div w:id="263539427">
      <w:bodyDiv w:val="1"/>
      <w:marLeft w:val="0"/>
      <w:marRight w:val="0"/>
      <w:marTop w:val="0"/>
      <w:marBottom w:val="0"/>
      <w:divBdr>
        <w:top w:val="none" w:sz="0" w:space="0" w:color="auto"/>
        <w:left w:val="none" w:sz="0" w:space="0" w:color="auto"/>
        <w:bottom w:val="none" w:sz="0" w:space="0" w:color="auto"/>
        <w:right w:val="none" w:sz="0" w:space="0" w:color="auto"/>
      </w:divBdr>
    </w:div>
    <w:div w:id="264725886">
      <w:bodyDiv w:val="1"/>
      <w:marLeft w:val="0"/>
      <w:marRight w:val="0"/>
      <w:marTop w:val="0"/>
      <w:marBottom w:val="0"/>
      <w:divBdr>
        <w:top w:val="none" w:sz="0" w:space="0" w:color="auto"/>
        <w:left w:val="none" w:sz="0" w:space="0" w:color="auto"/>
        <w:bottom w:val="none" w:sz="0" w:space="0" w:color="auto"/>
        <w:right w:val="none" w:sz="0" w:space="0" w:color="auto"/>
      </w:divBdr>
    </w:div>
    <w:div w:id="266546264">
      <w:bodyDiv w:val="1"/>
      <w:marLeft w:val="0"/>
      <w:marRight w:val="0"/>
      <w:marTop w:val="0"/>
      <w:marBottom w:val="0"/>
      <w:divBdr>
        <w:top w:val="none" w:sz="0" w:space="0" w:color="auto"/>
        <w:left w:val="none" w:sz="0" w:space="0" w:color="auto"/>
        <w:bottom w:val="none" w:sz="0" w:space="0" w:color="auto"/>
        <w:right w:val="none" w:sz="0" w:space="0" w:color="auto"/>
      </w:divBdr>
    </w:div>
    <w:div w:id="267853381">
      <w:bodyDiv w:val="1"/>
      <w:marLeft w:val="0"/>
      <w:marRight w:val="0"/>
      <w:marTop w:val="0"/>
      <w:marBottom w:val="0"/>
      <w:divBdr>
        <w:top w:val="none" w:sz="0" w:space="0" w:color="auto"/>
        <w:left w:val="none" w:sz="0" w:space="0" w:color="auto"/>
        <w:bottom w:val="none" w:sz="0" w:space="0" w:color="auto"/>
        <w:right w:val="none" w:sz="0" w:space="0" w:color="auto"/>
      </w:divBdr>
    </w:div>
    <w:div w:id="268658885">
      <w:bodyDiv w:val="1"/>
      <w:marLeft w:val="0"/>
      <w:marRight w:val="0"/>
      <w:marTop w:val="0"/>
      <w:marBottom w:val="0"/>
      <w:divBdr>
        <w:top w:val="none" w:sz="0" w:space="0" w:color="auto"/>
        <w:left w:val="none" w:sz="0" w:space="0" w:color="auto"/>
        <w:bottom w:val="none" w:sz="0" w:space="0" w:color="auto"/>
        <w:right w:val="none" w:sz="0" w:space="0" w:color="auto"/>
      </w:divBdr>
    </w:div>
    <w:div w:id="268973852">
      <w:bodyDiv w:val="1"/>
      <w:marLeft w:val="0"/>
      <w:marRight w:val="0"/>
      <w:marTop w:val="0"/>
      <w:marBottom w:val="0"/>
      <w:divBdr>
        <w:top w:val="none" w:sz="0" w:space="0" w:color="auto"/>
        <w:left w:val="none" w:sz="0" w:space="0" w:color="auto"/>
        <w:bottom w:val="none" w:sz="0" w:space="0" w:color="auto"/>
        <w:right w:val="none" w:sz="0" w:space="0" w:color="auto"/>
      </w:divBdr>
    </w:div>
    <w:div w:id="271712543">
      <w:bodyDiv w:val="1"/>
      <w:marLeft w:val="0"/>
      <w:marRight w:val="0"/>
      <w:marTop w:val="0"/>
      <w:marBottom w:val="0"/>
      <w:divBdr>
        <w:top w:val="none" w:sz="0" w:space="0" w:color="auto"/>
        <w:left w:val="none" w:sz="0" w:space="0" w:color="auto"/>
        <w:bottom w:val="none" w:sz="0" w:space="0" w:color="auto"/>
        <w:right w:val="none" w:sz="0" w:space="0" w:color="auto"/>
      </w:divBdr>
    </w:div>
    <w:div w:id="272902047">
      <w:bodyDiv w:val="1"/>
      <w:marLeft w:val="0"/>
      <w:marRight w:val="0"/>
      <w:marTop w:val="0"/>
      <w:marBottom w:val="0"/>
      <w:divBdr>
        <w:top w:val="none" w:sz="0" w:space="0" w:color="auto"/>
        <w:left w:val="none" w:sz="0" w:space="0" w:color="auto"/>
        <w:bottom w:val="none" w:sz="0" w:space="0" w:color="auto"/>
        <w:right w:val="none" w:sz="0" w:space="0" w:color="auto"/>
      </w:divBdr>
    </w:div>
    <w:div w:id="274794188">
      <w:bodyDiv w:val="1"/>
      <w:marLeft w:val="0"/>
      <w:marRight w:val="0"/>
      <w:marTop w:val="0"/>
      <w:marBottom w:val="0"/>
      <w:divBdr>
        <w:top w:val="none" w:sz="0" w:space="0" w:color="auto"/>
        <w:left w:val="none" w:sz="0" w:space="0" w:color="auto"/>
        <w:bottom w:val="none" w:sz="0" w:space="0" w:color="auto"/>
        <w:right w:val="none" w:sz="0" w:space="0" w:color="auto"/>
      </w:divBdr>
    </w:div>
    <w:div w:id="275218370">
      <w:bodyDiv w:val="1"/>
      <w:marLeft w:val="0"/>
      <w:marRight w:val="0"/>
      <w:marTop w:val="0"/>
      <w:marBottom w:val="0"/>
      <w:divBdr>
        <w:top w:val="none" w:sz="0" w:space="0" w:color="auto"/>
        <w:left w:val="none" w:sz="0" w:space="0" w:color="auto"/>
        <w:bottom w:val="none" w:sz="0" w:space="0" w:color="auto"/>
        <w:right w:val="none" w:sz="0" w:space="0" w:color="auto"/>
      </w:divBdr>
    </w:div>
    <w:div w:id="275791666">
      <w:bodyDiv w:val="1"/>
      <w:marLeft w:val="0"/>
      <w:marRight w:val="0"/>
      <w:marTop w:val="0"/>
      <w:marBottom w:val="0"/>
      <w:divBdr>
        <w:top w:val="none" w:sz="0" w:space="0" w:color="auto"/>
        <w:left w:val="none" w:sz="0" w:space="0" w:color="auto"/>
        <w:bottom w:val="none" w:sz="0" w:space="0" w:color="auto"/>
        <w:right w:val="none" w:sz="0" w:space="0" w:color="auto"/>
      </w:divBdr>
    </w:div>
    <w:div w:id="276372802">
      <w:bodyDiv w:val="1"/>
      <w:marLeft w:val="0"/>
      <w:marRight w:val="0"/>
      <w:marTop w:val="0"/>
      <w:marBottom w:val="0"/>
      <w:divBdr>
        <w:top w:val="none" w:sz="0" w:space="0" w:color="auto"/>
        <w:left w:val="none" w:sz="0" w:space="0" w:color="auto"/>
        <w:bottom w:val="none" w:sz="0" w:space="0" w:color="auto"/>
        <w:right w:val="none" w:sz="0" w:space="0" w:color="auto"/>
      </w:divBdr>
    </w:div>
    <w:div w:id="277949991">
      <w:bodyDiv w:val="1"/>
      <w:marLeft w:val="0"/>
      <w:marRight w:val="0"/>
      <w:marTop w:val="0"/>
      <w:marBottom w:val="0"/>
      <w:divBdr>
        <w:top w:val="none" w:sz="0" w:space="0" w:color="auto"/>
        <w:left w:val="none" w:sz="0" w:space="0" w:color="auto"/>
        <w:bottom w:val="none" w:sz="0" w:space="0" w:color="auto"/>
        <w:right w:val="none" w:sz="0" w:space="0" w:color="auto"/>
      </w:divBdr>
    </w:div>
    <w:div w:id="278028694">
      <w:bodyDiv w:val="1"/>
      <w:marLeft w:val="0"/>
      <w:marRight w:val="0"/>
      <w:marTop w:val="0"/>
      <w:marBottom w:val="0"/>
      <w:divBdr>
        <w:top w:val="none" w:sz="0" w:space="0" w:color="auto"/>
        <w:left w:val="none" w:sz="0" w:space="0" w:color="auto"/>
        <w:bottom w:val="none" w:sz="0" w:space="0" w:color="auto"/>
        <w:right w:val="none" w:sz="0" w:space="0" w:color="auto"/>
      </w:divBdr>
    </w:div>
    <w:div w:id="278805424">
      <w:bodyDiv w:val="1"/>
      <w:marLeft w:val="0"/>
      <w:marRight w:val="0"/>
      <w:marTop w:val="0"/>
      <w:marBottom w:val="0"/>
      <w:divBdr>
        <w:top w:val="none" w:sz="0" w:space="0" w:color="auto"/>
        <w:left w:val="none" w:sz="0" w:space="0" w:color="auto"/>
        <w:bottom w:val="none" w:sz="0" w:space="0" w:color="auto"/>
        <w:right w:val="none" w:sz="0" w:space="0" w:color="auto"/>
      </w:divBdr>
    </w:div>
    <w:div w:id="279848973">
      <w:bodyDiv w:val="1"/>
      <w:marLeft w:val="0"/>
      <w:marRight w:val="0"/>
      <w:marTop w:val="0"/>
      <w:marBottom w:val="0"/>
      <w:divBdr>
        <w:top w:val="none" w:sz="0" w:space="0" w:color="auto"/>
        <w:left w:val="none" w:sz="0" w:space="0" w:color="auto"/>
        <w:bottom w:val="none" w:sz="0" w:space="0" w:color="auto"/>
        <w:right w:val="none" w:sz="0" w:space="0" w:color="auto"/>
      </w:divBdr>
    </w:div>
    <w:div w:id="280038917">
      <w:bodyDiv w:val="1"/>
      <w:marLeft w:val="0"/>
      <w:marRight w:val="0"/>
      <w:marTop w:val="0"/>
      <w:marBottom w:val="0"/>
      <w:divBdr>
        <w:top w:val="none" w:sz="0" w:space="0" w:color="auto"/>
        <w:left w:val="none" w:sz="0" w:space="0" w:color="auto"/>
        <w:bottom w:val="none" w:sz="0" w:space="0" w:color="auto"/>
        <w:right w:val="none" w:sz="0" w:space="0" w:color="auto"/>
      </w:divBdr>
    </w:div>
    <w:div w:id="280112864">
      <w:bodyDiv w:val="1"/>
      <w:marLeft w:val="0"/>
      <w:marRight w:val="0"/>
      <w:marTop w:val="0"/>
      <w:marBottom w:val="0"/>
      <w:divBdr>
        <w:top w:val="none" w:sz="0" w:space="0" w:color="auto"/>
        <w:left w:val="none" w:sz="0" w:space="0" w:color="auto"/>
        <w:bottom w:val="none" w:sz="0" w:space="0" w:color="auto"/>
        <w:right w:val="none" w:sz="0" w:space="0" w:color="auto"/>
      </w:divBdr>
    </w:div>
    <w:div w:id="280380202">
      <w:bodyDiv w:val="1"/>
      <w:marLeft w:val="0"/>
      <w:marRight w:val="0"/>
      <w:marTop w:val="0"/>
      <w:marBottom w:val="0"/>
      <w:divBdr>
        <w:top w:val="none" w:sz="0" w:space="0" w:color="auto"/>
        <w:left w:val="none" w:sz="0" w:space="0" w:color="auto"/>
        <w:bottom w:val="none" w:sz="0" w:space="0" w:color="auto"/>
        <w:right w:val="none" w:sz="0" w:space="0" w:color="auto"/>
      </w:divBdr>
    </w:div>
    <w:div w:id="281502873">
      <w:bodyDiv w:val="1"/>
      <w:marLeft w:val="0"/>
      <w:marRight w:val="0"/>
      <w:marTop w:val="0"/>
      <w:marBottom w:val="0"/>
      <w:divBdr>
        <w:top w:val="none" w:sz="0" w:space="0" w:color="auto"/>
        <w:left w:val="none" w:sz="0" w:space="0" w:color="auto"/>
        <w:bottom w:val="none" w:sz="0" w:space="0" w:color="auto"/>
        <w:right w:val="none" w:sz="0" w:space="0" w:color="auto"/>
      </w:divBdr>
    </w:div>
    <w:div w:id="282347766">
      <w:bodyDiv w:val="1"/>
      <w:marLeft w:val="0"/>
      <w:marRight w:val="0"/>
      <w:marTop w:val="0"/>
      <w:marBottom w:val="0"/>
      <w:divBdr>
        <w:top w:val="none" w:sz="0" w:space="0" w:color="auto"/>
        <w:left w:val="none" w:sz="0" w:space="0" w:color="auto"/>
        <w:bottom w:val="none" w:sz="0" w:space="0" w:color="auto"/>
        <w:right w:val="none" w:sz="0" w:space="0" w:color="auto"/>
      </w:divBdr>
    </w:div>
    <w:div w:id="284119235">
      <w:bodyDiv w:val="1"/>
      <w:marLeft w:val="0"/>
      <w:marRight w:val="0"/>
      <w:marTop w:val="0"/>
      <w:marBottom w:val="0"/>
      <w:divBdr>
        <w:top w:val="none" w:sz="0" w:space="0" w:color="auto"/>
        <w:left w:val="none" w:sz="0" w:space="0" w:color="auto"/>
        <w:bottom w:val="none" w:sz="0" w:space="0" w:color="auto"/>
        <w:right w:val="none" w:sz="0" w:space="0" w:color="auto"/>
      </w:divBdr>
    </w:div>
    <w:div w:id="285505596">
      <w:bodyDiv w:val="1"/>
      <w:marLeft w:val="0"/>
      <w:marRight w:val="0"/>
      <w:marTop w:val="0"/>
      <w:marBottom w:val="0"/>
      <w:divBdr>
        <w:top w:val="none" w:sz="0" w:space="0" w:color="auto"/>
        <w:left w:val="none" w:sz="0" w:space="0" w:color="auto"/>
        <w:bottom w:val="none" w:sz="0" w:space="0" w:color="auto"/>
        <w:right w:val="none" w:sz="0" w:space="0" w:color="auto"/>
      </w:divBdr>
    </w:div>
    <w:div w:id="286084385">
      <w:bodyDiv w:val="1"/>
      <w:marLeft w:val="0"/>
      <w:marRight w:val="0"/>
      <w:marTop w:val="0"/>
      <w:marBottom w:val="0"/>
      <w:divBdr>
        <w:top w:val="none" w:sz="0" w:space="0" w:color="auto"/>
        <w:left w:val="none" w:sz="0" w:space="0" w:color="auto"/>
        <w:bottom w:val="none" w:sz="0" w:space="0" w:color="auto"/>
        <w:right w:val="none" w:sz="0" w:space="0" w:color="auto"/>
      </w:divBdr>
    </w:div>
    <w:div w:id="286200985">
      <w:bodyDiv w:val="1"/>
      <w:marLeft w:val="0"/>
      <w:marRight w:val="0"/>
      <w:marTop w:val="0"/>
      <w:marBottom w:val="0"/>
      <w:divBdr>
        <w:top w:val="none" w:sz="0" w:space="0" w:color="auto"/>
        <w:left w:val="none" w:sz="0" w:space="0" w:color="auto"/>
        <w:bottom w:val="none" w:sz="0" w:space="0" w:color="auto"/>
        <w:right w:val="none" w:sz="0" w:space="0" w:color="auto"/>
      </w:divBdr>
    </w:div>
    <w:div w:id="289434989">
      <w:bodyDiv w:val="1"/>
      <w:marLeft w:val="0"/>
      <w:marRight w:val="0"/>
      <w:marTop w:val="0"/>
      <w:marBottom w:val="0"/>
      <w:divBdr>
        <w:top w:val="none" w:sz="0" w:space="0" w:color="auto"/>
        <w:left w:val="none" w:sz="0" w:space="0" w:color="auto"/>
        <w:bottom w:val="none" w:sz="0" w:space="0" w:color="auto"/>
        <w:right w:val="none" w:sz="0" w:space="0" w:color="auto"/>
      </w:divBdr>
    </w:div>
    <w:div w:id="290601826">
      <w:bodyDiv w:val="1"/>
      <w:marLeft w:val="0"/>
      <w:marRight w:val="0"/>
      <w:marTop w:val="0"/>
      <w:marBottom w:val="0"/>
      <w:divBdr>
        <w:top w:val="none" w:sz="0" w:space="0" w:color="auto"/>
        <w:left w:val="none" w:sz="0" w:space="0" w:color="auto"/>
        <w:bottom w:val="none" w:sz="0" w:space="0" w:color="auto"/>
        <w:right w:val="none" w:sz="0" w:space="0" w:color="auto"/>
      </w:divBdr>
    </w:div>
    <w:div w:id="290750062">
      <w:bodyDiv w:val="1"/>
      <w:marLeft w:val="0"/>
      <w:marRight w:val="0"/>
      <w:marTop w:val="0"/>
      <w:marBottom w:val="0"/>
      <w:divBdr>
        <w:top w:val="none" w:sz="0" w:space="0" w:color="auto"/>
        <w:left w:val="none" w:sz="0" w:space="0" w:color="auto"/>
        <w:bottom w:val="none" w:sz="0" w:space="0" w:color="auto"/>
        <w:right w:val="none" w:sz="0" w:space="0" w:color="auto"/>
      </w:divBdr>
    </w:div>
    <w:div w:id="291138692">
      <w:bodyDiv w:val="1"/>
      <w:marLeft w:val="0"/>
      <w:marRight w:val="0"/>
      <w:marTop w:val="0"/>
      <w:marBottom w:val="0"/>
      <w:divBdr>
        <w:top w:val="none" w:sz="0" w:space="0" w:color="auto"/>
        <w:left w:val="none" w:sz="0" w:space="0" w:color="auto"/>
        <w:bottom w:val="none" w:sz="0" w:space="0" w:color="auto"/>
        <w:right w:val="none" w:sz="0" w:space="0" w:color="auto"/>
      </w:divBdr>
    </w:div>
    <w:div w:id="291330332">
      <w:bodyDiv w:val="1"/>
      <w:marLeft w:val="0"/>
      <w:marRight w:val="0"/>
      <w:marTop w:val="0"/>
      <w:marBottom w:val="0"/>
      <w:divBdr>
        <w:top w:val="none" w:sz="0" w:space="0" w:color="auto"/>
        <w:left w:val="none" w:sz="0" w:space="0" w:color="auto"/>
        <w:bottom w:val="none" w:sz="0" w:space="0" w:color="auto"/>
        <w:right w:val="none" w:sz="0" w:space="0" w:color="auto"/>
      </w:divBdr>
    </w:div>
    <w:div w:id="292256469">
      <w:bodyDiv w:val="1"/>
      <w:marLeft w:val="0"/>
      <w:marRight w:val="0"/>
      <w:marTop w:val="0"/>
      <w:marBottom w:val="0"/>
      <w:divBdr>
        <w:top w:val="none" w:sz="0" w:space="0" w:color="auto"/>
        <w:left w:val="none" w:sz="0" w:space="0" w:color="auto"/>
        <w:bottom w:val="none" w:sz="0" w:space="0" w:color="auto"/>
        <w:right w:val="none" w:sz="0" w:space="0" w:color="auto"/>
      </w:divBdr>
    </w:div>
    <w:div w:id="293800623">
      <w:bodyDiv w:val="1"/>
      <w:marLeft w:val="0"/>
      <w:marRight w:val="0"/>
      <w:marTop w:val="0"/>
      <w:marBottom w:val="0"/>
      <w:divBdr>
        <w:top w:val="none" w:sz="0" w:space="0" w:color="auto"/>
        <w:left w:val="none" w:sz="0" w:space="0" w:color="auto"/>
        <w:bottom w:val="none" w:sz="0" w:space="0" w:color="auto"/>
        <w:right w:val="none" w:sz="0" w:space="0" w:color="auto"/>
      </w:divBdr>
    </w:div>
    <w:div w:id="295717690">
      <w:bodyDiv w:val="1"/>
      <w:marLeft w:val="0"/>
      <w:marRight w:val="0"/>
      <w:marTop w:val="0"/>
      <w:marBottom w:val="0"/>
      <w:divBdr>
        <w:top w:val="none" w:sz="0" w:space="0" w:color="auto"/>
        <w:left w:val="none" w:sz="0" w:space="0" w:color="auto"/>
        <w:bottom w:val="none" w:sz="0" w:space="0" w:color="auto"/>
        <w:right w:val="none" w:sz="0" w:space="0" w:color="auto"/>
      </w:divBdr>
    </w:div>
    <w:div w:id="297150651">
      <w:bodyDiv w:val="1"/>
      <w:marLeft w:val="0"/>
      <w:marRight w:val="0"/>
      <w:marTop w:val="0"/>
      <w:marBottom w:val="0"/>
      <w:divBdr>
        <w:top w:val="none" w:sz="0" w:space="0" w:color="auto"/>
        <w:left w:val="none" w:sz="0" w:space="0" w:color="auto"/>
        <w:bottom w:val="none" w:sz="0" w:space="0" w:color="auto"/>
        <w:right w:val="none" w:sz="0" w:space="0" w:color="auto"/>
      </w:divBdr>
    </w:div>
    <w:div w:id="297154977">
      <w:bodyDiv w:val="1"/>
      <w:marLeft w:val="0"/>
      <w:marRight w:val="0"/>
      <w:marTop w:val="0"/>
      <w:marBottom w:val="0"/>
      <w:divBdr>
        <w:top w:val="none" w:sz="0" w:space="0" w:color="auto"/>
        <w:left w:val="none" w:sz="0" w:space="0" w:color="auto"/>
        <w:bottom w:val="none" w:sz="0" w:space="0" w:color="auto"/>
        <w:right w:val="none" w:sz="0" w:space="0" w:color="auto"/>
      </w:divBdr>
    </w:div>
    <w:div w:id="297420711">
      <w:bodyDiv w:val="1"/>
      <w:marLeft w:val="0"/>
      <w:marRight w:val="0"/>
      <w:marTop w:val="0"/>
      <w:marBottom w:val="0"/>
      <w:divBdr>
        <w:top w:val="none" w:sz="0" w:space="0" w:color="auto"/>
        <w:left w:val="none" w:sz="0" w:space="0" w:color="auto"/>
        <w:bottom w:val="none" w:sz="0" w:space="0" w:color="auto"/>
        <w:right w:val="none" w:sz="0" w:space="0" w:color="auto"/>
      </w:divBdr>
    </w:div>
    <w:div w:id="299653714">
      <w:bodyDiv w:val="1"/>
      <w:marLeft w:val="0"/>
      <w:marRight w:val="0"/>
      <w:marTop w:val="0"/>
      <w:marBottom w:val="0"/>
      <w:divBdr>
        <w:top w:val="none" w:sz="0" w:space="0" w:color="auto"/>
        <w:left w:val="none" w:sz="0" w:space="0" w:color="auto"/>
        <w:bottom w:val="none" w:sz="0" w:space="0" w:color="auto"/>
        <w:right w:val="none" w:sz="0" w:space="0" w:color="auto"/>
      </w:divBdr>
    </w:div>
    <w:div w:id="301350505">
      <w:bodyDiv w:val="1"/>
      <w:marLeft w:val="0"/>
      <w:marRight w:val="0"/>
      <w:marTop w:val="0"/>
      <w:marBottom w:val="0"/>
      <w:divBdr>
        <w:top w:val="none" w:sz="0" w:space="0" w:color="auto"/>
        <w:left w:val="none" w:sz="0" w:space="0" w:color="auto"/>
        <w:bottom w:val="none" w:sz="0" w:space="0" w:color="auto"/>
        <w:right w:val="none" w:sz="0" w:space="0" w:color="auto"/>
      </w:divBdr>
    </w:div>
    <w:div w:id="301816126">
      <w:bodyDiv w:val="1"/>
      <w:marLeft w:val="0"/>
      <w:marRight w:val="0"/>
      <w:marTop w:val="0"/>
      <w:marBottom w:val="0"/>
      <w:divBdr>
        <w:top w:val="none" w:sz="0" w:space="0" w:color="auto"/>
        <w:left w:val="none" w:sz="0" w:space="0" w:color="auto"/>
        <w:bottom w:val="none" w:sz="0" w:space="0" w:color="auto"/>
        <w:right w:val="none" w:sz="0" w:space="0" w:color="auto"/>
      </w:divBdr>
    </w:div>
    <w:div w:id="302349370">
      <w:bodyDiv w:val="1"/>
      <w:marLeft w:val="0"/>
      <w:marRight w:val="0"/>
      <w:marTop w:val="0"/>
      <w:marBottom w:val="0"/>
      <w:divBdr>
        <w:top w:val="none" w:sz="0" w:space="0" w:color="auto"/>
        <w:left w:val="none" w:sz="0" w:space="0" w:color="auto"/>
        <w:bottom w:val="none" w:sz="0" w:space="0" w:color="auto"/>
        <w:right w:val="none" w:sz="0" w:space="0" w:color="auto"/>
      </w:divBdr>
    </w:div>
    <w:div w:id="302738194">
      <w:bodyDiv w:val="1"/>
      <w:marLeft w:val="0"/>
      <w:marRight w:val="0"/>
      <w:marTop w:val="0"/>
      <w:marBottom w:val="0"/>
      <w:divBdr>
        <w:top w:val="none" w:sz="0" w:space="0" w:color="auto"/>
        <w:left w:val="none" w:sz="0" w:space="0" w:color="auto"/>
        <w:bottom w:val="none" w:sz="0" w:space="0" w:color="auto"/>
        <w:right w:val="none" w:sz="0" w:space="0" w:color="auto"/>
      </w:divBdr>
    </w:div>
    <w:div w:id="303657855">
      <w:bodyDiv w:val="1"/>
      <w:marLeft w:val="0"/>
      <w:marRight w:val="0"/>
      <w:marTop w:val="0"/>
      <w:marBottom w:val="0"/>
      <w:divBdr>
        <w:top w:val="none" w:sz="0" w:space="0" w:color="auto"/>
        <w:left w:val="none" w:sz="0" w:space="0" w:color="auto"/>
        <w:bottom w:val="none" w:sz="0" w:space="0" w:color="auto"/>
        <w:right w:val="none" w:sz="0" w:space="0" w:color="auto"/>
      </w:divBdr>
    </w:div>
    <w:div w:id="303781105">
      <w:bodyDiv w:val="1"/>
      <w:marLeft w:val="0"/>
      <w:marRight w:val="0"/>
      <w:marTop w:val="0"/>
      <w:marBottom w:val="0"/>
      <w:divBdr>
        <w:top w:val="none" w:sz="0" w:space="0" w:color="auto"/>
        <w:left w:val="none" w:sz="0" w:space="0" w:color="auto"/>
        <w:bottom w:val="none" w:sz="0" w:space="0" w:color="auto"/>
        <w:right w:val="none" w:sz="0" w:space="0" w:color="auto"/>
      </w:divBdr>
    </w:div>
    <w:div w:id="305934926">
      <w:bodyDiv w:val="1"/>
      <w:marLeft w:val="0"/>
      <w:marRight w:val="0"/>
      <w:marTop w:val="0"/>
      <w:marBottom w:val="0"/>
      <w:divBdr>
        <w:top w:val="none" w:sz="0" w:space="0" w:color="auto"/>
        <w:left w:val="none" w:sz="0" w:space="0" w:color="auto"/>
        <w:bottom w:val="none" w:sz="0" w:space="0" w:color="auto"/>
        <w:right w:val="none" w:sz="0" w:space="0" w:color="auto"/>
      </w:divBdr>
    </w:div>
    <w:div w:id="306515761">
      <w:bodyDiv w:val="1"/>
      <w:marLeft w:val="0"/>
      <w:marRight w:val="0"/>
      <w:marTop w:val="0"/>
      <w:marBottom w:val="0"/>
      <w:divBdr>
        <w:top w:val="none" w:sz="0" w:space="0" w:color="auto"/>
        <w:left w:val="none" w:sz="0" w:space="0" w:color="auto"/>
        <w:bottom w:val="none" w:sz="0" w:space="0" w:color="auto"/>
        <w:right w:val="none" w:sz="0" w:space="0" w:color="auto"/>
      </w:divBdr>
    </w:div>
    <w:div w:id="308093482">
      <w:bodyDiv w:val="1"/>
      <w:marLeft w:val="0"/>
      <w:marRight w:val="0"/>
      <w:marTop w:val="0"/>
      <w:marBottom w:val="0"/>
      <w:divBdr>
        <w:top w:val="none" w:sz="0" w:space="0" w:color="auto"/>
        <w:left w:val="none" w:sz="0" w:space="0" w:color="auto"/>
        <w:bottom w:val="none" w:sz="0" w:space="0" w:color="auto"/>
        <w:right w:val="none" w:sz="0" w:space="0" w:color="auto"/>
      </w:divBdr>
    </w:div>
    <w:div w:id="308171197">
      <w:bodyDiv w:val="1"/>
      <w:marLeft w:val="0"/>
      <w:marRight w:val="0"/>
      <w:marTop w:val="0"/>
      <w:marBottom w:val="0"/>
      <w:divBdr>
        <w:top w:val="none" w:sz="0" w:space="0" w:color="auto"/>
        <w:left w:val="none" w:sz="0" w:space="0" w:color="auto"/>
        <w:bottom w:val="none" w:sz="0" w:space="0" w:color="auto"/>
        <w:right w:val="none" w:sz="0" w:space="0" w:color="auto"/>
      </w:divBdr>
    </w:div>
    <w:div w:id="308631640">
      <w:bodyDiv w:val="1"/>
      <w:marLeft w:val="0"/>
      <w:marRight w:val="0"/>
      <w:marTop w:val="0"/>
      <w:marBottom w:val="0"/>
      <w:divBdr>
        <w:top w:val="none" w:sz="0" w:space="0" w:color="auto"/>
        <w:left w:val="none" w:sz="0" w:space="0" w:color="auto"/>
        <w:bottom w:val="none" w:sz="0" w:space="0" w:color="auto"/>
        <w:right w:val="none" w:sz="0" w:space="0" w:color="auto"/>
      </w:divBdr>
    </w:div>
    <w:div w:id="308825810">
      <w:bodyDiv w:val="1"/>
      <w:marLeft w:val="0"/>
      <w:marRight w:val="0"/>
      <w:marTop w:val="0"/>
      <w:marBottom w:val="0"/>
      <w:divBdr>
        <w:top w:val="none" w:sz="0" w:space="0" w:color="auto"/>
        <w:left w:val="none" w:sz="0" w:space="0" w:color="auto"/>
        <w:bottom w:val="none" w:sz="0" w:space="0" w:color="auto"/>
        <w:right w:val="none" w:sz="0" w:space="0" w:color="auto"/>
      </w:divBdr>
    </w:div>
    <w:div w:id="309213468">
      <w:bodyDiv w:val="1"/>
      <w:marLeft w:val="0"/>
      <w:marRight w:val="0"/>
      <w:marTop w:val="0"/>
      <w:marBottom w:val="0"/>
      <w:divBdr>
        <w:top w:val="none" w:sz="0" w:space="0" w:color="auto"/>
        <w:left w:val="none" w:sz="0" w:space="0" w:color="auto"/>
        <w:bottom w:val="none" w:sz="0" w:space="0" w:color="auto"/>
        <w:right w:val="none" w:sz="0" w:space="0" w:color="auto"/>
      </w:divBdr>
    </w:div>
    <w:div w:id="309676780">
      <w:bodyDiv w:val="1"/>
      <w:marLeft w:val="0"/>
      <w:marRight w:val="0"/>
      <w:marTop w:val="0"/>
      <w:marBottom w:val="0"/>
      <w:divBdr>
        <w:top w:val="none" w:sz="0" w:space="0" w:color="auto"/>
        <w:left w:val="none" w:sz="0" w:space="0" w:color="auto"/>
        <w:bottom w:val="none" w:sz="0" w:space="0" w:color="auto"/>
        <w:right w:val="none" w:sz="0" w:space="0" w:color="auto"/>
      </w:divBdr>
    </w:div>
    <w:div w:id="310330271">
      <w:bodyDiv w:val="1"/>
      <w:marLeft w:val="0"/>
      <w:marRight w:val="0"/>
      <w:marTop w:val="0"/>
      <w:marBottom w:val="0"/>
      <w:divBdr>
        <w:top w:val="none" w:sz="0" w:space="0" w:color="auto"/>
        <w:left w:val="none" w:sz="0" w:space="0" w:color="auto"/>
        <w:bottom w:val="none" w:sz="0" w:space="0" w:color="auto"/>
        <w:right w:val="none" w:sz="0" w:space="0" w:color="auto"/>
      </w:divBdr>
    </w:div>
    <w:div w:id="310332749">
      <w:bodyDiv w:val="1"/>
      <w:marLeft w:val="0"/>
      <w:marRight w:val="0"/>
      <w:marTop w:val="0"/>
      <w:marBottom w:val="0"/>
      <w:divBdr>
        <w:top w:val="none" w:sz="0" w:space="0" w:color="auto"/>
        <w:left w:val="none" w:sz="0" w:space="0" w:color="auto"/>
        <w:bottom w:val="none" w:sz="0" w:space="0" w:color="auto"/>
        <w:right w:val="none" w:sz="0" w:space="0" w:color="auto"/>
      </w:divBdr>
    </w:div>
    <w:div w:id="310719492">
      <w:bodyDiv w:val="1"/>
      <w:marLeft w:val="0"/>
      <w:marRight w:val="0"/>
      <w:marTop w:val="0"/>
      <w:marBottom w:val="0"/>
      <w:divBdr>
        <w:top w:val="none" w:sz="0" w:space="0" w:color="auto"/>
        <w:left w:val="none" w:sz="0" w:space="0" w:color="auto"/>
        <w:bottom w:val="none" w:sz="0" w:space="0" w:color="auto"/>
        <w:right w:val="none" w:sz="0" w:space="0" w:color="auto"/>
      </w:divBdr>
    </w:div>
    <w:div w:id="310914296">
      <w:bodyDiv w:val="1"/>
      <w:marLeft w:val="0"/>
      <w:marRight w:val="0"/>
      <w:marTop w:val="0"/>
      <w:marBottom w:val="0"/>
      <w:divBdr>
        <w:top w:val="none" w:sz="0" w:space="0" w:color="auto"/>
        <w:left w:val="none" w:sz="0" w:space="0" w:color="auto"/>
        <w:bottom w:val="none" w:sz="0" w:space="0" w:color="auto"/>
        <w:right w:val="none" w:sz="0" w:space="0" w:color="auto"/>
      </w:divBdr>
    </w:div>
    <w:div w:id="311299230">
      <w:bodyDiv w:val="1"/>
      <w:marLeft w:val="0"/>
      <w:marRight w:val="0"/>
      <w:marTop w:val="0"/>
      <w:marBottom w:val="0"/>
      <w:divBdr>
        <w:top w:val="none" w:sz="0" w:space="0" w:color="auto"/>
        <w:left w:val="none" w:sz="0" w:space="0" w:color="auto"/>
        <w:bottom w:val="none" w:sz="0" w:space="0" w:color="auto"/>
        <w:right w:val="none" w:sz="0" w:space="0" w:color="auto"/>
      </w:divBdr>
    </w:div>
    <w:div w:id="311831957">
      <w:bodyDiv w:val="1"/>
      <w:marLeft w:val="0"/>
      <w:marRight w:val="0"/>
      <w:marTop w:val="0"/>
      <w:marBottom w:val="0"/>
      <w:divBdr>
        <w:top w:val="none" w:sz="0" w:space="0" w:color="auto"/>
        <w:left w:val="none" w:sz="0" w:space="0" w:color="auto"/>
        <w:bottom w:val="none" w:sz="0" w:space="0" w:color="auto"/>
        <w:right w:val="none" w:sz="0" w:space="0" w:color="auto"/>
      </w:divBdr>
    </w:div>
    <w:div w:id="311913919">
      <w:bodyDiv w:val="1"/>
      <w:marLeft w:val="0"/>
      <w:marRight w:val="0"/>
      <w:marTop w:val="0"/>
      <w:marBottom w:val="0"/>
      <w:divBdr>
        <w:top w:val="none" w:sz="0" w:space="0" w:color="auto"/>
        <w:left w:val="none" w:sz="0" w:space="0" w:color="auto"/>
        <w:bottom w:val="none" w:sz="0" w:space="0" w:color="auto"/>
        <w:right w:val="none" w:sz="0" w:space="0" w:color="auto"/>
      </w:divBdr>
    </w:div>
    <w:div w:id="314335790">
      <w:bodyDiv w:val="1"/>
      <w:marLeft w:val="0"/>
      <w:marRight w:val="0"/>
      <w:marTop w:val="0"/>
      <w:marBottom w:val="0"/>
      <w:divBdr>
        <w:top w:val="none" w:sz="0" w:space="0" w:color="auto"/>
        <w:left w:val="none" w:sz="0" w:space="0" w:color="auto"/>
        <w:bottom w:val="none" w:sz="0" w:space="0" w:color="auto"/>
        <w:right w:val="none" w:sz="0" w:space="0" w:color="auto"/>
      </w:divBdr>
    </w:div>
    <w:div w:id="315304716">
      <w:bodyDiv w:val="1"/>
      <w:marLeft w:val="0"/>
      <w:marRight w:val="0"/>
      <w:marTop w:val="0"/>
      <w:marBottom w:val="0"/>
      <w:divBdr>
        <w:top w:val="none" w:sz="0" w:space="0" w:color="auto"/>
        <w:left w:val="none" w:sz="0" w:space="0" w:color="auto"/>
        <w:bottom w:val="none" w:sz="0" w:space="0" w:color="auto"/>
        <w:right w:val="none" w:sz="0" w:space="0" w:color="auto"/>
      </w:divBdr>
    </w:div>
    <w:div w:id="316349743">
      <w:bodyDiv w:val="1"/>
      <w:marLeft w:val="0"/>
      <w:marRight w:val="0"/>
      <w:marTop w:val="0"/>
      <w:marBottom w:val="0"/>
      <w:divBdr>
        <w:top w:val="none" w:sz="0" w:space="0" w:color="auto"/>
        <w:left w:val="none" w:sz="0" w:space="0" w:color="auto"/>
        <w:bottom w:val="none" w:sz="0" w:space="0" w:color="auto"/>
        <w:right w:val="none" w:sz="0" w:space="0" w:color="auto"/>
      </w:divBdr>
    </w:div>
    <w:div w:id="316421602">
      <w:bodyDiv w:val="1"/>
      <w:marLeft w:val="0"/>
      <w:marRight w:val="0"/>
      <w:marTop w:val="0"/>
      <w:marBottom w:val="0"/>
      <w:divBdr>
        <w:top w:val="none" w:sz="0" w:space="0" w:color="auto"/>
        <w:left w:val="none" w:sz="0" w:space="0" w:color="auto"/>
        <w:bottom w:val="none" w:sz="0" w:space="0" w:color="auto"/>
        <w:right w:val="none" w:sz="0" w:space="0" w:color="auto"/>
      </w:divBdr>
    </w:div>
    <w:div w:id="318384645">
      <w:bodyDiv w:val="1"/>
      <w:marLeft w:val="0"/>
      <w:marRight w:val="0"/>
      <w:marTop w:val="0"/>
      <w:marBottom w:val="0"/>
      <w:divBdr>
        <w:top w:val="none" w:sz="0" w:space="0" w:color="auto"/>
        <w:left w:val="none" w:sz="0" w:space="0" w:color="auto"/>
        <w:bottom w:val="none" w:sz="0" w:space="0" w:color="auto"/>
        <w:right w:val="none" w:sz="0" w:space="0" w:color="auto"/>
      </w:divBdr>
    </w:div>
    <w:div w:id="318848426">
      <w:bodyDiv w:val="1"/>
      <w:marLeft w:val="0"/>
      <w:marRight w:val="0"/>
      <w:marTop w:val="0"/>
      <w:marBottom w:val="0"/>
      <w:divBdr>
        <w:top w:val="none" w:sz="0" w:space="0" w:color="auto"/>
        <w:left w:val="none" w:sz="0" w:space="0" w:color="auto"/>
        <w:bottom w:val="none" w:sz="0" w:space="0" w:color="auto"/>
        <w:right w:val="none" w:sz="0" w:space="0" w:color="auto"/>
      </w:divBdr>
    </w:div>
    <w:div w:id="319046964">
      <w:bodyDiv w:val="1"/>
      <w:marLeft w:val="0"/>
      <w:marRight w:val="0"/>
      <w:marTop w:val="0"/>
      <w:marBottom w:val="0"/>
      <w:divBdr>
        <w:top w:val="none" w:sz="0" w:space="0" w:color="auto"/>
        <w:left w:val="none" w:sz="0" w:space="0" w:color="auto"/>
        <w:bottom w:val="none" w:sz="0" w:space="0" w:color="auto"/>
        <w:right w:val="none" w:sz="0" w:space="0" w:color="auto"/>
      </w:divBdr>
    </w:div>
    <w:div w:id="319122610">
      <w:bodyDiv w:val="1"/>
      <w:marLeft w:val="0"/>
      <w:marRight w:val="0"/>
      <w:marTop w:val="0"/>
      <w:marBottom w:val="0"/>
      <w:divBdr>
        <w:top w:val="none" w:sz="0" w:space="0" w:color="auto"/>
        <w:left w:val="none" w:sz="0" w:space="0" w:color="auto"/>
        <w:bottom w:val="none" w:sz="0" w:space="0" w:color="auto"/>
        <w:right w:val="none" w:sz="0" w:space="0" w:color="auto"/>
      </w:divBdr>
    </w:div>
    <w:div w:id="319845286">
      <w:bodyDiv w:val="1"/>
      <w:marLeft w:val="0"/>
      <w:marRight w:val="0"/>
      <w:marTop w:val="0"/>
      <w:marBottom w:val="0"/>
      <w:divBdr>
        <w:top w:val="none" w:sz="0" w:space="0" w:color="auto"/>
        <w:left w:val="none" w:sz="0" w:space="0" w:color="auto"/>
        <w:bottom w:val="none" w:sz="0" w:space="0" w:color="auto"/>
        <w:right w:val="none" w:sz="0" w:space="0" w:color="auto"/>
      </w:divBdr>
    </w:div>
    <w:div w:id="321199787">
      <w:bodyDiv w:val="1"/>
      <w:marLeft w:val="0"/>
      <w:marRight w:val="0"/>
      <w:marTop w:val="0"/>
      <w:marBottom w:val="0"/>
      <w:divBdr>
        <w:top w:val="none" w:sz="0" w:space="0" w:color="auto"/>
        <w:left w:val="none" w:sz="0" w:space="0" w:color="auto"/>
        <w:bottom w:val="none" w:sz="0" w:space="0" w:color="auto"/>
        <w:right w:val="none" w:sz="0" w:space="0" w:color="auto"/>
      </w:divBdr>
    </w:div>
    <w:div w:id="321398729">
      <w:bodyDiv w:val="1"/>
      <w:marLeft w:val="0"/>
      <w:marRight w:val="0"/>
      <w:marTop w:val="0"/>
      <w:marBottom w:val="0"/>
      <w:divBdr>
        <w:top w:val="none" w:sz="0" w:space="0" w:color="auto"/>
        <w:left w:val="none" w:sz="0" w:space="0" w:color="auto"/>
        <w:bottom w:val="none" w:sz="0" w:space="0" w:color="auto"/>
        <w:right w:val="none" w:sz="0" w:space="0" w:color="auto"/>
      </w:divBdr>
    </w:div>
    <w:div w:id="321546324">
      <w:bodyDiv w:val="1"/>
      <w:marLeft w:val="0"/>
      <w:marRight w:val="0"/>
      <w:marTop w:val="0"/>
      <w:marBottom w:val="0"/>
      <w:divBdr>
        <w:top w:val="none" w:sz="0" w:space="0" w:color="auto"/>
        <w:left w:val="none" w:sz="0" w:space="0" w:color="auto"/>
        <w:bottom w:val="none" w:sz="0" w:space="0" w:color="auto"/>
        <w:right w:val="none" w:sz="0" w:space="0" w:color="auto"/>
      </w:divBdr>
    </w:div>
    <w:div w:id="322466678">
      <w:bodyDiv w:val="1"/>
      <w:marLeft w:val="0"/>
      <w:marRight w:val="0"/>
      <w:marTop w:val="0"/>
      <w:marBottom w:val="0"/>
      <w:divBdr>
        <w:top w:val="none" w:sz="0" w:space="0" w:color="auto"/>
        <w:left w:val="none" w:sz="0" w:space="0" w:color="auto"/>
        <w:bottom w:val="none" w:sz="0" w:space="0" w:color="auto"/>
        <w:right w:val="none" w:sz="0" w:space="0" w:color="auto"/>
      </w:divBdr>
    </w:div>
    <w:div w:id="322973451">
      <w:bodyDiv w:val="1"/>
      <w:marLeft w:val="0"/>
      <w:marRight w:val="0"/>
      <w:marTop w:val="0"/>
      <w:marBottom w:val="0"/>
      <w:divBdr>
        <w:top w:val="none" w:sz="0" w:space="0" w:color="auto"/>
        <w:left w:val="none" w:sz="0" w:space="0" w:color="auto"/>
        <w:bottom w:val="none" w:sz="0" w:space="0" w:color="auto"/>
        <w:right w:val="none" w:sz="0" w:space="0" w:color="auto"/>
      </w:divBdr>
    </w:div>
    <w:div w:id="323435007">
      <w:bodyDiv w:val="1"/>
      <w:marLeft w:val="0"/>
      <w:marRight w:val="0"/>
      <w:marTop w:val="0"/>
      <w:marBottom w:val="0"/>
      <w:divBdr>
        <w:top w:val="none" w:sz="0" w:space="0" w:color="auto"/>
        <w:left w:val="none" w:sz="0" w:space="0" w:color="auto"/>
        <w:bottom w:val="none" w:sz="0" w:space="0" w:color="auto"/>
        <w:right w:val="none" w:sz="0" w:space="0" w:color="auto"/>
      </w:divBdr>
    </w:div>
    <w:div w:id="326832820">
      <w:bodyDiv w:val="1"/>
      <w:marLeft w:val="0"/>
      <w:marRight w:val="0"/>
      <w:marTop w:val="0"/>
      <w:marBottom w:val="0"/>
      <w:divBdr>
        <w:top w:val="none" w:sz="0" w:space="0" w:color="auto"/>
        <w:left w:val="none" w:sz="0" w:space="0" w:color="auto"/>
        <w:bottom w:val="none" w:sz="0" w:space="0" w:color="auto"/>
        <w:right w:val="none" w:sz="0" w:space="0" w:color="auto"/>
      </w:divBdr>
    </w:div>
    <w:div w:id="327559730">
      <w:bodyDiv w:val="1"/>
      <w:marLeft w:val="0"/>
      <w:marRight w:val="0"/>
      <w:marTop w:val="0"/>
      <w:marBottom w:val="0"/>
      <w:divBdr>
        <w:top w:val="none" w:sz="0" w:space="0" w:color="auto"/>
        <w:left w:val="none" w:sz="0" w:space="0" w:color="auto"/>
        <w:bottom w:val="none" w:sz="0" w:space="0" w:color="auto"/>
        <w:right w:val="none" w:sz="0" w:space="0" w:color="auto"/>
      </w:divBdr>
    </w:div>
    <w:div w:id="327831272">
      <w:bodyDiv w:val="1"/>
      <w:marLeft w:val="0"/>
      <w:marRight w:val="0"/>
      <w:marTop w:val="0"/>
      <w:marBottom w:val="0"/>
      <w:divBdr>
        <w:top w:val="none" w:sz="0" w:space="0" w:color="auto"/>
        <w:left w:val="none" w:sz="0" w:space="0" w:color="auto"/>
        <w:bottom w:val="none" w:sz="0" w:space="0" w:color="auto"/>
        <w:right w:val="none" w:sz="0" w:space="0" w:color="auto"/>
      </w:divBdr>
    </w:div>
    <w:div w:id="327831908">
      <w:bodyDiv w:val="1"/>
      <w:marLeft w:val="0"/>
      <w:marRight w:val="0"/>
      <w:marTop w:val="0"/>
      <w:marBottom w:val="0"/>
      <w:divBdr>
        <w:top w:val="none" w:sz="0" w:space="0" w:color="auto"/>
        <w:left w:val="none" w:sz="0" w:space="0" w:color="auto"/>
        <w:bottom w:val="none" w:sz="0" w:space="0" w:color="auto"/>
        <w:right w:val="none" w:sz="0" w:space="0" w:color="auto"/>
      </w:divBdr>
    </w:div>
    <w:div w:id="327904803">
      <w:bodyDiv w:val="1"/>
      <w:marLeft w:val="0"/>
      <w:marRight w:val="0"/>
      <w:marTop w:val="0"/>
      <w:marBottom w:val="0"/>
      <w:divBdr>
        <w:top w:val="none" w:sz="0" w:space="0" w:color="auto"/>
        <w:left w:val="none" w:sz="0" w:space="0" w:color="auto"/>
        <w:bottom w:val="none" w:sz="0" w:space="0" w:color="auto"/>
        <w:right w:val="none" w:sz="0" w:space="0" w:color="auto"/>
      </w:divBdr>
    </w:div>
    <w:div w:id="329598743">
      <w:bodyDiv w:val="1"/>
      <w:marLeft w:val="0"/>
      <w:marRight w:val="0"/>
      <w:marTop w:val="0"/>
      <w:marBottom w:val="0"/>
      <w:divBdr>
        <w:top w:val="none" w:sz="0" w:space="0" w:color="auto"/>
        <w:left w:val="none" w:sz="0" w:space="0" w:color="auto"/>
        <w:bottom w:val="none" w:sz="0" w:space="0" w:color="auto"/>
        <w:right w:val="none" w:sz="0" w:space="0" w:color="auto"/>
      </w:divBdr>
    </w:div>
    <w:div w:id="329790861">
      <w:bodyDiv w:val="1"/>
      <w:marLeft w:val="0"/>
      <w:marRight w:val="0"/>
      <w:marTop w:val="0"/>
      <w:marBottom w:val="0"/>
      <w:divBdr>
        <w:top w:val="none" w:sz="0" w:space="0" w:color="auto"/>
        <w:left w:val="none" w:sz="0" w:space="0" w:color="auto"/>
        <w:bottom w:val="none" w:sz="0" w:space="0" w:color="auto"/>
        <w:right w:val="none" w:sz="0" w:space="0" w:color="auto"/>
      </w:divBdr>
    </w:div>
    <w:div w:id="330525480">
      <w:bodyDiv w:val="1"/>
      <w:marLeft w:val="0"/>
      <w:marRight w:val="0"/>
      <w:marTop w:val="0"/>
      <w:marBottom w:val="0"/>
      <w:divBdr>
        <w:top w:val="none" w:sz="0" w:space="0" w:color="auto"/>
        <w:left w:val="none" w:sz="0" w:space="0" w:color="auto"/>
        <w:bottom w:val="none" w:sz="0" w:space="0" w:color="auto"/>
        <w:right w:val="none" w:sz="0" w:space="0" w:color="auto"/>
      </w:divBdr>
    </w:div>
    <w:div w:id="330720002">
      <w:bodyDiv w:val="1"/>
      <w:marLeft w:val="0"/>
      <w:marRight w:val="0"/>
      <w:marTop w:val="0"/>
      <w:marBottom w:val="0"/>
      <w:divBdr>
        <w:top w:val="none" w:sz="0" w:space="0" w:color="auto"/>
        <w:left w:val="none" w:sz="0" w:space="0" w:color="auto"/>
        <w:bottom w:val="none" w:sz="0" w:space="0" w:color="auto"/>
        <w:right w:val="none" w:sz="0" w:space="0" w:color="auto"/>
      </w:divBdr>
    </w:div>
    <w:div w:id="330988581">
      <w:bodyDiv w:val="1"/>
      <w:marLeft w:val="0"/>
      <w:marRight w:val="0"/>
      <w:marTop w:val="0"/>
      <w:marBottom w:val="0"/>
      <w:divBdr>
        <w:top w:val="none" w:sz="0" w:space="0" w:color="auto"/>
        <w:left w:val="none" w:sz="0" w:space="0" w:color="auto"/>
        <w:bottom w:val="none" w:sz="0" w:space="0" w:color="auto"/>
        <w:right w:val="none" w:sz="0" w:space="0" w:color="auto"/>
      </w:divBdr>
    </w:div>
    <w:div w:id="331376721">
      <w:bodyDiv w:val="1"/>
      <w:marLeft w:val="0"/>
      <w:marRight w:val="0"/>
      <w:marTop w:val="0"/>
      <w:marBottom w:val="0"/>
      <w:divBdr>
        <w:top w:val="none" w:sz="0" w:space="0" w:color="auto"/>
        <w:left w:val="none" w:sz="0" w:space="0" w:color="auto"/>
        <w:bottom w:val="none" w:sz="0" w:space="0" w:color="auto"/>
        <w:right w:val="none" w:sz="0" w:space="0" w:color="auto"/>
      </w:divBdr>
    </w:div>
    <w:div w:id="331834864">
      <w:bodyDiv w:val="1"/>
      <w:marLeft w:val="0"/>
      <w:marRight w:val="0"/>
      <w:marTop w:val="0"/>
      <w:marBottom w:val="0"/>
      <w:divBdr>
        <w:top w:val="none" w:sz="0" w:space="0" w:color="auto"/>
        <w:left w:val="none" w:sz="0" w:space="0" w:color="auto"/>
        <w:bottom w:val="none" w:sz="0" w:space="0" w:color="auto"/>
        <w:right w:val="none" w:sz="0" w:space="0" w:color="auto"/>
      </w:divBdr>
    </w:div>
    <w:div w:id="332925249">
      <w:bodyDiv w:val="1"/>
      <w:marLeft w:val="0"/>
      <w:marRight w:val="0"/>
      <w:marTop w:val="0"/>
      <w:marBottom w:val="0"/>
      <w:divBdr>
        <w:top w:val="none" w:sz="0" w:space="0" w:color="auto"/>
        <w:left w:val="none" w:sz="0" w:space="0" w:color="auto"/>
        <w:bottom w:val="none" w:sz="0" w:space="0" w:color="auto"/>
        <w:right w:val="none" w:sz="0" w:space="0" w:color="auto"/>
      </w:divBdr>
    </w:div>
    <w:div w:id="333142636">
      <w:bodyDiv w:val="1"/>
      <w:marLeft w:val="0"/>
      <w:marRight w:val="0"/>
      <w:marTop w:val="0"/>
      <w:marBottom w:val="0"/>
      <w:divBdr>
        <w:top w:val="none" w:sz="0" w:space="0" w:color="auto"/>
        <w:left w:val="none" w:sz="0" w:space="0" w:color="auto"/>
        <w:bottom w:val="none" w:sz="0" w:space="0" w:color="auto"/>
        <w:right w:val="none" w:sz="0" w:space="0" w:color="auto"/>
      </w:divBdr>
    </w:div>
    <w:div w:id="334383257">
      <w:bodyDiv w:val="1"/>
      <w:marLeft w:val="0"/>
      <w:marRight w:val="0"/>
      <w:marTop w:val="0"/>
      <w:marBottom w:val="0"/>
      <w:divBdr>
        <w:top w:val="none" w:sz="0" w:space="0" w:color="auto"/>
        <w:left w:val="none" w:sz="0" w:space="0" w:color="auto"/>
        <w:bottom w:val="none" w:sz="0" w:space="0" w:color="auto"/>
        <w:right w:val="none" w:sz="0" w:space="0" w:color="auto"/>
      </w:divBdr>
    </w:div>
    <w:div w:id="334502620">
      <w:bodyDiv w:val="1"/>
      <w:marLeft w:val="0"/>
      <w:marRight w:val="0"/>
      <w:marTop w:val="0"/>
      <w:marBottom w:val="0"/>
      <w:divBdr>
        <w:top w:val="none" w:sz="0" w:space="0" w:color="auto"/>
        <w:left w:val="none" w:sz="0" w:space="0" w:color="auto"/>
        <w:bottom w:val="none" w:sz="0" w:space="0" w:color="auto"/>
        <w:right w:val="none" w:sz="0" w:space="0" w:color="auto"/>
      </w:divBdr>
    </w:div>
    <w:div w:id="335882656">
      <w:bodyDiv w:val="1"/>
      <w:marLeft w:val="0"/>
      <w:marRight w:val="0"/>
      <w:marTop w:val="0"/>
      <w:marBottom w:val="0"/>
      <w:divBdr>
        <w:top w:val="none" w:sz="0" w:space="0" w:color="auto"/>
        <w:left w:val="none" w:sz="0" w:space="0" w:color="auto"/>
        <w:bottom w:val="none" w:sz="0" w:space="0" w:color="auto"/>
        <w:right w:val="none" w:sz="0" w:space="0" w:color="auto"/>
      </w:divBdr>
    </w:div>
    <w:div w:id="336659361">
      <w:bodyDiv w:val="1"/>
      <w:marLeft w:val="0"/>
      <w:marRight w:val="0"/>
      <w:marTop w:val="0"/>
      <w:marBottom w:val="0"/>
      <w:divBdr>
        <w:top w:val="none" w:sz="0" w:space="0" w:color="auto"/>
        <w:left w:val="none" w:sz="0" w:space="0" w:color="auto"/>
        <w:bottom w:val="none" w:sz="0" w:space="0" w:color="auto"/>
        <w:right w:val="none" w:sz="0" w:space="0" w:color="auto"/>
      </w:divBdr>
    </w:div>
    <w:div w:id="336811037">
      <w:bodyDiv w:val="1"/>
      <w:marLeft w:val="0"/>
      <w:marRight w:val="0"/>
      <w:marTop w:val="0"/>
      <w:marBottom w:val="0"/>
      <w:divBdr>
        <w:top w:val="none" w:sz="0" w:space="0" w:color="auto"/>
        <w:left w:val="none" w:sz="0" w:space="0" w:color="auto"/>
        <w:bottom w:val="none" w:sz="0" w:space="0" w:color="auto"/>
        <w:right w:val="none" w:sz="0" w:space="0" w:color="auto"/>
      </w:divBdr>
    </w:div>
    <w:div w:id="338045850">
      <w:bodyDiv w:val="1"/>
      <w:marLeft w:val="0"/>
      <w:marRight w:val="0"/>
      <w:marTop w:val="0"/>
      <w:marBottom w:val="0"/>
      <w:divBdr>
        <w:top w:val="none" w:sz="0" w:space="0" w:color="auto"/>
        <w:left w:val="none" w:sz="0" w:space="0" w:color="auto"/>
        <w:bottom w:val="none" w:sz="0" w:space="0" w:color="auto"/>
        <w:right w:val="none" w:sz="0" w:space="0" w:color="auto"/>
      </w:divBdr>
    </w:div>
    <w:div w:id="338119124">
      <w:bodyDiv w:val="1"/>
      <w:marLeft w:val="0"/>
      <w:marRight w:val="0"/>
      <w:marTop w:val="0"/>
      <w:marBottom w:val="0"/>
      <w:divBdr>
        <w:top w:val="none" w:sz="0" w:space="0" w:color="auto"/>
        <w:left w:val="none" w:sz="0" w:space="0" w:color="auto"/>
        <w:bottom w:val="none" w:sz="0" w:space="0" w:color="auto"/>
        <w:right w:val="none" w:sz="0" w:space="0" w:color="auto"/>
      </w:divBdr>
    </w:div>
    <w:div w:id="338850439">
      <w:bodyDiv w:val="1"/>
      <w:marLeft w:val="0"/>
      <w:marRight w:val="0"/>
      <w:marTop w:val="0"/>
      <w:marBottom w:val="0"/>
      <w:divBdr>
        <w:top w:val="none" w:sz="0" w:space="0" w:color="auto"/>
        <w:left w:val="none" w:sz="0" w:space="0" w:color="auto"/>
        <w:bottom w:val="none" w:sz="0" w:space="0" w:color="auto"/>
        <w:right w:val="none" w:sz="0" w:space="0" w:color="auto"/>
      </w:divBdr>
    </w:div>
    <w:div w:id="340091202">
      <w:bodyDiv w:val="1"/>
      <w:marLeft w:val="0"/>
      <w:marRight w:val="0"/>
      <w:marTop w:val="0"/>
      <w:marBottom w:val="0"/>
      <w:divBdr>
        <w:top w:val="none" w:sz="0" w:space="0" w:color="auto"/>
        <w:left w:val="none" w:sz="0" w:space="0" w:color="auto"/>
        <w:bottom w:val="none" w:sz="0" w:space="0" w:color="auto"/>
        <w:right w:val="none" w:sz="0" w:space="0" w:color="auto"/>
      </w:divBdr>
    </w:div>
    <w:div w:id="342322658">
      <w:bodyDiv w:val="1"/>
      <w:marLeft w:val="0"/>
      <w:marRight w:val="0"/>
      <w:marTop w:val="0"/>
      <w:marBottom w:val="0"/>
      <w:divBdr>
        <w:top w:val="none" w:sz="0" w:space="0" w:color="auto"/>
        <w:left w:val="none" w:sz="0" w:space="0" w:color="auto"/>
        <w:bottom w:val="none" w:sz="0" w:space="0" w:color="auto"/>
        <w:right w:val="none" w:sz="0" w:space="0" w:color="auto"/>
      </w:divBdr>
    </w:div>
    <w:div w:id="342518972">
      <w:bodyDiv w:val="1"/>
      <w:marLeft w:val="0"/>
      <w:marRight w:val="0"/>
      <w:marTop w:val="0"/>
      <w:marBottom w:val="0"/>
      <w:divBdr>
        <w:top w:val="none" w:sz="0" w:space="0" w:color="auto"/>
        <w:left w:val="none" w:sz="0" w:space="0" w:color="auto"/>
        <w:bottom w:val="none" w:sz="0" w:space="0" w:color="auto"/>
        <w:right w:val="none" w:sz="0" w:space="0" w:color="auto"/>
      </w:divBdr>
    </w:div>
    <w:div w:id="342785512">
      <w:bodyDiv w:val="1"/>
      <w:marLeft w:val="0"/>
      <w:marRight w:val="0"/>
      <w:marTop w:val="0"/>
      <w:marBottom w:val="0"/>
      <w:divBdr>
        <w:top w:val="none" w:sz="0" w:space="0" w:color="auto"/>
        <w:left w:val="none" w:sz="0" w:space="0" w:color="auto"/>
        <w:bottom w:val="none" w:sz="0" w:space="0" w:color="auto"/>
        <w:right w:val="none" w:sz="0" w:space="0" w:color="auto"/>
      </w:divBdr>
    </w:div>
    <w:div w:id="343869144">
      <w:bodyDiv w:val="1"/>
      <w:marLeft w:val="0"/>
      <w:marRight w:val="0"/>
      <w:marTop w:val="0"/>
      <w:marBottom w:val="0"/>
      <w:divBdr>
        <w:top w:val="none" w:sz="0" w:space="0" w:color="auto"/>
        <w:left w:val="none" w:sz="0" w:space="0" w:color="auto"/>
        <w:bottom w:val="none" w:sz="0" w:space="0" w:color="auto"/>
        <w:right w:val="none" w:sz="0" w:space="0" w:color="auto"/>
      </w:divBdr>
    </w:div>
    <w:div w:id="344403418">
      <w:bodyDiv w:val="1"/>
      <w:marLeft w:val="0"/>
      <w:marRight w:val="0"/>
      <w:marTop w:val="0"/>
      <w:marBottom w:val="0"/>
      <w:divBdr>
        <w:top w:val="none" w:sz="0" w:space="0" w:color="auto"/>
        <w:left w:val="none" w:sz="0" w:space="0" w:color="auto"/>
        <w:bottom w:val="none" w:sz="0" w:space="0" w:color="auto"/>
        <w:right w:val="none" w:sz="0" w:space="0" w:color="auto"/>
      </w:divBdr>
    </w:div>
    <w:div w:id="345712351">
      <w:bodyDiv w:val="1"/>
      <w:marLeft w:val="0"/>
      <w:marRight w:val="0"/>
      <w:marTop w:val="0"/>
      <w:marBottom w:val="0"/>
      <w:divBdr>
        <w:top w:val="none" w:sz="0" w:space="0" w:color="auto"/>
        <w:left w:val="none" w:sz="0" w:space="0" w:color="auto"/>
        <w:bottom w:val="none" w:sz="0" w:space="0" w:color="auto"/>
        <w:right w:val="none" w:sz="0" w:space="0" w:color="auto"/>
      </w:divBdr>
    </w:div>
    <w:div w:id="346253371">
      <w:bodyDiv w:val="1"/>
      <w:marLeft w:val="0"/>
      <w:marRight w:val="0"/>
      <w:marTop w:val="0"/>
      <w:marBottom w:val="0"/>
      <w:divBdr>
        <w:top w:val="none" w:sz="0" w:space="0" w:color="auto"/>
        <w:left w:val="none" w:sz="0" w:space="0" w:color="auto"/>
        <w:bottom w:val="none" w:sz="0" w:space="0" w:color="auto"/>
        <w:right w:val="none" w:sz="0" w:space="0" w:color="auto"/>
      </w:divBdr>
    </w:div>
    <w:div w:id="350840439">
      <w:bodyDiv w:val="1"/>
      <w:marLeft w:val="0"/>
      <w:marRight w:val="0"/>
      <w:marTop w:val="0"/>
      <w:marBottom w:val="0"/>
      <w:divBdr>
        <w:top w:val="none" w:sz="0" w:space="0" w:color="auto"/>
        <w:left w:val="none" w:sz="0" w:space="0" w:color="auto"/>
        <w:bottom w:val="none" w:sz="0" w:space="0" w:color="auto"/>
        <w:right w:val="none" w:sz="0" w:space="0" w:color="auto"/>
      </w:divBdr>
    </w:div>
    <w:div w:id="350959092">
      <w:bodyDiv w:val="1"/>
      <w:marLeft w:val="0"/>
      <w:marRight w:val="0"/>
      <w:marTop w:val="0"/>
      <w:marBottom w:val="0"/>
      <w:divBdr>
        <w:top w:val="none" w:sz="0" w:space="0" w:color="auto"/>
        <w:left w:val="none" w:sz="0" w:space="0" w:color="auto"/>
        <w:bottom w:val="none" w:sz="0" w:space="0" w:color="auto"/>
        <w:right w:val="none" w:sz="0" w:space="0" w:color="auto"/>
      </w:divBdr>
    </w:div>
    <w:div w:id="352650853">
      <w:bodyDiv w:val="1"/>
      <w:marLeft w:val="0"/>
      <w:marRight w:val="0"/>
      <w:marTop w:val="0"/>
      <w:marBottom w:val="0"/>
      <w:divBdr>
        <w:top w:val="none" w:sz="0" w:space="0" w:color="auto"/>
        <w:left w:val="none" w:sz="0" w:space="0" w:color="auto"/>
        <w:bottom w:val="none" w:sz="0" w:space="0" w:color="auto"/>
        <w:right w:val="none" w:sz="0" w:space="0" w:color="auto"/>
      </w:divBdr>
    </w:div>
    <w:div w:id="353000296">
      <w:bodyDiv w:val="1"/>
      <w:marLeft w:val="0"/>
      <w:marRight w:val="0"/>
      <w:marTop w:val="0"/>
      <w:marBottom w:val="0"/>
      <w:divBdr>
        <w:top w:val="none" w:sz="0" w:space="0" w:color="auto"/>
        <w:left w:val="none" w:sz="0" w:space="0" w:color="auto"/>
        <w:bottom w:val="none" w:sz="0" w:space="0" w:color="auto"/>
        <w:right w:val="none" w:sz="0" w:space="0" w:color="auto"/>
      </w:divBdr>
    </w:div>
    <w:div w:id="353654320">
      <w:bodyDiv w:val="1"/>
      <w:marLeft w:val="0"/>
      <w:marRight w:val="0"/>
      <w:marTop w:val="0"/>
      <w:marBottom w:val="0"/>
      <w:divBdr>
        <w:top w:val="none" w:sz="0" w:space="0" w:color="auto"/>
        <w:left w:val="none" w:sz="0" w:space="0" w:color="auto"/>
        <w:bottom w:val="none" w:sz="0" w:space="0" w:color="auto"/>
        <w:right w:val="none" w:sz="0" w:space="0" w:color="auto"/>
      </w:divBdr>
    </w:div>
    <w:div w:id="353961162">
      <w:bodyDiv w:val="1"/>
      <w:marLeft w:val="0"/>
      <w:marRight w:val="0"/>
      <w:marTop w:val="0"/>
      <w:marBottom w:val="0"/>
      <w:divBdr>
        <w:top w:val="none" w:sz="0" w:space="0" w:color="auto"/>
        <w:left w:val="none" w:sz="0" w:space="0" w:color="auto"/>
        <w:bottom w:val="none" w:sz="0" w:space="0" w:color="auto"/>
        <w:right w:val="none" w:sz="0" w:space="0" w:color="auto"/>
      </w:divBdr>
    </w:div>
    <w:div w:id="354501087">
      <w:bodyDiv w:val="1"/>
      <w:marLeft w:val="0"/>
      <w:marRight w:val="0"/>
      <w:marTop w:val="0"/>
      <w:marBottom w:val="0"/>
      <w:divBdr>
        <w:top w:val="none" w:sz="0" w:space="0" w:color="auto"/>
        <w:left w:val="none" w:sz="0" w:space="0" w:color="auto"/>
        <w:bottom w:val="none" w:sz="0" w:space="0" w:color="auto"/>
        <w:right w:val="none" w:sz="0" w:space="0" w:color="auto"/>
      </w:divBdr>
    </w:div>
    <w:div w:id="355157328">
      <w:bodyDiv w:val="1"/>
      <w:marLeft w:val="0"/>
      <w:marRight w:val="0"/>
      <w:marTop w:val="0"/>
      <w:marBottom w:val="0"/>
      <w:divBdr>
        <w:top w:val="none" w:sz="0" w:space="0" w:color="auto"/>
        <w:left w:val="none" w:sz="0" w:space="0" w:color="auto"/>
        <w:bottom w:val="none" w:sz="0" w:space="0" w:color="auto"/>
        <w:right w:val="none" w:sz="0" w:space="0" w:color="auto"/>
      </w:divBdr>
    </w:div>
    <w:div w:id="357505821">
      <w:bodyDiv w:val="1"/>
      <w:marLeft w:val="0"/>
      <w:marRight w:val="0"/>
      <w:marTop w:val="0"/>
      <w:marBottom w:val="0"/>
      <w:divBdr>
        <w:top w:val="none" w:sz="0" w:space="0" w:color="auto"/>
        <w:left w:val="none" w:sz="0" w:space="0" w:color="auto"/>
        <w:bottom w:val="none" w:sz="0" w:space="0" w:color="auto"/>
        <w:right w:val="none" w:sz="0" w:space="0" w:color="auto"/>
      </w:divBdr>
    </w:div>
    <w:div w:id="357700456">
      <w:bodyDiv w:val="1"/>
      <w:marLeft w:val="0"/>
      <w:marRight w:val="0"/>
      <w:marTop w:val="0"/>
      <w:marBottom w:val="0"/>
      <w:divBdr>
        <w:top w:val="none" w:sz="0" w:space="0" w:color="auto"/>
        <w:left w:val="none" w:sz="0" w:space="0" w:color="auto"/>
        <w:bottom w:val="none" w:sz="0" w:space="0" w:color="auto"/>
        <w:right w:val="none" w:sz="0" w:space="0" w:color="auto"/>
      </w:divBdr>
    </w:div>
    <w:div w:id="357853263">
      <w:bodyDiv w:val="1"/>
      <w:marLeft w:val="0"/>
      <w:marRight w:val="0"/>
      <w:marTop w:val="0"/>
      <w:marBottom w:val="0"/>
      <w:divBdr>
        <w:top w:val="none" w:sz="0" w:space="0" w:color="auto"/>
        <w:left w:val="none" w:sz="0" w:space="0" w:color="auto"/>
        <w:bottom w:val="none" w:sz="0" w:space="0" w:color="auto"/>
        <w:right w:val="none" w:sz="0" w:space="0" w:color="auto"/>
      </w:divBdr>
    </w:div>
    <w:div w:id="358359569">
      <w:bodyDiv w:val="1"/>
      <w:marLeft w:val="0"/>
      <w:marRight w:val="0"/>
      <w:marTop w:val="0"/>
      <w:marBottom w:val="0"/>
      <w:divBdr>
        <w:top w:val="none" w:sz="0" w:space="0" w:color="auto"/>
        <w:left w:val="none" w:sz="0" w:space="0" w:color="auto"/>
        <w:bottom w:val="none" w:sz="0" w:space="0" w:color="auto"/>
        <w:right w:val="none" w:sz="0" w:space="0" w:color="auto"/>
      </w:divBdr>
    </w:div>
    <w:div w:id="359359287">
      <w:bodyDiv w:val="1"/>
      <w:marLeft w:val="0"/>
      <w:marRight w:val="0"/>
      <w:marTop w:val="0"/>
      <w:marBottom w:val="0"/>
      <w:divBdr>
        <w:top w:val="none" w:sz="0" w:space="0" w:color="auto"/>
        <w:left w:val="none" w:sz="0" w:space="0" w:color="auto"/>
        <w:bottom w:val="none" w:sz="0" w:space="0" w:color="auto"/>
        <w:right w:val="none" w:sz="0" w:space="0" w:color="auto"/>
      </w:divBdr>
    </w:div>
    <w:div w:id="360008958">
      <w:bodyDiv w:val="1"/>
      <w:marLeft w:val="0"/>
      <w:marRight w:val="0"/>
      <w:marTop w:val="0"/>
      <w:marBottom w:val="0"/>
      <w:divBdr>
        <w:top w:val="none" w:sz="0" w:space="0" w:color="auto"/>
        <w:left w:val="none" w:sz="0" w:space="0" w:color="auto"/>
        <w:bottom w:val="none" w:sz="0" w:space="0" w:color="auto"/>
        <w:right w:val="none" w:sz="0" w:space="0" w:color="auto"/>
      </w:divBdr>
    </w:div>
    <w:div w:id="361368565">
      <w:bodyDiv w:val="1"/>
      <w:marLeft w:val="0"/>
      <w:marRight w:val="0"/>
      <w:marTop w:val="0"/>
      <w:marBottom w:val="0"/>
      <w:divBdr>
        <w:top w:val="none" w:sz="0" w:space="0" w:color="auto"/>
        <w:left w:val="none" w:sz="0" w:space="0" w:color="auto"/>
        <w:bottom w:val="none" w:sz="0" w:space="0" w:color="auto"/>
        <w:right w:val="none" w:sz="0" w:space="0" w:color="auto"/>
      </w:divBdr>
    </w:div>
    <w:div w:id="362561777">
      <w:bodyDiv w:val="1"/>
      <w:marLeft w:val="0"/>
      <w:marRight w:val="0"/>
      <w:marTop w:val="0"/>
      <w:marBottom w:val="0"/>
      <w:divBdr>
        <w:top w:val="none" w:sz="0" w:space="0" w:color="auto"/>
        <w:left w:val="none" w:sz="0" w:space="0" w:color="auto"/>
        <w:bottom w:val="none" w:sz="0" w:space="0" w:color="auto"/>
        <w:right w:val="none" w:sz="0" w:space="0" w:color="auto"/>
      </w:divBdr>
    </w:div>
    <w:div w:id="364451990">
      <w:bodyDiv w:val="1"/>
      <w:marLeft w:val="0"/>
      <w:marRight w:val="0"/>
      <w:marTop w:val="0"/>
      <w:marBottom w:val="0"/>
      <w:divBdr>
        <w:top w:val="none" w:sz="0" w:space="0" w:color="auto"/>
        <w:left w:val="none" w:sz="0" w:space="0" w:color="auto"/>
        <w:bottom w:val="none" w:sz="0" w:space="0" w:color="auto"/>
        <w:right w:val="none" w:sz="0" w:space="0" w:color="auto"/>
      </w:divBdr>
    </w:div>
    <w:div w:id="365908199">
      <w:bodyDiv w:val="1"/>
      <w:marLeft w:val="0"/>
      <w:marRight w:val="0"/>
      <w:marTop w:val="0"/>
      <w:marBottom w:val="0"/>
      <w:divBdr>
        <w:top w:val="none" w:sz="0" w:space="0" w:color="auto"/>
        <w:left w:val="none" w:sz="0" w:space="0" w:color="auto"/>
        <w:bottom w:val="none" w:sz="0" w:space="0" w:color="auto"/>
        <w:right w:val="none" w:sz="0" w:space="0" w:color="auto"/>
      </w:divBdr>
    </w:div>
    <w:div w:id="365982889">
      <w:bodyDiv w:val="1"/>
      <w:marLeft w:val="0"/>
      <w:marRight w:val="0"/>
      <w:marTop w:val="0"/>
      <w:marBottom w:val="0"/>
      <w:divBdr>
        <w:top w:val="none" w:sz="0" w:space="0" w:color="auto"/>
        <w:left w:val="none" w:sz="0" w:space="0" w:color="auto"/>
        <w:bottom w:val="none" w:sz="0" w:space="0" w:color="auto"/>
        <w:right w:val="none" w:sz="0" w:space="0" w:color="auto"/>
      </w:divBdr>
    </w:div>
    <w:div w:id="366219978">
      <w:bodyDiv w:val="1"/>
      <w:marLeft w:val="0"/>
      <w:marRight w:val="0"/>
      <w:marTop w:val="0"/>
      <w:marBottom w:val="0"/>
      <w:divBdr>
        <w:top w:val="none" w:sz="0" w:space="0" w:color="auto"/>
        <w:left w:val="none" w:sz="0" w:space="0" w:color="auto"/>
        <w:bottom w:val="none" w:sz="0" w:space="0" w:color="auto"/>
        <w:right w:val="none" w:sz="0" w:space="0" w:color="auto"/>
      </w:divBdr>
    </w:div>
    <w:div w:id="367610751">
      <w:bodyDiv w:val="1"/>
      <w:marLeft w:val="0"/>
      <w:marRight w:val="0"/>
      <w:marTop w:val="0"/>
      <w:marBottom w:val="0"/>
      <w:divBdr>
        <w:top w:val="none" w:sz="0" w:space="0" w:color="auto"/>
        <w:left w:val="none" w:sz="0" w:space="0" w:color="auto"/>
        <w:bottom w:val="none" w:sz="0" w:space="0" w:color="auto"/>
        <w:right w:val="none" w:sz="0" w:space="0" w:color="auto"/>
      </w:divBdr>
    </w:div>
    <w:div w:id="367684390">
      <w:bodyDiv w:val="1"/>
      <w:marLeft w:val="0"/>
      <w:marRight w:val="0"/>
      <w:marTop w:val="0"/>
      <w:marBottom w:val="0"/>
      <w:divBdr>
        <w:top w:val="none" w:sz="0" w:space="0" w:color="auto"/>
        <w:left w:val="none" w:sz="0" w:space="0" w:color="auto"/>
        <w:bottom w:val="none" w:sz="0" w:space="0" w:color="auto"/>
        <w:right w:val="none" w:sz="0" w:space="0" w:color="auto"/>
      </w:divBdr>
    </w:div>
    <w:div w:id="368644969">
      <w:bodyDiv w:val="1"/>
      <w:marLeft w:val="0"/>
      <w:marRight w:val="0"/>
      <w:marTop w:val="0"/>
      <w:marBottom w:val="0"/>
      <w:divBdr>
        <w:top w:val="none" w:sz="0" w:space="0" w:color="auto"/>
        <w:left w:val="none" w:sz="0" w:space="0" w:color="auto"/>
        <w:bottom w:val="none" w:sz="0" w:space="0" w:color="auto"/>
        <w:right w:val="none" w:sz="0" w:space="0" w:color="auto"/>
      </w:divBdr>
    </w:div>
    <w:div w:id="368645780">
      <w:bodyDiv w:val="1"/>
      <w:marLeft w:val="0"/>
      <w:marRight w:val="0"/>
      <w:marTop w:val="0"/>
      <w:marBottom w:val="0"/>
      <w:divBdr>
        <w:top w:val="none" w:sz="0" w:space="0" w:color="auto"/>
        <w:left w:val="none" w:sz="0" w:space="0" w:color="auto"/>
        <w:bottom w:val="none" w:sz="0" w:space="0" w:color="auto"/>
        <w:right w:val="none" w:sz="0" w:space="0" w:color="auto"/>
      </w:divBdr>
    </w:div>
    <w:div w:id="368648781">
      <w:bodyDiv w:val="1"/>
      <w:marLeft w:val="0"/>
      <w:marRight w:val="0"/>
      <w:marTop w:val="0"/>
      <w:marBottom w:val="0"/>
      <w:divBdr>
        <w:top w:val="none" w:sz="0" w:space="0" w:color="auto"/>
        <w:left w:val="none" w:sz="0" w:space="0" w:color="auto"/>
        <w:bottom w:val="none" w:sz="0" w:space="0" w:color="auto"/>
        <w:right w:val="none" w:sz="0" w:space="0" w:color="auto"/>
      </w:divBdr>
    </w:div>
    <w:div w:id="370689237">
      <w:bodyDiv w:val="1"/>
      <w:marLeft w:val="0"/>
      <w:marRight w:val="0"/>
      <w:marTop w:val="0"/>
      <w:marBottom w:val="0"/>
      <w:divBdr>
        <w:top w:val="none" w:sz="0" w:space="0" w:color="auto"/>
        <w:left w:val="none" w:sz="0" w:space="0" w:color="auto"/>
        <w:bottom w:val="none" w:sz="0" w:space="0" w:color="auto"/>
        <w:right w:val="none" w:sz="0" w:space="0" w:color="auto"/>
      </w:divBdr>
    </w:div>
    <w:div w:id="372313166">
      <w:bodyDiv w:val="1"/>
      <w:marLeft w:val="0"/>
      <w:marRight w:val="0"/>
      <w:marTop w:val="0"/>
      <w:marBottom w:val="0"/>
      <w:divBdr>
        <w:top w:val="none" w:sz="0" w:space="0" w:color="auto"/>
        <w:left w:val="none" w:sz="0" w:space="0" w:color="auto"/>
        <w:bottom w:val="none" w:sz="0" w:space="0" w:color="auto"/>
        <w:right w:val="none" w:sz="0" w:space="0" w:color="auto"/>
      </w:divBdr>
    </w:div>
    <w:div w:id="373584569">
      <w:bodyDiv w:val="1"/>
      <w:marLeft w:val="0"/>
      <w:marRight w:val="0"/>
      <w:marTop w:val="0"/>
      <w:marBottom w:val="0"/>
      <w:divBdr>
        <w:top w:val="none" w:sz="0" w:space="0" w:color="auto"/>
        <w:left w:val="none" w:sz="0" w:space="0" w:color="auto"/>
        <w:bottom w:val="none" w:sz="0" w:space="0" w:color="auto"/>
        <w:right w:val="none" w:sz="0" w:space="0" w:color="auto"/>
      </w:divBdr>
    </w:div>
    <w:div w:id="374701740">
      <w:bodyDiv w:val="1"/>
      <w:marLeft w:val="0"/>
      <w:marRight w:val="0"/>
      <w:marTop w:val="0"/>
      <w:marBottom w:val="0"/>
      <w:divBdr>
        <w:top w:val="none" w:sz="0" w:space="0" w:color="auto"/>
        <w:left w:val="none" w:sz="0" w:space="0" w:color="auto"/>
        <w:bottom w:val="none" w:sz="0" w:space="0" w:color="auto"/>
        <w:right w:val="none" w:sz="0" w:space="0" w:color="auto"/>
      </w:divBdr>
    </w:div>
    <w:div w:id="376053165">
      <w:bodyDiv w:val="1"/>
      <w:marLeft w:val="0"/>
      <w:marRight w:val="0"/>
      <w:marTop w:val="0"/>
      <w:marBottom w:val="0"/>
      <w:divBdr>
        <w:top w:val="none" w:sz="0" w:space="0" w:color="auto"/>
        <w:left w:val="none" w:sz="0" w:space="0" w:color="auto"/>
        <w:bottom w:val="none" w:sz="0" w:space="0" w:color="auto"/>
        <w:right w:val="none" w:sz="0" w:space="0" w:color="auto"/>
      </w:divBdr>
    </w:div>
    <w:div w:id="376928267">
      <w:bodyDiv w:val="1"/>
      <w:marLeft w:val="0"/>
      <w:marRight w:val="0"/>
      <w:marTop w:val="0"/>
      <w:marBottom w:val="0"/>
      <w:divBdr>
        <w:top w:val="none" w:sz="0" w:space="0" w:color="auto"/>
        <w:left w:val="none" w:sz="0" w:space="0" w:color="auto"/>
        <w:bottom w:val="none" w:sz="0" w:space="0" w:color="auto"/>
        <w:right w:val="none" w:sz="0" w:space="0" w:color="auto"/>
      </w:divBdr>
    </w:div>
    <w:div w:id="379475313">
      <w:bodyDiv w:val="1"/>
      <w:marLeft w:val="0"/>
      <w:marRight w:val="0"/>
      <w:marTop w:val="0"/>
      <w:marBottom w:val="0"/>
      <w:divBdr>
        <w:top w:val="none" w:sz="0" w:space="0" w:color="auto"/>
        <w:left w:val="none" w:sz="0" w:space="0" w:color="auto"/>
        <w:bottom w:val="none" w:sz="0" w:space="0" w:color="auto"/>
        <w:right w:val="none" w:sz="0" w:space="0" w:color="auto"/>
      </w:divBdr>
    </w:div>
    <w:div w:id="380398363">
      <w:bodyDiv w:val="1"/>
      <w:marLeft w:val="0"/>
      <w:marRight w:val="0"/>
      <w:marTop w:val="0"/>
      <w:marBottom w:val="0"/>
      <w:divBdr>
        <w:top w:val="none" w:sz="0" w:space="0" w:color="auto"/>
        <w:left w:val="none" w:sz="0" w:space="0" w:color="auto"/>
        <w:bottom w:val="none" w:sz="0" w:space="0" w:color="auto"/>
        <w:right w:val="none" w:sz="0" w:space="0" w:color="auto"/>
      </w:divBdr>
    </w:div>
    <w:div w:id="380710789">
      <w:bodyDiv w:val="1"/>
      <w:marLeft w:val="0"/>
      <w:marRight w:val="0"/>
      <w:marTop w:val="0"/>
      <w:marBottom w:val="0"/>
      <w:divBdr>
        <w:top w:val="none" w:sz="0" w:space="0" w:color="auto"/>
        <w:left w:val="none" w:sz="0" w:space="0" w:color="auto"/>
        <w:bottom w:val="none" w:sz="0" w:space="0" w:color="auto"/>
        <w:right w:val="none" w:sz="0" w:space="0" w:color="auto"/>
      </w:divBdr>
    </w:div>
    <w:div w:id="380830790">
      <w:bodyDiv w:val="1"/>
      <w:marLeft w:val="0"/>
      <w:marRight w:val="0"/>
      <w:marTop w:val="0"/>
      <w:marBottom w:val="0"/>
      <w:divBdr>
        <w:top w:val="none" w:sz="0" w:space="0" w:color="auto"/>
        <w:left w:val="none" w:sz="0" w:space="0" w:color="auto"/>
        <w:bottom w:val="none" w:sz="0" w:space="0" w:color="auto"/>
        <w:right w:val="none" w:sz="0" w:space="0" w:color="auto"/>
      </w:divBdr>
    </w:div>
    <w:div w:id="381250288">
      <w:bodyDiv w:val="1"/>
      <w:marLeft w:val="0"/>
      <w:marRight w:val="0"/>
      <w:marTop w:val="0"/>
      <w:marBottom w:val="0"/>
      <w:divBdr>
        <w:top w:val="none" w:sz="0" w:space="0" w:color="auto"/>
        <w:left w:val="none" w:sz="0" w:space="0" w:color="auto"/>
        <w:bottom w:val="none" w:sz="0" w:space="0" w:color="auto"/>
        <w:right w:val="none" w:sz="0" w:space="0" w:color="auto"/>
      </w:divBdr>
    </w:div>
    <w:div w:id="381826768">
      <w:bodyDiv w:val="1"/>
      <w:marLeft w:val="0"/>
      <w:marRight w:val="0"/>
      <w:marTop w:val="0"/>
      <w:marBottom w:val="0"/>
      <w:divBdr>
        <w:top w:val="none" w:sz="0" w:space="0" w:color="auto"/>
        <w:left w:val="none" w:sz="0" w:space="0" w:color="auto"/>
        <w:bottom w:val="none" w:sz="0" w:space="0" w:color="auto"/>
        <w:right w:val="none" w:sz="0" w:space="0" w:color="auto"/>
      </w:divBdr>
    </w:div>
    <w:div w:id="382214821">
      <w:bodyDiv w:val="1"/>
      <w:marLeft w:val="0"/>
      <w:marRight w:val="0"/>
      <w:marTop w:val="0"/>
      <w:marBottom w:val="0"/>
      <w:divBdr>
        <w:top w:val="none" w:sz="0" w:space="0" w:color="auto"/>
        <w:left w:val="none" w:sz="0" w:space="0" w:color="auto"/>
        <w:bottom w:val="none" w:sz="0" w:space="0" w:color="auto"/>
        <w:right w:val="none" w:sz="0" w:space="0" w:color="auto"/>
      </w:divBdr>
    </w:div>
    <w:div w:id="382221587">
      <w:bodyDiv w:val="1"/>
      <w:marLeft w:val="0"/>
      <w:marRight w:val="0"/>
      <w:marTop w:val="0"/>
      <w:marBottom w:val="0"/>
      <w:divBdr>
        <w:top w:val="none" w:sz="0" w:space="0" w:color="auto"/>
        <w:left w:val="none" w:sz="0" w:space="0" w:color="auto"/>
        <w:bottom w:val="none" w:sz="0" w:space="0" w:color="auto"/>
        <w:right w:val="none" w:sz="0" w:space="0" w:color="auto"/>
      </w:divBdr>
    </w:div>
    <w:div w:id="382412523">
      <w:bodyDiv w:val="1"/>
      <w:marLeft w:val="0"/>
      <w:marRight w:val="0"/>
      <w:marTop w:val="0"/>
      <w:marBottom w:val="0"/>
      <w:divBdr>
        <w:top w:val="none" w:sz="0" w:space="0" w:color="auto"/>
        <w:left w:val="none" w:sz="0" w:space="0" w:color="auto"/>
        <w:bottom w:val="none" w:sz="0" w:space="0" w:color="auto"/>
        <w:right w:val="none" w:sz="0" w:space="0" w:color="auto"/>
      </w:divBdr>
    </w:div>
    <w:div w:id="382947814">
      <w:bodyDiv w:val="1"/>
      <w:marLeft w:val="0"/>
      <w:marRight w:val="0"/>
      <w:marTop w:val="0"/>
      <w:marBottom w:val="0"/>
      <w:divBdr>
        <w:top w:val="none" w:sz="0" w:space="0" w:color="auto"/>
        <w:left w:val="none" w:sz="0" w:space="0" w:color="auto"/>
        <w:bottom w:val="none" w:sz="0" w:space="0" w:color="auto"/>
        <w:right w:val="none" w:sz="0" w:space="0" w:color="auto"/>
      </w:divBdr>
    </w:div>
    <w:div w:id="383456259">
      <w:bodyDiv w:val="1"/>
      <w:marLeft w:val="0"/>
      <w:marRight w:val="0"/>
      <w:marTop w:val="0"/>
      <w:marBottom w:val="0"/>
      <w:divBdr>
        <w:top w:val="none" w:sz="0" w:space="0" w:color="auto"/>
        <w:left w:val="none" w:sz="0" w:space="0" w:color="auto"/>
        <w:bottom w:val="none" w:sz="0" w:space="0" w:color="auto"/>
        <w:right w:val="none" w:sz="0" w:space="0" w:color="auto"/>
      </w:divBdr>
    </w:div>
    <w:div w:id="383912190">
      <w:bodyDiv w:val="1"/>
      <w:marLeft w:val="0"/>
      <w:marRight w:val="0"/>
      <w:marTop w:val="0"/>
      <w:marBottom w:val="0"/>
      <w:divBdr>
        <w:top w:val="none" w:sz="0" w:space="0" w:color="auto"/>
        <w:left w:val="none" w:sz="0" w:space="0" w:color="auto"/>
        <w:bottom w:val="none" w:sz="0" w:space="0" w:color="auto"/>
        <w:right w:val="none" w:sz="0" w:space="0" w:color="auto"/>
      </w:divBdr>
    </w:div>
    <w:div w:id="384112258">
      <w:bodyDiv w:val="1"/>
      <w:marLeft w:val="0"/>
      <w:marRight w:val="0"/>
      <w:marTop w:val="0"/>
      <w:marBottom w:val="0"/>
      <w:divBdr>
        <w:top w:val="none" w:sz="0" w:space="0" w:color="auto"/>
        <w:left w:val="none" w:sz="0" w:space="0" w:color="auto"/>
        <w:bottom w:val="none" w:sz="0" w:space="0" w:color="auto"/>
        <w:right w:val="none" w:sz="0" w:space="0" w:color="auto"/>
      </w:divBdr>
    </w:div>
    <w:div w:id="384644358">
      <w:bodyDiv w:val="1"/>
      <w:marLeft w:val="0"/>
      <w:marRight w:val="0"/>
      <w:marTop w:val="0"/>
      <w:marBottom w:val="0"/>
      <w:divBdr>
        <w:top w:val="none" w:sz="0" w:space="0" w:color="auto"/>
        <w:left w:val="none" w:sz="0" w:space="0" w:color="auto"/>
        <w:bottom w:val="none" w:sz="0" w:space="0" w:color="auto"/>
        <w:right w:val="none" w:sz="0" w:space="0" w:color="auto"/>
      </w:divBdr>
    </w:div>
    <w:div w:id="386493770">
      <w:bodyDiv w:val="1"/>
      <w:marLeft w:val="0"/>
      <w:marRight w:val="0"/>
      <w:marTop w:val="0"/>
      <w:marBottom w:val="0"/>
      <w:divBdr>
        <w:top w:val="none" w:sz="0" w:space="0" w:color="auto"/>
        <w:left w:val="none" w:sz="0" w:space="0" w:color="auto"/>
        <w:bottom w:val="none" w:sz="0" w:space="0" w:color="auto"/>
        <w:right w:val="none" w:sz="0" w:space="0" w:color="auto"/>
      </w:divBdr>
    </w:div>
    <w:div w:id="387654306">
      <w:bodyDiv w:val="1"/>
      <w:marLeft w:val="0"/>
      <w:marRight w:val="0"/>
      <w:marTop w:val="0"/>
      <w:marBottom w:val="0"/>
      <w:divBdr>
        <w:top w:val="none" w:sz="0" w:space="0" w:color="auto"/>
        <w:left w:val="none" w:sz="0" w:space="0" w:color="auto"/>
        <w:bottom w:val="none" w:sz="0" w:space="0" w:color="auto"/>
        <w:right w:val="none" w:sz="0" w:space="0" w:color="auto"/>
      </w:divBdr>
    </w:div>
    <w:div w:id="388698242">
      <w:bodyDiv w:val="1"/>
      <w:marLeft w:val="0"/>
      <w:marRight w:val="0"/>
      <w:marTop w:val="0"/>
      <w:marBottom w:val="0"/>
      <w:divBdr>
        <w:top w:val="none" w:sz="0" w:space="0" w:color="auto"/>
        <w:left w:val="none" w:sz="0" w:space="0" w:color="auto"/>
        <w:bottom w:val="none" w:sz="0" w:space="0" w:color="auto"/>
        <w:right w:val="none" w:sz="0" w:space="0" w:color="auto"/>
      </w:divBdr>
    </w:div>
    <w:div w:id="389503726">
      <w:bodyDiv w:val="1"/>
      <w:marLeft w:val="0"/>
      <w:marRight w:val="0"/>
      <w:marTop w:val="0"/>
      <w:marBottom w:val="0"/>
      <w:divBdr>
        <w:top w:val="none" w:sz="0" w:space="0" w:color="auto"/>
        <w:left w:val="none" w:sz="0" w:space="0" w:color="auto"/>
        <w:bottom w:val="none" w:sz="0" w:space="0" w:color="auto"/>
        <w:right w:val="none" w:sz="0" w:space="0" w:color="auto"/>
      </w:divBdr>
    </w:div>
    <w:div w:id="389809773">
      <w:bodyDiv w:val="1"/>
      <w:marLeft w:val="0"/>
      <w:marRight w:val="0"/>
      <w:marTop w:val="0"/>
      <w:marBottom w:val="0"/>
      <w:divBdr>
        <w:top w:val="none" w:sz="0" w:space="0" w:color="auto"/>
        <w:left w:val="none" w:sz="0" w:space="0" w:color="auto"/>
        <w:bottom w:val="none" w:sz="0" w:space="0" w:color="auto"/>
        <w:right w:val="none" w:sz="0" w:space="0" w:color="auto"/>
      </w:divBdr>
    </w:div>
    <w:div w:id="390467282">
      <w:bodyDiv w:val="1"/>
      <w:marLeft w:val="0"/>
      <w:marRight w:val="0"/>
      <w:marTop w:val="0"/>
      <w:marBottom w:val="0"/>
      <w:divBdr>
        <w:top w:val="none" w:sz="0" w:space="0" w:color="auto"/>
        <w:left w:val="none" w:sz="0" w:space="0" w:color="auto"/>
        <w:bottom w:val="none" w:sz="0" w:space="0" w:color="auto"/>
        <w:right w:val="none" w:sz="0" w:space="0" w:color="auto"/>
      </w:divBdr>
    </w:div>
    <w:div w:id="391780736">
      <w:bodyDiv w:val="1"/>
      <w:marLeft w:val="0"/>
      <w:marRight w:val="0"/>
      <w:marTop w:val="0"/>
      <w:marBottom w:val="0"/>
      <w:divBdr>
        <w:top w:val="none" w:sz="0" w:space="0" w:color="auto"/>
        <w:left w:val="none" w:sz="0" w:space="0" w:color="auto"/>
        <w:bottom w:val="none" w:sz="0" w:space="0" w:color="auto"/>
        <w:right w:val="none" w:sz="0" w:space="0" w:color="auto"/>
      </w:divBdr>
    </w:div>
    <w:div w:id="392630820">
      <w:bodyDiv w:val="1"/>
      <w:marLeft w:val="0"/>
      <w:marRight w:val="0"/>
      <w:marTop w:val="0"/>
      <w:marBottom w:val="0"/>
      <w:divBdr>
        <w:top w:val="none" w:sz="0" w:space="0" w:color="auto"/>
        <w:left w:val="none" w:sz="0" w:space="0" w:color="auto"/>
        <w:bottom w:val="none" w:sz="0" w:space="0" w:color="auto"/>
        <w:right w:val="none" w:sz="0" w:space="0" w:color="auto"/>
      </w:divBdr>
    </w:div>
    <w:div w:id="395207728">
      <w:bodyDiv w:val="1"/>
      <w:marLeft w:val="0"/>
      <w:marRight w:val="0"/>
      <w:marTop w:val="0"/>
      <w:marBottom w:val="0"/>
      <w:divBdr>
        <w:top w:val="none" w:sz="0" w:space="0" w:color="auto"/>
        <w:left w:val="none" w:sz="0" w:space="0" w:color="auto"/>
        <w:bottom w:val="none" w:sz="0" w:space="0" w:color="auto"/>
        <w:right w:val="none" w:sz="0" w:space="0" w:color="auto"/>
      </w:divBdr>
    </w:div>
    <w:div w:id="395590919">
      <w:bodyDiv w:val="1"/>
      <w:marLeft w:val="0"/>
      <w:marRight w:val="0"/>
      <w:marTop w:val="0"/>
      <w:marBottom w:val="0"/>
      <w:divBdr>
        <w:top w:val="none" w:sz="0" w:space="0" w:color="auto"/>
        <w:left w:val="none" w:sz="0" w:space="0" w:color="auto"/>
        <w:bottom w:val="none" w:sz="0" w:space="0" w:color="auto"/>
        <w:right w:val="none" w:sz="0" w:space="0" w:color="auto"/>
      </w:divBdr>
    </w:div>
    <w:div w:id="395976097">
      <w:bodyDiv w:val="1"/>
      <w:marLeft w:val="0"/>
      <w:marRight w:val="0"/>
      <w:marTop w:val="0"/>
      <w:marBottom w:val="0"/>
      <w:divBdr>
        <w:top w:val="none" w:sz="0" w:space="0" w:color="auto"/>
        <w:left w:val="none" w:sz="0" w:space="0" w:color="auto"/>
        <w:bottom w:val="none" w:sz="0" w:space="0" w:color="auto"/>
        <w:right w:val="none" w:sz="0" w:space="0" w:color="auto"/>
      </w:divBdr>
    </w:div>
    <w:div w:id="396323201">
      <w:bodyDiv w:val="1"/>
      <w:marLeft w:val="0"/>
      <w:marRight w:val="0"/>
      <w:marTop w:val="0"/>
      <w:marBottom w:val="0"/>
      <w:divBdr>
        <w:top w:val="none" w:sz="0" w:space="0" w:color="auto"/>
        <w:left w:val="none" w:sz="0" w:space="0" w:color="auto"/>
        <w:bottom w:val="none" w:sz="0" w:space="0" w:color="auto"/>
        <w:right w:val="none" w:sz="0" w:space="0" w:color="auto"/>
      </w:divBdr>
    </w:div>
    <w:div w:id="397947986">
      <w:bodyDiv w:val="1"/>
      <w:marLeft w:val="0"/>
      <w:marRight w:val="0"/>
      <w:marTop w:val="0"/>
      <w:marBottom w:val="0"/>
      <w:divBdr>
        <w:top w:val="none" w:sz="0" w:space="0" w:color="auto"/>
        <w:left w:val="none" w:sz="0" w:space="0" w:color="auto"/>
        <w:bottom w:val="none" w:sz="0" w:space="0" w:color="auto"/>
        <w:right w:val="none" w:sz="0" w:space="0" w:color="auto"/>
      </w:divBdr>
    </w:div>
    <w:div w:id="398097643">
      <w:bodyDiv w:val="1"/>
      <w:marLeft w:val="0"/>
      <w:marRight w:val="0"/>
      <w:marTop w:val="0"/>
      <w:marBottom w:val="0"/>
      <w:divBdr>
        <w:top w:val="none" w:sz="0" w:space="0" w:color="auto"/>
        <w:left w:val="none" w:sz="0" w:space="0" w:color="auto"/>
        <w:bottom w:val="none" w:sz="0" w:space="0" w:color="auto"/>
        <w:right w:val="none" w:sz="0" w:space="0" w:color="auto"/>
      </w:divBdr>
    </w:div>
    <w:div w:id="398600561">
      <w:bodyDiv w:val="1"/>
      <w:marLeft w:val="0"/>
      <w:marRight w:val="0"/>
      <w:marTop w:val="0"/>
      <w:marBottom w:val="0"/>
      <w:divBdr>
        <w:top w:val="none" w:sz="0" w:space="0" w:color="auto"/>
        <w:left w:val="none" w:sz="0" w:space="0" w:color="auto"/>
        <w:bottom w:val="none" w:sz="0" w:space="0" w:color="auto"/>
        <w:right w:val="none" w:sz="0" w:space="0" w:color="auto"/>
      </w:divBdr>
    </w:div>
    <w:div w:id="398869760">
      <w:bodyDiv w:val="1"/>
      <w:marLeft w:val="0"/>
      <w:marRight w:val="0"/>
      <w:marTop w:val="0"/>
      <w:marBottom w:val="0"/>
      <w:divBdr>
        <w:top w:val="none" w:sz="0" w:space="0" w:color="auto"/>
        <w:left w:val="none" w:sz="0" w:space="0" w:color="auto"/>
        <w:bottom w:val="none" w:sz="0" w:space="0" w:color="auto"/>
        <w:right w:val="none" w:sz="0" w:space="0" w:color="auto"/>
      </w:divBdr>
    </w:div>
    <w:div w:id="399063648">
      <w:bodyDiv w:val="1"/>
      <w:marLeft w:val="0"/>
      <w:marRight w:val="0"/>
      <w:marTop w:val="0"/>
      <w:marBottom w:val="0"/>
      <w:divBdr>
        <w:top w:val="none" w:sz="0" w:space="0" w:color="auto"/>
        <w:left w:val="none" w:sz="0" w:space="0" w:color="auto"/>
        <w:bottom w:val="none" w:sz="0" w:space="0" w:color="auto"/>
        <w:right w:val="none" w:sz="0" w:space="0" w:color="auto"/>
      </w:divBdr>
    </w:div>
    <w:div w:id="400368706">
      <w:bodyDiv w:val="1"/>
      <w:marLeft w:val="0"/>
      <w:marRight w:val="0"/>
      <w:marTop w:val="0"/>
      <w:marBottom w:val="0"/>
      <w:divBdr>
        <w:top w:val="none" w:sz="0" w:space="0" w:color="auto"/>
        <w:left w:val="none" w:sz="0" w:space="0" w:color="auto"/>
        <w:bottom w:val="none" w:sz="0" w:space="0" w:color="auto"/>
        <w:right w:val="none" w:sz="0" w:space="0" w:color="auto"/>
      </w:divBdr>
    </w:div>
    <w:div w:id="400492512">
      <w:bodyDiv w:val="1"/>
      <w:marLeft w:val="0"/>
      <w:marRight w:val="0"/>
      <w:marTop w:val="0"/>
      <w:marBottom w:val="0"/>
      <w:divBdr>
        <w:top w:val="none" w:sz="0" w:space="0" w:color="auto"/>
        <w:left w:val="none" w:sz="0" w:space="0" w:color="auto"/>
        <w:bottom w:val="none" w:sz="0" w:space="0" w:color="auto"/>
        <w:right w:val="none" w:sz="0" w:space="0" w:color="auto"/>
      </w:divBdr>
    </w:div>
    <w:div w:id="401561254">
      <w:bodyDiv w:val="1"/>
      <w:marLeft w:val="0"/>
      <w:marRight w:val="0"/>
      <w:marTop w:val="0"/>
      <w:marBottom w:val="0"/>
      <w:divBdr>
        <w:top w:val="none" w:sz="0" w:space="0" w:color="auto"/>
        <w:left w:val="none" w:sz="0" w:space="0" w:color="auto"/>
        <w:bottom w:val="none" w:sz="0" w:space="0" w:color="auto"/>
        <w:right w:val="none" w:sz="0" w:space="0" w:color="auto"/>
      </w:divBdr>
    </w:div>
    <w:div w:id="402794529">
      <w:bodyDiv w:val="1"/>
      <w:marLeft w:val="0"/>
      <w:marRight w:val="0"/>
      <w:marTop w:val="0"/>
      <w:marBottom w:val="0"/>
      <w:divBdr>
        <w:top w:val="none" w:sz="0" w:space="0" w:color="auto"/>
        <w:left w:val="none" w:sz="0" w:space="0" w:color="auto"/>
        <w:bottom w:val="none" w:sz="0" w:space="0" w:color="auto"/>
        <w:right w:val="none" w:sz="0" w:space="0" w:color="auto"/>
      </w:divBdr>
    </w:div>
    <w:div w:id="402919993">
      <w:bodyDiv w:val="1"/>
      <w:marLeft w:val="0"/>
      <w:marRight w:val="0"/>
      <w:marTop w:val="0"/>
      <w:marBottom w:val="0"/>
      <w:divBdr>
        <w:top w:val="none" w:sz="0" w:space="0" w:color="auto"/>
        <w:left w:val="none" w:sz="0" w:space="0" w:color="auto"/>
        <w:bottom w:val="none" w:sz="0" w:space="0" w:color="auto"/>
        <w:right w:val="none" w:sz="0" w:space="0" w:color="auto"/>
      </w:divBdr>
    </w:div>
    <w:div w:id="403525193">
      <w:bodyDiv w:val="1"/>
      <w:marLeft w:val="0"/>
      <w:marRight w:val="0"/>
      <w:marTop w:val="0"/>
      <w:marBottom w:val="0"/>
      <w:divBdr>
        <w:top w:val="none" w:sz="0" w:space="0" w:color="auto"/>
        <w:left w:val="none" w:sz="0" w:space="0" w:color="auto"/>
        <w:bottom w:val="none" w:sz="0" w:space="0" w:color="auto"/>
        <w:right w:val="none" w:sz="0" w:space="0" w:color="auto"/>
      </w:divBdr>
    </w:div>
    <w:div w:id="403577072">
      <w:bodyDiv w:val="1"/>
      <w:marLeft w:val="0"/>
      <w:marRight w:val="0"/>
      <w:marTop w:val="0"/>
      <w:marBottom w:val="0"/>
      <w:divBdr>
        <w:top w:val="none" w:sz="0" w:space="0" w:color="auto"/>
        <w:left w:val="none" w:sz="0" w:space="0" w:color="auto"/>
        <w:bottom w:val="none" w:sz="0" w:space="0" w:color="auto"/>
        <w:right w:val="none" w:sz="0" w:space="0" w:color="auto"/>
      </w:divBdr>
    </w:div>
    <w:div w:id="404300316">
      <w:bodyDiv w:val="1"/>
      <w:marLeft w:val="0"/>
      <w:marRight w:val="0"/>
      <w:marTop w:val="0"/>
      <w:marBottom w:val="0"/>
      <w:divBdr>
        <w:top w:val="none" w:sz="0" w:space="0" w:color="auto"/>
        <w:left w:val="none" w:sz="0" w:space="0" w:color="auto"/>
        <w:bottom w:val="none" w:sz="0" w:space="0" w:color="auto"/>
        <w:right w:val="none" w:sz="0" w:space="0" w:color="auto"/>
      </w:divBdr>
    </w:div>
    <w:div w:id="405155403">
      <w:bodyDiv w:val="1"/>
      <w:marLeft w:val="0"/>
      <w:marRight w:val="0"/>
      <w:marTop w:val="0"/>
      <w:marBottom w:val="0"/>
      <w:divBdr>
        <w:top w:val="none" w:sz="0" w:space="0" w:color="auto"/>
        <w:left w:val="none" w:sz="0" w:space="0" w:color="auto"/>
        <w:bottom w:val="none" w:sz="0" w:space="0" w:color="auto"/>
        <w:right w:val="none" w:sz="0" w:space="0" w:color="auto"/>
      </w:divBdr>
    </w:div>
    <w:div w:id="405422291">
      <w:bodyDiv w:val="1"/>
      <w:marLeft w:val="0"/>
      <w:marRight w:val="0"/>
      <w:marTop w:val="0"/>
      <w:marBottom w:val="0"/>
      <w:divBdr>
        <w:top w:val="none" w:sz="0" w:space="0" w:color="auto"/>
        <w:left w:val="none" w:sz="0" w:space="0" w:color="auto"/>
        <w:bottom w:val="none" w:sz="0" w:space="0" w:color="auto"/>
        <w:right w:val="none" w:sz="0" w:space="0" w:color="auto"/>
      </w:divBdr>
    </w:div>
    <w:div w:id="406224559">
      <w:bodyDiv w:val="1"/>
      <w:marLeft w:val="0"/>
      <w:marRight w:val="0"/>
      <w:marTop w:val="0"/>
      <w:marBottom w:val="0"/>
      <w:divBdr>
        <w:top w:val="none" w:sz="0" w:space="0" w:color="auto"/>
        <w:left w:val="none" w:sz="0" w:space="0" w:color="auto"/>
        <w:bottom w:val="none" w:sz="0" w:space="0" w:color="auto"/>
        <w:right w:val="none" w:sz="0" w:space="0" w:color="auto"/>
      </w:divBdr>
    </w:div>
    <w:div w:id="406920667">
      <w:bodyDiv w:val="1"/>
      <w:marLeft w:val="0"/>
      <w:marRight w:val="0"/>
      <w:marTop w:val="0"/>
      <w:marBottom w:val="0"/>
      <w:divBdr>
        <w:top w:val="none" w:sz="0" w:space="0" w:color="auto"/>
        <w:left w:val="none" w:sz="0" w:space="0" w:color="auto"/>
        <w:bottom w:val="none" w:sz="0" w:space="0" w:color="auto"/>
        <w:right w:val="none" w:sz="0" w:space="0" w:color="auto"/>
      </w:divBdr>
    </w:div>
    <w:div w:id="407070679">
      <w:bodyDiv w:val="1"/>
      <w:marLeft w:val="0"/>
      <w:marRight w:val="0"/>
      <w:marTop w:val="0"/>
      <w:marBottom w:val="0"/>
      <w:divBdr>
        <w:top w:val="none" w:sz="0" w:space="0" w:color="auto"/>
        <w:left w:val="none" w:sz="0" w:space="0" w:color="auto"/>
        <w:bottom w:val="none" w:sz="0" w:space="0" w:color="auto"/>
        <w:right w:val="none" w:sz="0" w:space="0" w:color="auto"/>
      </w:divBdr>
    </w:div>
    <w:div w:id="407969031">
      <w:bodyDiv w:val="1"/>
      <w:marLeft w:val="0"/>
      <w:marRight w:val="0"/>
      <w:marTop w:val="0"/>
      <w:marBottom w:val="0"/>
      <w:divBdr>
        <w:top w:val="none" w:sz="0" w:space="0" w:color="auto"/>
        <w:left w:val="none" w:sz="0" w:space="0" w:color="auto"/>
        <w:bottom w:val="none" w:sz="0" w:space="0" w:color="auto"/>
        <w:right w:val="none" w:sz="0" w:space="0" w:color="auto"/>
      </w:divBdr>
    </w:div>
    <w:div w:id="408893782">
      <w:bodyDiv w:val="1"/>
      <w:marLeft w:val="0"/>
      <w:marRight w:val="0"/>
      <w:marTop w:val="0"/>
      <w:marBottom w:val="0"/>
      <w:divBdr>
        <w:top w:val="none" w:sz="0" w:space="0" w:color="auto"/>
        <w:left w:val="none" w:sz="0" w:space="0" w:color="auto"/>
        <w:bottom w:val="none" w:sz="0" w:space="0" w:color="auto"/>
        <w:right w:val="none" w:sz="0" w:space="0" w:color="auto"/>
      </w:divBdr>
    </w:div>
    <w:div w:id="410811848">
      <w:bodyDiv w:val="1"/>
      <w:marLeft w:val="0"/>
      <w:marRight w:val="0"/>
      <w:marTop w:val="0"/>
      <w:marBottom w:val="0"/>
      <w:divBdr>
        <w:top w:val="none" w:sz="0" w:space="0" w:color="auto"/>
        <w:left w:val="none" w:sz="0" w:space="0" w:color="auto"/>
        <w:bottom w:val="none" w:sz="0" w:space="0" w:color="auto"/>
        <w:right w:val="none" w:sz="0" w:space="0" w:color="auto"/>
      </w:divBdr>
    </w:div>
    <w:div w:id="412312044">
      <w:bodyDiv w:val="1"/>
      <w:marLeft w:val="0"/>
      <w:marRight w:val="0"/>
      <w:marTop w:val="0"/>
      <w:marBottom w:val="0"/>
      <w:divBdr>
        <w:top w:val="none" w:sz="0" w:space="0" w:color="auto"/>
        <w:left w:val="none" w:sz="0" w:space="0" w:color="auto"/>
        <w:bottom w:val="none" w:sz="0" w:space="0" w:color="auto"/>
        <w:right w:val="none" w:sz="0" w:space="0" w:color="auto"/>
      </w:divBdr>
    </w:div>
    <w:div w:id="412316785">
      <w:bodyDiv w:val="1"/>
      <w:marLeft w:val="0"/>
      <w:marRight w:val="0"/>
      <w:marTop w:val="0"/>
      <w:marBottom w:val="0"/>
      <w:divBdr>
        <w:top w:val="none" w:sz="0" w:space="0" w:color="auto"/>
        <w:left w:val="none" w:sz="0" w:space="0" w:color="auto"/>
        <w:bottom w:val="none" w:sz="0" w:space="0" w:color="auto"/>
        <w:right w:val="none" w:sz="0" w:space="0" w:color="auto"/>
      </w:divBdr>
    </w:div>
    <w:div w:id="412432052">
      <w:bodyDiv w:val="1"/>
      <w:marLeft w:val="0"/>
      <w:marRight w:val="0"/>
      <w:marTop w:val="0"/>
      <w:marBottom w:val="0"/>
      <w:divBdr>
        <w:top w:val="none" w:sz="0" w:space="0" w:color="auto"/>
        <w:left w:val="none" w:sz="0" w:space="0" w:color="auto"/>
        <w:bottom w:val="none" w:sz="0" w:space="0" w:color="auto"/>
        <w:right w:val="none" w:sz="0" w:space="0" w:color="auto"/>
      </w:divBdr>
    </w:div>
    <w:div w:id="413861226">
      <w:bodyDiv w:val="1"/>
      <w:marLeft w:val="0"/>
      <w:marRight w:val="0"/>
      <w:marTop w:val="0"/>
      <w:marBottom w:val="0"/>
      <w:divBdr>
        <w:top w:val="none" w:sz="0" w:space="0" w:color="auto"/>
        <w:left w:val="none" w:sz="0" w:space="0" w:color="auto"/>
        <w:bottom w:val="none" w:sz="0" w:space="0" w:color="auto"/>
        <w:right w:val="none" w:sz="0" w:space="0" w:color="auto"/>
      </w:divBdr>
    </w:div>
    <w:div w:id="414087133">
      <w:bodyDiv w:val="1"/>
      <w:marLeft w:val="0"/>
      <w:marRight w:val="0"/>
      <w:marTop w:val="0"/>
      <w:marBottom w:val="0"/>
      <w:divBdr>
        <w:top w:val="none" w:sz="0" w:space="0" w:color="auto"/>
        <w:left w:val="none" w:sz="0" w:space="0" w:color="auto"/>
        <w:bottom w:val="none" w:sz="0" w:space="0" w:color="auto"/>
        <w:right w:val="none" w:sz="0" w:space="0" w:color="auto"/>
      </w:divBdr>
    </w:div>
    <w:div w:id="414936218">
      <w:bodyDiv w:val="1"/>
      <w:marLeft w:val="0"/>
      <w:marRight w:val="0"/>
      <w:marTop w:val="0"/>
      <w:marBottom w:val="0"/>
      <w:divBdr>
        <w:top w:val="none" w:sz="0" w:space="0" w:color="auto"/>
        <w:left w:val="none" w:sz="0" w:space="0" w:color="auto"/>
        <w:bottom w:val="none" w:sz="0" w:space="0" w:color="auto"/>
        <w:right w:val="none" w:sz="0" w:space="0" w:color="auto"/>
      </w:divBdr>
    </w:div>
    <w:div w:id="415370721">
      <w:bodyDiv w:val="1"/>
      <w:marLeft w:val="0"/>
      <w:marRight w:val="0"/>
      <w:marTop w:val="0"/>
      <w:marBottom w:val="0"/>
      <w:divBdr>
        <w:top w:val="none" w:sz="0" w:space="0" w:color="auto"/>
        <w:left w:val="none" w:sz="0" w:space="0" w:color="auto"/>
        <w:bottom w:val="none" w:sz="0" w:space="0" w:color="auto"/>
        <w:right w:val="none" w:sz="0" w:space="0" w:color="auto"/>
      </w:divBdr>
    </w:div>
    <w:div w:id="416559186">
      <w:bodyDiv w:val="1"/>
      <w:marLeft w:val="0"/>
      <w:marRight w:val="0"/>
      <w:marTop w:val="0"/>
      <w:marBottom w:val="0"/>
      <w:divBdr>
        <w:top w:val="none" w:sz="0" w:space="0" w:color="auto"/>
        <w:left w:val="none" w:sz="0" w:space="0" w:color="auto"/>
        <w:bottom w:val="none" w:sz="0" w:space="0" w:color="auto"/>
        <w:right w:val="none" w:sz="0" w:space="0" w:color="auto"/>
      </w:divBdr>
    </w:div>
    <w:div w:id="416754200">
      <w:bodyDiv w:val="1"/>
      <w:marLeft w:val="0"/>
      <w:marRight w:val="0"/>
      <w:marTop w:val="0"/>
      <w:marBottom w:val="0"/>
      <w:divBdr>
        <w:top w:val="none" w:sz="0" w:space="0" w:color="auto"/>
        <w:left w:val="none" w:sz="0" w:space="0" w:color="auto"/>
        <w:bottom w:val="none" w:sz="0" w:space="0" w:color="auto"/>
        <w:right w:val="none" w:sz="0" w:space="0" w:color="auto"/>
      </w:divBdr>
    </w:div>
    <w:div w:id="416901269">
      <w:bodyDiv w:val="1"/>
      <w:marLeft w:val="0"/>
      <w:marRight w:val="0"/>
      <w:marTop w:val="0"/>
      <w:marBottom w:val="0"/>
      <w:divBdr>
        <w:top w:val="none" w:sz="0" w:space="0" w:color="auto"/>
        <w:left w:val="none" w:sz="0" w:space="0" w:color="auto"/>
        <w:bottom w:val="none" w:sz="0" w:space="0" w:color="auto"/>
        <w:right w:val="none" w:sz="0" w:space="0" w:color="auto"/>
      </w:divBdr>
    </w:div>
    <w:div w:id="419104790">
      <w:bodyDiv w:val="1"/>
      <w:marLeft w:val="0"/>
      <w:marRight w:val="0"/>
      <w:marTop w:val="0"/>
      <w:marBottom w:val="0"/>
      <w:divBdr>
        <w:top w:val="none" w:sz="0" w:space="0" w:color="auto"/>
        <w:left w:val="none" w:sz="0" w:space="0" w:color="auto"/>
        <w:bottom w:val="none" w:sz="0" w:space="0" w:color="auto"/>
        <w:right w:val="none" w:sz="0" w:space="0" w:color="auto"/>
      </w:divBdr>
    </w:div>
    <w:div w:id="419252512">
      <w:bodyDiv w:val="1"/>
      <w:marLeft w:val="0"/>
      <w:marRight w:val="0"/>
      <w:marTop w:val="0"/>
      <w:marBottom w:val="0"/>
      <w:divBdr>
        <w:top w:val="none" w:sz="0" w:space="0" w:color="auto"/>
        <w:left w:val="none" w:sz="0" w:space="0" w:color="auto"/>
        <w:bottom w:val="none" w:sz="0" w:space="0" w:color="auto"/>
        <w:right w:val="none" w:sz="0" w:space="0" w:color="auto"/>
      </w:divBdr>
    </w:div>
    <w:div w:id="419259293">
      <w:bodyDiv w:val="1"/>
      <w:marLeft w:val="0"/>
      <w:marRight w:val="0"/>
      <w:marTop w:val="0"/>
      <w:marBottom w:val="0"/>
      <w:divBdr>
        <w:top w:val="none" w:sz="0" w:space="0" w:color="auto"/>
        <w:left w:val="none" w:sz="0" w:space="0" w:color="auto"/>
        <w:bottom w:val="none" w:sz="0" w:space="0" w:color="auto"/>
        <w:right w:val="none" w:sz="0" w:space="0" w:color="auto"/>
      </w:divBdr>
    </w:div>
    <w:div w:id="419260419">
      <w:bodyDiv w:val="1"/>
      <w:marLeft w:val="0"/>
      <w:marRight w:val="0"/>
      <w:marTop w:val="0"/>
      <w:marBottom w:val="0"/>
      <w:divBdr>
        <w:top w:val="none" w:sz="0" w:space="0" w:color="auto"/>
        <w:left w:val="none" w:sz="0" w:space="0" w:color="auto"/>
        <w:bottom w:val="none" w:sz="0" w:space="0" w:color="auto"/>
        <w:right w:val="none" w:sz="0" w:space="0" w:color="auto"/>
      </w:divBdr>
    </w:div>
    <w:div w:id="419327336">
      <w:bodyDiv w:val="1"/>
      <w:marLeft w:val="0"/>
      <w:marRight w:val="0"/>
      <w:marTop w:val="0"/>
      <w:marBottom w:val="0"/>
      <w:divBdr>
        <w:top w:val="none" w:sz="0" w:space="0" w:color="auto"/>
        <w:left w:val="none" w:sz="0" w:space="0" w:color="auto"/>
        <w:bottom w:val="none" w:sz="0" w:space="0" w:color="auto"/>
        <w:right w:val="none" w:sz="0" w:space="0" w:color="auto"/>
      </w:divBdr>
    </w:div>
    <w:div w:id="419790110">
      <w:bodyDiv w:val="1"/>
      <w:marLeft w:val="0"/>
      <w:marRight w:val="0"/>
      <w:marTop w:val="0"/>
      <w:marBottom w:val="0"/>
      <w:divBdr>
        <w:top w:val="none" w:sz="0" w:space="0" w:color="auto"/>
        <w:left w:val="none" w:sz="0" w:space="0" w:color="auto"/>
        <w:bottom w:val="none" w:sz="0" w:space="0" w:color="auto"/>
        <w:right w:val="none" w:sz="0" w:space="0" w:color="auto"/>
      </w:divBdr>
    </w:div>
    <w:div w:id="419834222">
      <w:bodyDiv w:val="1"/>
      <w:marLeft w:val="0"/>
      <w:marRight w:val="0"/>
      <w:marTop w:val="0"/>
      <w:marBottom w:val="0"/>
      <w:divBdr>
        <w:top w:val="none" w:sz="0" w:space="0" w:color="auto"/>
        <w:left w:val="none" w:sz="0" w:space="0" w:color="auto"/>
        <w:bottom w:val="none" w:sz="0" w:space="0" w:color="auto"/>
        <w:right w:val="none" w:sz="0" w:space="0" w:color="auto"/>
      </w:divBdr>
    </w:div>
    <w:div w:id="420953206">
      <w:bodyDiv w:val="1"/>
      <w:marLeft w:val="0"/>
      <w:marRight w:val="0"/>
      <w:marTop w:val="0"/>
      <w:marBottom w:val="0"/>
      <w:divBdr>
        <w:top w:val="none" w:sz="0" w:space="0" w:color="auto"/>
        <w:left w:val="none" w:sz="0" w:space="0" w:color="auto"/>
        <w:bottom w:val="none" w:sz="0" w:space="0" w:color="auto"/>
        <w:right w:val="none" w:sz="0" w:space="0" w:color="auto"/>
      </w:divBdr>
    </w:div>
    <w:div w:id="423838524">
      <w:bodyDiv w:val="1"/>
      <w:marLeft w:val="0"/>
      <w:marRight w:val="0"/>
      <w:marTop w:val="0"/>
      <w:marBottom w:val="0"/>
      <w:divBdr>
        <w:top w:val="none" w:sz="0" w:space="0" w:color="auto"/>
        <w:left w:val="none" w:sz="0" w:space="0" w:color="auto"/>
        <w:bottom w:val="none" w:sz="0" w:space="0" w:color="auto"/>
        <w:right w:val="none" w:sz="0" w:space="0" w:color="auto"/>
      </w:divBdr>
    </w:div>
    <w:div w:id="423843447">
      <w:bodyDiv w:val="1"/>
      <w:marLeft w:val="0"/>
      <w:marRight w:val="0"/>
      <w:marTop w:val="0"/>
      <w:marBottom w:val="0"/>
      <w:divBdr>
        <w:top w:val="none" w:sz="0" w:space="0" w:color="auto"/>
        <w:left w:val="none" w:sz="0" w:space="0" w:color="auto"/>
        <w:bottom w:val="none" w:sz="0" w:space="0" w:color="auto"/>
        <w:right w:val="none" w:sz="0" w:space="0" w:color="auto"/>
      </w:divBdr>
    </w:div>
    <w:div w:id="425270440">
      <w:bodyDiv w:val="1"/>
      <w:marLeft w:val="0"/>
      <w:marRight w:val="0"/>
      <w:marTop w:val="0"/>
      <w:marBottom w:val="0"/>
      <w:divBdr>
        <w:top w:val="none" w:sz="0" w:space="0" w:color="auto"/>
        <w:left w:val="none" w:sz="0" w:space="0" w:color="auto"/>
        <w:bottom w:val="none" w:sz="0" w:space="0" w:color="auto"/>
        <w:right w:val="none" w:sz="0" w:space="0" w:color="auto"/>
      </w:divBdr>
    </w:div>
    <w:div w:id="426734973">
      <w:bodyDiv w:val="1"/>
      <w:marLeft w:val="0"/>
      <w:marRight w:val="0"/>
      <w:marTop w:val="0"/>
      <w:marBottom w:val="0"/>
      <w:divBdr>
        <w:top w:val="none" w:sz="0" w:space="0" w:color="auto"/>
        <w:left w:val="none" w:sz="0" w:space="0" w:color="auto"/>
        <w:bottom w:val="none" w:sz="0" w:space="0" w:color="auto"/>
        <w:right w:val="none" w:sz="0" w:space="0" w:color="auto"/>
      </w:divBdr>
    </w:div>
    <w:div w:id="426846684">
      <w:bodyDiv w:val="1"/>
      <w:marLeft w:val="0"/>
      <w:marRight w:val="0"/>
      <w:marTop w:val="0"/>
      <w:marBottom w:val="0"/>
      <w:divBdr>
        <w:top w:val="none" w:sz="0" w:space="0" w:color="auto"/>
        <w:left w:val="none" w:sz="0" w:space="0" w:color="auto"/>
        <w:bottom w:val="none" w:sz="0" w:space="0" w:color="auto"/>
        <w:right w:val="none" w:sz="0" w:space="0" w:color="auto"/>
      </w:divBdr>
    </w:div>
    <w:div w:id="427045055">
      <w:bodyDiv w:val="1"/>
      <w:marLeft w:val="0"/>
      <w:marRight w:val="0"/>
      <w:marTop w:val="0"/>
      <w:marBottom w:val="0"/>
      <w:divBdr>
        <w:top w:val="none" w:sz="0" w:space="0" w:color="auto"/>
        <w:left w:val="none" w:sz="0" w:space="0" w:color="auto"/>
        <w:bottom w:val="none" w:sz="0" w:space="0" w:color="auto"/>
        <w:right w:val="none" w:sz="0" w:space="0" w:color="auto"/>
      </w:divBdr>
    </w:div>
    <w:div w:id="431707402">
      <w:bodyDiv w:val="1"/>
      <w:marLeft w:val="0"/>
      <w:marRight w:val="0"/>
      <w:marTop w:val="0"/>
      <w:marBottom w:val="0"/>
      <w:divBdr>
        <w:top w:val="none" w:sz="0" w:space="0" w:color="auto"/>
        <w:left w:val="none" w:sz="0" w:space="0" w:color="auto"/>
        <w:bottom w:val="none" w:sz="0" w:space="0" w:color="auto"/>
        <w:right w:val="none" w:sz="0" w:space="0" w:color="auto"/>
      </w:divBdr>
    </w:div>
    <w:div w:id="432632646">
      <w:bodyDiv w:val="1"/>
      <w:marLeft w:val="0"/>
      <w:marRight w:val="0"/>
      <w:marTop w:val="0"/>
      <w:marBottom w:val="0"/>
      <w:divBdr>
        <w:top w:val="none" w:sz="0" w:space="0" w:color="auto"/>
        <w:left w:val="none" w:sz="0" w:space="0" w:color="auto"/>
        <w:bottom w:val="none" w:sz="0" w:space="0" w:color="auto"/>
        <w:right w:val="none" w:sz="0" w:space="0" w:color="auto"/>
      </w:divBdr>
    </w:div>
    <w:div w:id="434330217">
      <w:bodyDiv w:val="1"/>
      <w:marLeft w:val="0"/>
      <w:marRight w:val="0"/>
      <w:marTop w:val="0"/>
      <w:marBottom w:val="0"/>
      <w:divBdr>
        <w:top w:val="none" w:sz="0" w:space="0" w:color="auto"/>
        <w:left w:val="none" w:sz="0" w:space="0" w:color="auto"/>
        <w:bottom w:val="none" w:sz="0" w:space="0" w:color="auto"/>
        <w:right w:val="none" w:sz="0" w:space="0" w:color="auto"/>
      </w:divBdr>
    </w:div>
    <w:div w:id="434906298">
      <w:bodyDiv w:val="1"/>
      <w:marLeft w:val="0"/>
      <w:marRight w:val="0"/>
      <w:marTop w:val="0"/>
      <w:marBottom w:val="0"/>
      <w:divBdr>
        <w:top w:val="none" w:sz="0" w:space="0" w:color="auto"/>
        <w:left w:val="none" w:sz="0" w:space="0" w:color="auto"/>
        <w:bottom w:val="none" w:sz="0" w:space="0" w:color="auto"/>
        <w:right w:val="none" w:sz="0" w:space="0" w:color="auto"/>
      </w:divBdr>
    </w:div>
    <w:div w:id="436222411">
      <w:bodyDiv w:val="1"/>
      <w:marLeft w:val="0"/>
      <w:marRight w:val="0"/>
      <w:marTop w:val="0"/>
      <w:marBottom w:val="0"/>
      <w:divBdr>
        <w:top w:val="none" w:sz="0" w:space="0" w:color="auto"/>
        <w:left w:val="none" w:sz="0" w:space="0" w:color="auto"/>
        <w:bottom w:val="none" w:sz="0" w:space="0" w:color="auto"/>
        <w:right w:val="none" w:sz="0" w:space="0" w:color="auto"/>
      </w:divBdr>
    </w:div>
    <w:div w:id="436488917">
      <w:bodyDiv w:val="1"/>
      <w:marLeft w:val="0"/>
      <w:marRight w:val="0"/>
      <w:marTop w:val="0"/>
      <w:marBottom w:val="0"/>
      <w:divBdr>
        <w:top w:val="none" w:sz="0" w:space="0" w:color="auto"/>
        <w:left w:val="none" w:sz="0" w:space="0" w:color="auto"/>
        <w:bottom w:val="none" w:sz="0" w:space="0" w:color="auto"/>
        <w:right w:val="none" w:sz="0" w:space="0" w:color="auto"/>
      </w:divBdr>
    </w:div>
    <w:div w:id="436827574">
      <w:bodyDiv w:val="1"/>
      <w:marLeft w:val="0"/>
      <w:marRight w:val="0"/>
      <w:marTop w:val="0"/>
      <w:marBottom w:val="0"/>
      <w:divBdr>
        <w:top w:val="none" w:sz="0" w:space="0" w:color="auto"/>
        <w:left w:val="none" w:sz="0" w:space="0" w:color="auto"/>
        <w:bottom w:val="none" w:sz="0" w:space="0" w:color="auto"/>
        <w:right w:val="none" w:sz="0" w:space="0" w:color="auto"/>
      </w:divBdr>
    </w:div>
    <w:div w:id="437140680">
      <w:bodyDiv w:val="1"/>
      <w:marLeft w:val="0"/>
      <w:marRight w:val="0"/>
      <w:marTop w:val="0"/>
      <w:marBottom w:val="0"/>
      <w:divBdr>
        <w:top w:val="none" w:sz="0" w:space="0" w:color="auto"/>
        <w:left w:val="none" w:sz="0" w:space="0" w:color="auto"/>
        <w:bottom w:val="none" w:sz="0" w:space="0" w:color="auto"/>
        <w:right w:val="none" w:sz="0" w:space="0" w:color="auto"/>
      </w:divBdr>
    </w:div>
    <w:div w:id="438179092">
      <w:bodyDiv w:val="1"/>
      <w:marLeft w:val="0"/>
      <w:marRight w:val="0"/>
      <w:marTop w:val="0"/>
      <w:marBottom w:val="0"/>
      <w:divBdr>
        <w:top w:val="none" w:sz="0" w:space="0" w:color="auto"/>
        <w:left w:val="none" w:sz="0" w:space="0" w:color="auto"/>
        <w:bottom w:val="none" w:sz="0" w:space="0" w:color="auto"/>
        <w:right w:val="none" w:sz="0" w:space="0" w:color="auto"/>
      </w:divBdr>
    </w:div>
    <w:div w:id="438333307">
      <w:bodyDiv w:val="1"/>
      <w:marLeft w:val="0"/>
      <w:marRight w:val="0"/>
      <w:marTop w:val="0"/>
      <w:marBottom w:val="0"/>
      <w:divBdr>
        <w:top w:val="none" w:sz="0" w:space="0" w:color="auto"/>
        <w:left w:val="none" w:sz="0" w:space="0" w:color="auto"/>
        <w:bottom w:val="none" w:sz="0" w:space="0" w:color="auto"/>
        <w:right w:val="none" w:sz="0" w:space="0" w:color="auto"/>
      </w:divBdr>
    </w:div>
    <w:div w:id="439448441">
      <w:bodyDiv w:val="1"/>
      <w:marLeft w:val="0"/>
      <w:marRight w:val="0"/>
      <w:marTop w:val="0"/>
      <w:marBottom w:val="0"/>
      <w:divBdr>
        <w:top w:val="none" w:sz="0" w:space="0" w:color="auto"/>
        <w:left w:val="none" w:sz="0" w:space="0" w:color="auto"/>
        <w:bottom w:val="none" w:sz="0" w:space="0" w:color="auto"/>
        <w:right w:val="none" w:sz="0" w:space="0" w:color="auto"/>
      </w:divBdr>
    </w:div>
    <w:div w:id="439685455">
      <w:bodyDiv w:val="1"/>
      <w:marLeft w:val="0"/>
      <w:marRight w:val="0"/>
      <w:marTop w:val="0"/>
      <w:marBottom w:val="0"/>
      <w:divBdr>
        <w:top w:val="none" w:sz="0" w:space="0" w:color="auto"/>
        <w:left w:val="none" w:sz="0" w:space="0" w:color="auto"/>
        <w:bottom w:val="none" w:sz="0" w:space="0" w:color="auto"/>
        <w:right w:val="none" w:sz="0" w:space="0" w:color="auto"/>
      </w:divBdr>
    </w:div>
    <w:div w:id="440031997">
      <w:bodyDiv w:val="1"/>
      <w:marLeft w:val="0"/>
      <w:marRight w:val="0"/>
      <w:marTop w:val="0"/>
      <w:marBottom w:val="0"/>
      <w:divBdr>
        <w:top w:val="none" w:sz="0" w:space="0" w:color="auto"/>
        <w:left w:val="none" w:sz="0" w:space="0" w:color="auto"/>
        <w:bottom w:val="none" w:sz="0" w:space="0" w:color="auto"/>
        <w:right w:val="none" w:sz="0" w:space="0" w:color="auto"/>
      </w:divBdr>
    </w:div>
    <w:div w:id="440691424">
      <w:bodyDiv w:val="1"/>
      <w:marLeft w:val="0"/>
      <w:marRight w:val="0"/>
      <w:marTop w:val="0"/>
      <w:marBottom w:val="0"/>
      <w:divBdr>
        <w:top w:val="none" w:sz="0" w:space="0" w:color="auto"/>
        <w:left w:val="none" w:sz="0" w:space="0" w:color="auto"/>
        <w:bottom w:val="none" w:sz="0" w:space="0" w:color="auto"/>
        <w:right w:val="none" w:sz="0" w:space="0" w:color="auto"/>
      </w:divBdr>
    </w:div>
    <w:div w:id="442531703">
      <w:bodyDiv w:val="1"/>
      <w:marLeft w:val="0"/>
      <w:marRight w:val="0"/>
      <w:marTop w:val="0"/>
      <w:marBottom w:val="0"/>
      <w:divBdr>
        <w:top w:val="none" w:sz="0" w:space="0" w:color="auto"/>
        <w:left w:val="none" w:sz="0" w:space="0" w:color="auto"/>
        <w:bottom w:val="none" w:sz="0" w:space="0" w:color="auto"/>
        <w:right w:val="none" w:sz="0" w:space="0" w:color="auto"/>
      </w:divBdr>
    </w:div>
    <w:div w:id="442918429">
      <w:bodyDiv w:val="1"/>
      <w:marLeft w:val="0"/>
      <w:marRight w:val="0"/>
      <w:marTop w:val="0"/>
      <w:marBottom w:val="0"/>
      <w:divBdr>
        <w:top w:val="none" w:sz="0" w:space="0" w:color="auto"/>
        <w:left w:val="none" w:sz="0" w:space="0" w:color="auto"/>
        <w:bottom w:val="none" w:sz="0" w:space="0" w:color="auto"/>
        <w:right w:val="none" w:sz="0" w:space="0" w:color="auto"/>
      </w:divBdr>
    </w:div>
    <w:div w:id="443118360">
      <w:bodyDiv w:val="1"/>
      <w:marLeft w:val="0"/>
      <w:marRight w:val="0"/>
      <w:marTop w:val="0"/>
      <w:marBottom w:val="0"/>
      <w:divBdr>
        <w:top w:val="none" w:sz="0" w:space="0" w:color="auto"/>
        <w:left w:val="none" w:sz="0" w:space="0" w:color="auto"/>
        <w:bottom w:val="none" w:sz="0" w:space="0" w:color="auto"/>
        <w:right w:val="none" w:sz="0" w:space="0" w:color="auto"/>
      </w:divBdr>
    </w:div>
    <w:div w:id="444273099">
      <w:bodyDiv w:val="1"/>
      <w:marLeft w:val="0"/>
      <w:marRight w:val="0"/>
      <w:marTop w:val="0"/>
      <w:marBottom w:val="0"/>
      <w:divBdr>
        <w:top w:val="none" w:sz="0" w:space="0" w:color="auto"/>
        <w:left w:val="none" w:sz="0" w:space="0" w:color="auto"/>
        <w:bottom w:val="none" w:sz="0" w:space="0" w:color="auto"/>
        <w:right w:val="none" w:sz="0" w:space="0" w:color="auto"/>
      </w:divBdr>
    </w:div>
    <w:div w:id="444277470">
      <w:bodyDiv w:val="1"/>
      <w:marLeft w:val="0"/>
      <w:marRight w:val="0"/>
      <w:marTop w:val="0"/>
      <w:marBottom w:val="0"/>
      <w:divBdr>
        <w:top w:val="none" w:sz="0" w:space="0" w:color="auto"/>
        <w:left w:val="none" w:sz="0" w:space="0" w:color="auto"/>
        <w:bottom w:val="none" w:sz="0" w:space="0" w:color="auto"/>
        <w:right w:val="none" w:sz="0" w:space="0" w:color="auto"/>
      </w:divBdr>
    </w:div>
    <w:div w:id="444427643">
      <w:bodyDiv w:val="1"/>
      <w:marLeft w:val="0"/>
      <w:marRight w:val="0"/>
      <w:marTop w:val="0"/>
      <w:marBottom w:val="0"/>
      <w:divBdr>
        <w:top w:val="none" w:sz="0" w:space="0" w:color="auto"/>
        <w:left w:val="none" w:sz="0" w:space="0" w:color="auto"/>
        <w:bottom w:val="none" w:sz="0" w:space="0" w:color="auto"/>
        <w:right w:val="none" w:sz="0" w:space="0" w:color="auto"/>
      </w:divBdr>
    </w:div>
    <w:div w:id="445973437">
      <w:bodyDiv w:val="1"/>
      <w:marLeft w:val="0"/>
      <w:marRight w:val="0"/>
      <w:marTop w:val="0"/>
      <w:marBottom w:val="0"/>
      <w:divBdr>
        <w:top w:val="none" w:sz="0" w:space="0" w:color="auto"/>
        <w:left w:val="none" w:sz="0" w:space="0" w:color="auto"/>
        <w:bottom w:val="none" w:sz="0" w:space="0" w:color="auto"/>
        <w:right w:val="none" w:sz="0" w:space="0" w:color="auto"/>
      </w:divBdr>
    </w:div>
    <w:div w:id="446824780">
      <w:bodyDiv w:val="1"/>
      <w:marLeft w:val="0"/>
      <w:marRight w:val="0"/>
      <w:marTop w:val="0"/>
      <w:marBottom w:val="0"/>
      <w:divBdr>
        <w:top w:val="none" w:sz="0" w:space="0" w:color="auto"/>
        <w:left w:val="none" w:sz="0" w:space="0" w:color="auto"/>
        <w:bottom w:val="none" w:sz="0" w:space="0" w:color="auto"/>
        <w:right w:val="none" w:sz="0" w:space="0" w:color="auto"/>
      </w:divBdr>
    </w:div>
    <w:div w:id="447356712">
      <w:bodyDiv w:val="1"/>
      <w:marLeft w:val="0"/>
      <w:marRight w:val="0"/>
      <w:marTop w:val="0"/>
      <w:marBottom w:val="0"/>
      <w:divBdr>
        <w:top w:val="none" w:sz="0" w:space="0" w:color="auto"/>
        <w:left w:val="none" w:sz="0" w:space="0" w:color="auto"/>
        <w:bottom w:val="none" w:sz="0" w:space="0" w:color="auto"/>
        <w:right w:val="none" w:sz="0" w:space="0" w:color="auto"/>
      </w:divBdr>
    </w:div>
    <w:div w:id="448206334">
      <w:bodyDiv w:val="1"/>
      <w:marLeft w:val="0"/>
      <w:marRight w:val="0"/>
      <w:marTop w:val="0"/>
      <w:marBottom w:val="0"/>
      <w:divBdr>
        <w:top w:val="none" w:sz="0" w:space="0" w:color="auto"/>
        <w:left w:val="none" w:sz="0" w:space="0" w:color="auto"/>
        <w:bottom w:val="none" w:sz="0" w:space="0" w:color="auto"/>
        <w:right w:val="none" w:sz="0" w:space="0" w:color="auto"/>
      </w:divBdr>
    </w:div>
    <w:div w:id="449275895">
      <w:bodyDiv w:val="1"/>
      <w:marLeft w:val="0"/>
      <w:marRight w:val="0"/>
      <w:marTop w:val="0"/>
      <w:marBottom w:val="0"/>
      <w:divBdr>
        <w:top w:val="none" w:sz="0" w:space="0" w:color="auto"/>
        <w:left w:val="none" w:sz="0" w:space="0" w:color="auto"/>
        <w:bottom w:val="none" w:sz="0" w:space="0" w:color="auto"/>
        <w:right w:val="none" w:sz="0" w:space="0" w:color="auto"/>
      </w:divBdr>
    </w:div>
    <w:div w:id="449276066">
      <w:bodyDiv w:val="1"/>
      <w:marLeft w:val="0"/>
      <w:marRight w:val="0"/>
      <w:marTop w:val="0"/>
      <w:marBottom w:val="0"/>
      <w:divBdr>
        <w:top w:val="none" w:sz="0" w:space="0" w:color="auto"/>
        <w:left w:val="none" w:sz="0" w:space="0" w:color="auto"/>
        <w:bottom w:val="none" w:sz="0" w:space="0" w:color="auto"/>
        <w:right w:val="none" w:sz="0" w:space="0" w:color="auto"/>
      </w:divBdr>
    </w:div>
    <w:div w:id="450131958">
      <w:bodyDiv w:val="1"/>
      <w:marLeft w:val="0"/>
      <w:marRight w:val="0"/>
      <w:marTop w:val="0"/>
      <w:marBottom w:val="0"/>
      <w:divBdr>
        <w:top w:val="none" w:sz="0" w:space="0" w:color="auto"/>
        <w:left w:val="none" w:sz="0" w:space="0" w:color="auto"/>
        <w:bottom w:val="none" w:sz="0" w:space="0" w:color="auto"/>
        <w:right w:val="none" w:sz="0" w:space="0" w:color="auto"/>
      </w:divBdr>
    </w:div>
    <w:div w:id="450323163">
      <w:bodyDiv w:val="1"/>
      <w:marLeft w:val="0"/>
      <w:marRight w:val="0"/>
      <w:marTop w:val="0"/>
      <w:marBottom w:val="0"/>
      <w:divBdr>
        <w:top w:val="none" w:sz="0" w:space="0" w:color="auto"/>
        <w:left w:val="none" w:sz="0" w:space="0" w:color="auto"/>
        <w:bottom w:val="none" w:sz="0" w:space="0" w:color="auto"/>
        <w:right w:val="none" w:sz="0" w:space="0" w:color="auto"/>
      </w:divBdr>
    </w:div>
    <w:div w:id="451098667">
      <w:bodyDiv w:val="1"/>
      <w:marLeft w:val="0"/>
      <w:marRight w:val="0"/>
      <w:marTop w:val="0"/>
      <w:marBottom w:val="0"/>
      <w:divBdr>
        <w:top w:val="none" w:sz="0" w:space="0" w:color="auto"/>
        <w:left w:val="none" w:sz="0" w:space="0" w:color="auto"/>
        <w:bottom w:val="none" w:sz="0" w:space="0" w:color="auto"/>
        <w:right w:val="none" w:sz="0" w:space="0" w:color="auto"/>
      </w:divBdr>
    </w:div>
    <w:div w:id="452096139">
      <w:bodyDiv w:val="1"/>
      <w:marLeft w:val="0"/>
      <w:marRight w:val="0"/>
      <w:marTop w:val="0"/>
      <w:marBottom w:val="0"/>
      <w:divBdr>
        <w:top w:val="none" w:sz="0" w:space="0" w:color="auto"/>
        <w:left w:val="none" w:sz="0" w:space="0" w:color="auto"/>
        <w:bottom w:val="none" w:sz="0" w:space="0" w:color="auto"/>
        <w:right w:val="none" w:sz="0" w:space="0" w:color="auto"/>
      </w:divBdr>
    </w:div>
    <w:div w:id="457068692">
      <w:bodyDiv w:val="1"/>
      <w:marLeft w:val="0"/>
      <w:marRight w:val="0"/>
      <w:marTop w:val="0"/>
      <w:marBottom w:val="0"/>
      <w:divBdr>
        <w:top w:val="none" w:sz="0" w:space="0" w:color="auto"/>
        <w:left w:val="none" w:sz="0" w:space="0" w:color="auto"/>
        <w:bottom w:val="none" w:sz="0" w:space="0" w:color="auto"/>
        <w:right w:val="none" w:sz="0" w:space="0" w:color="auto"/>
      </w:divBdr>
    </w:div>
    <w:div w:id="458763604">
      <w:bodyDiv w:val="1"/>
      <w:marLeft w:val="0"/>
      <w:marRight w:val="0"/>
      <w:marTop w:val="0"/>
      <w:marBottom w:val="0"/>
      <w:divBdr>
        <w:top w:val="none" w:sz="0" w:space="0" w:color="auto"/>
        <w:left w:val="none" w:sz="0" w:space="0" w:color="auto"/>
        <w:bottom w:val="none" w:sz="0" w:space="0" w:color="auto"/>
        <w:right w:val="none" w:sz="0" w:space="0" w:color="auto"/>
      </w:divBdr>
    </w:div>
    <w:div w:id="459690962">
      <w:bodyDiv w:val="1"/>
      <w:marLeft w:val="0"/>
      <w:marRight w:val="0"/>
      <w:marTop w:val="0"/>
      <w:marBottom w:val="0"/>
      <w:divBdr>
        <w:top w:val="none" w:sz="0" w:space="0" w:color="auto"/>
        <w:left w:val="none" w:sz="0" w:space="0" w:color="auto"/>
        <w:bottom w:val="none" w:sz="0" w:space="0" w:color="auto"/>
        <w:right w:val="none" w:sz="0" w:space="0" w:color="auto"/>
      </w:divBdr>
    </w:div>
    <w:div w:id="459956004">
      <w:bodyDiv w:val="1"/>
      <w:marLeft w:val="0"/>
      <w:marRight w:val="0"/>
      <w:marTop w:val="0"/>
      <w:marBottom w:val="0"/>
      <w:divBdr>
        <w:top w:val="none" w:sz="0" w:space="0" w:color="auto"/>
        <w:left w:val="none" w:sz="0" w:space="0" w:color="auto"/>
        <w:bottom w:val="none" w:sz="0" w:space="0" w:color="auto"/>
        <w:right w:val="none" w:sz="0" w:space="0" w:color="auto"/>
      </w:divBdr>
    </w:div>
    <w:div w:id="460660073">
      <w:bodyDiv w:val="1"/>
      <w:marLeft w:val="0"/>
      <w:marRight w:val="0"/>
      <w:marTop w:val="0"/>
      <w:marBottom w:val="0"/>
      <w:divBdr>
        <w:top w:val="none" w:sz="0" w:space="0" w:color="auto"/>
        <w:left w:val="none" w:sz="0" w:space="0" w:color="auto"/>
        <w:bottom w:val="none" w:sz="0" w:space="0" w:color="auto"/>
        <w:right w:val="none" w:sz="0" w:space="0" w:color="auto"/>
      </w:divBdr>
    </w:div>
    <w:div w:id="461731993">
      <w:bodyDiv w:val="1"/>
      <w:marLeft w:val="0"/>
      <w:marRight w:val="0"/>
      <w:marTop w:val="0"/>
      <w:marBottom w:val="0"/>
      <w:divBdr>
        <w:top w:val="none" w:sz="0" w:space="0" w:color="auto"/>
        <w:left w:val="none" w:sz="0" w:space="0" w:color="auto"/>
        <w:bottom w:val="none" w:sz="0" w:space="0" w:color="auto"/>
        <w:right w:val="none" w:sz="0" w:space="0" w:color="auto"/>
      </w:divBdr>
    </w:div>
    <w:div w:id="461994674">
      <w:bodyDiv w:val="1"/>
      <w:marLeft w:val="0"/>
      <w:marRight w:val="0"/>
      <w:marTop w:val="0"/>
      <w:marBottom w:val="0"/>
      <w:divBdr>
        <w:top w:val="none" w:sz="0" w:space="0" w:color="auto"/>
        <w:left w:val="none" w:sz="0" w:space="0" w:color="auto"/>
        <w:bottom w:val="none" w:sz="0" w:space="0" w:color="auto"/>
        <w:right w:val="none" w:sz="0" w:space="0" w:color="auto"/>
      </w:divBdr>
    </w:div>
    <w:div w:id="462120339">
      <w:bodyDiv w:val="1"/>
      <w:marLeft w:val="0"/>
      <w:marRight w:val="0"/>
      <w:marTop w:val="0"/>
      <w:marBottom w:val="0"/>
      <w:divBdr>
        <w:top w:val="none" w:sz="0" w:space="0" w:color="auto"/>
        <w:left w:val="none" w:sz="0" w:space="0" w:color="auto"/>
        <w:bottom w:val="none" w:sz="0" w:space="0" w:color="auto"/>
        <w:right w:val="none" w:sz="0" w:space="0" w:color="auto"/>
      </w:divBdr>
    </w:div>
    <w:div w:id="463698145">
      <w:bodyDiv w:val="1"/>
      <w:marLeft w:val="0"/>
      <w:marRight w:val="0"/>
      <w:marTop w:val="0"/>
      <w:marBottom w:val="0"/>
      <w:divBdr>
        <w:top w:val="none" w:sz="0" w:space="0" w:color="auto"/>
        <w:left w:val="none" w:sz="0" w:space="0" w:color="auto"/>
        <w:bottom w:val="none" w:sz="0" w:space="0" w:color="auto"/>
        <w:right w:val="none" w:sz="0" w:space="0" w:color="auto"/>
      </w:divBdr>
    </w:div>
    <w:div w:id="464978022">
      <w:bodyDiv w:val="1"/>
      <w:marLeft w:val="0"/>
      <w:marRight w:val="0"/>
      <w:marTop w:val="0"/>
      <w:marBottom w:val="0"/>
      <w:divBdr>
        <w:top w:val="none" w:sz="0" w:space="0" w:color="auto"/>
        <w:left w:val="none" w:sz="0" w:space="0" w:color="auto"/>
        <w:bottom w:val="none" w:sz="0" w:space="0" w:color="auto"/>
        <w:right w:val="none" w:sz="0" w:space="0" w:color="auto"/>
      </w:divBdr>
    </w:div>
    <w:div w:id="467357582">
      <w:bodyDiv w:val="1"/>
      <w:marLeft w:val="0"/>
      <w:marRight w:val="0"/>
      <w:marTop w:val="0"/>
      <w:marBottom w:val="0"/>
      <w:divBdr>
        <w:top w:val="none" w:sz="0" w:space="0" w:color="auto"/>
        <w:left w:val="none" w:sz="0" w:space="0" w:color="auto"/>
        <w:bottom w:val="none" w:sz="0" w:space="0" w:color="auto"/>
        <w:right w:val="none" w:sz="0" w:space="0" w:color="auto"/>
      </w:divBdr>
    </w:div>
    <w:div w:id="467866294">
      <w:bodyDiv w:val="1"/>
      <w:marLeft w:val="0"/>
      <w:marRight w:val="0"/>
      <w:marTop w:val="0"/>
      <w:marBottom w:val="0"/>
      <w:divBdr>
        <w:top w:val="none" w:sz="0" w:space="0" w:color="auto"/>
        <w:left w:val="none" w:sz="0" w:space="0" w:color="auto"/>
        <w:bottom w:val="none" w:sz="0" w:space="0" w:color="auto"/>
        <w:right w:val="none" w:sz="0" w:space="0" w:color="auto"/>
      </w:divBdr>
    </w:div>
    <w:div w:id="467937113">
      <w:bodyDiv w:val="1"/>
      <w:marLeft w:val="0"/>
      <w:marRight w:val="0"/>
      <w:marTop w:val="0"/>
      <w:marBottom w:val="0"/>
      <w:divBdr>
        <w:top w:val="none" w:sz="0" w:space="0" w:color="auto"/>
        <w:left w:val="none" w:sz="0" w:space="0" w:color="auto"/>
        <w:bottom w:val="none" w:sz="0" w:space="0" w:color="auto"/>
        <w:right w:val="none" w:sz="0" w:space="0" w:color="auto"/>
      </w:divBdr>
    </w:div>
    <w:div w:id="468017303">
      <w:bodyDiv w:val="1"/>
      <w:marLeft w:val="0"/>
      <w:marRight w:val="0"/>
      <w:marTop w:val="0"/>
      <w:marBottom w:val="0"/>
      <w:divBdr>
        <w:top w:val="none" w:sz="0" w:space="0" w:color="auto"/>
        <w:left w:val="none" w:sz="0" w:space="0" w:color="auto"/>
        <w:bottom w:val="none" w:sz="0" w:space="0" w:color="auto"/>
        <w:right w:val="none" w:sz="0" w:space="0" w:color="auto"/>
      </w:divBdr>
    </w:div>
    <w:div w:id="468936815">
      <w:bodyDiv w:val="1"/>
      <w:marLeft w:val="0"/>
      <w:marRight w:val="0"/>
      <w:marTop w:val="0"/>
      <w:marBottom w:val="0"/>
      <w:divBdr>
        <w:top w:val="none" w:sz="0" w:space="0" w:color="auto"/>
        <w:left w:val="none" w:sz="0" w:space="0" w:color="auto"/>
        <w:bottom w:val="none" w:sz="0" w:space="0" w:color="auto"/>
        <w:right w:val="none" w:sz="0" w:space="0" w:color="auto"/>
      </w:divBdr>
    </w:div>
    <w:div w:id="470942270">
      <w:bodyDiv w:val="1"/>
      <w:marLeft w:val="0"/>
      <w:marRight w:val="0"/>
      <w:marTop w:val="0"/>
      <w:marBottom w:val="0"/>
      <w:divBdr>
        <w:top w:val="none" w:sz="0" w:space="0" w:color="auto"/>
        <w:left w:val="none" w:sz="0" w:space="0" w:color="auto"/>
        <w:bottom w:val="none" w:sz="0" w:space="0" w:color="auto"/>
        <w:right w:val="none" w:sz="0" w:space="0" w:color="auto"/>
      </w:divBdr>
    </w:div>
    <w:div w:id="471607237">
      <w:bodyDiv w:val="1"/>
      <w:marLeft w:val="0"/>
      <w:marRight w:val="0"/>
      <w:marTop w:val="0"/>
      <w:marBottom w:val="0"/>
      <w:divBdr>
        <w:top w:val="none" w:sz="0" w:space="0" w:color="auto"/>
        <w:left w:val="none" w:sz="0" w:space="0" w:color="auto"/>
        <w:bottom w:val="none" w:sz="0" w:space="0" w:color="auto"/>
        <w:right w:val="none" w:sz="0" w:space="0" w:color="auto"/>
      </w:divBdr>
    </w:div>
    <w:div w:id="472450705">
      <w:bodyDiv w:val="1"/>
      <w:marLeft w:val="0"/>
      <w:marRight w:val="0"/>
      <w:marTop w:val="0"/>
      <w:marBottom w:val="0"/>
      <w:divBdr>
        <w:top w:val="none" w:sz="0" w:space="0" w:color="auto"/>
        <w:left w:val="none" w:sz="0" w:space="0" w:color="auto"/>
        <w:bottom w:val="none" w:sz="0" w:space="0" w:color="auto"/>
        <w:right w:val="none" w:sz="0" w:space="0" w:color="auto"/>
      </w:divBdr>
    </w:div>
    <w:div w:id="473521904">
      <w:bodyDiv w:val="1"/>
      <w:marLeft w:val="0"/>
      <w:marRight w:val="0"/>
      <w:marTop w:val="0"/>
      <w:marBottom w:val="0"/>
      <w:divBdr>
        <w:top w:val="none" w:sz="0" w:space="0" w:color="auto"/>
        <w:left w:val="none" w:sz="0" w:space="0" w:color="auto"/>
        <w:bottom w:val="none" w:sz="0" w:space="0" w:color="auto"/>
        <w:right w:val="none" w:sz="0" w:space="0" w:color="auto"/>
      </w:divBdr>
    </w:div>
    <w:div w:id="474110104">
      <w:bodyDiv w:val="1"/>
      <w:marLeft w:val="0"/>
      <w:marRight w:val="0"/>
      <w:marTop w:val="0"/>
      <w:marBottom w:val="0"/>
      <w:divBdr>
        <w:top w:val="none" w:sz="0" w:space="0" w:color="auto"/>
        <w:left w:val="none" w:sz="0" w:space="0" w:color="auto"/>
        <w:bottom w:val="none" w:sz="0" w:space="0" w:color="auto"/>
        <w:right w:val="none" w:sz="0" w:space="0" w:color="auto"/>
      </w:divBdr>
    </w:div>
    <w:div w:id="474418966">
      <w:bodyDiv w:val="1"/>
      <w:marLeft w:val="0"/>
      <w:marRight w:val="0"/>
      <w:marTop w:val="0"/>
      <w:marBottom w:val="0"/>
      <w:divBdr>
        <w:top w:val="none" w:sz="0" w:space="0" w:color="auto"/>
        <w:left w:val="none" w:sz="0" w:space="0" w:color="auto"/>
        <w:bottom w:val="none" w:sz="0" w:space="0" w:color="auto"/>
        <w:right w:val="none" w:sz="0" w:space="0" w:color="auto"/>
      </w:divBdr>
    </w:div>
    <w:div w:id="474763533">
      <w:bodyDiv w:val="1"/>
      <w:marLeft w:val="0"/>
      <w:marRight w:val="0"/>
      <w:marTop w:val="0"/>
      <w:marBottom w:val="0"/>
      <w:divBdr>
        <w:top w:val="none" w:sz="0" w:space="0" w:color="auto"/>
        <w:left w:val="none" w:sz="0" w:space="0" w:color="auto"/>
        <w:bottom w:val="none" w:sz="0" w:space="0" w:color="auto"/>
        <w:right w:val="none" w:sz="0" w:space="0" w:color="auto"/>
      </w:divBdr>
    </w:div>
    <w:div w:id="475414299">
      <w:bodyDiv w:val="1"/>
      <w:marLeft w:val="0"/>
      <w:marRight w:val="0"/>
      <w:marTop w:val="0"/>
      <w:marBottom w:val="0"/>
      <w:divBdr>
        <w:top w:val="none" w:sz="0" w:space="0" w:color="auto"/>
        <w:left w:val="none" w:sz="0" w:space="0" w:color="auto"/>
        <w:bottom w:val="none" w:sz="0" w:space="0" w:color="auto"/>
        <w:right w:val="none" w:sz="0" w:space="0" w:color="auto"/>
      </w:divBdr>
    </w:div>
    <w:div w:id="476070958">
      <w:bodyDiv w:val="1"/>
      <w:marLeft w:val="0"/>
      <w:marRight w:val="0"/>
      <w:marTop w:val="0"/>
      <w:marBottom w:val="0"/>
      <w:divBdr>
        <w:top w:val="none" w:sz="0" w:space="0" w:color="auto"/>
        <w:left w:val="none" w:sz="0" w:space="0" w:color="auto"/>
        <w:bottom w:val="none" w:sz="0" w:space="0" w:color="auto"/>
        <w:right w:val="none" w:sz="0" w:space="0" w:color="auto"/>
      </w:divBdr>
    </w:div>
    <w:div w:id="476647073">
      <w:bodyDiv w:val="1"/>
      <w:marLeft w:val="0"/>
      <w:marRight w:val="0"/>
      <w:marTop w:val="0"/>
      <w:marBottom w:val="0"/>
      <w:divBdr>
        <w:top w:val="none" w:sz="0" w:space="0" w:color="auto"/>
        <w:left w:val="none" w:sz="0" w:space="0" w:color="auto"/>
        <w:bottom w:val="none" w:sz="0" w:space="0" w:color="auto"/>
        <w:right w:val="none" w:sz="0" w:space="0" w:color="auto"/>
      </w:divBdr>
    </w:div>
    <w:div w:id="476730150">
      <w:bodyDiv w:val="1"/>
      <w:marLeft w:val="0"/>
      <w:marRight w:val="0"/>
      <w:marTop w:val="0"/>
      <w:marBottom w:val="0"/>
      <w:divBdr>
        <w:top w:val="none" w:sz="0" w:space="0" w:color="auto"/>
        <w:left w:val="none" w:sz="0" w:space="0" w:color="auto"/>
        <w:bottom w:val="none" w:sz="0" w:space="0" w:color="auto"/>
        <w:right w:val="none" w:sz="0" w:space="0" w:color="auto"/>
      </w:divBdr>
    </w:div>
    <w:div w:id="477263901">
      <w:bodyDiv w:val="1"/>
      <w:marLeft w:val="0"/>
      <w:marRight w:val="0"/>
      <w:marTop w:val="0"/>
      <w:marBottom w:val="0"/>
      <w:divBdr>
        <w:top w:val="none" w:sz="0" w:space="0" w:color="auto"/>
        <w:left w:val="none" w:sz="0" w:space="0" w:color="auto"/>
        <w:bottom w:val="none" w:sz="0" w:space="0" w:color="auto"/>
        <w:right w:val="none" w:sz="0" w:space="0" w:color="auto"/>
      </w:divBdr>
    </w:div>
    <w:div w:id="478425593">
      <w:bodyDiv w:val="1"/>
      <w:marLeft w:val="0"/>
      <w:marRight w:val="0"/>
      <w:marTop w:val="0"/>
      <w:marBottom w:val="0"/>
      <w:divBdr>
        <w:top w:val="none" w:sz="0" w:space="0" w:color="auto"/>
        <w:left w:val="none" w:sz="0" w:space="0" w:color="auto"/>
        <w:bottom w:val="none" w:sz="0" w:space="0" w:color="auto"/>
        <w:right w:val="none" w:sz="0" w:space="0" w:color="auto"/>
      </w:divBdr>
    </w:div>
    <w:div w:id="478503483">
      <w:bodyDiv w:val="1"/>
      <w:marLeft w:val="0"/>
      <w:marRight w:val="0"/>
      <w:marTop w:val="0"/>
      <w:marBottom w:val="0"/>
      <w:divBdr>
        <w:top w:val="none" w:sz="0" w:space="0" w:color="auto"/>
        <w:left w:val="none" w:sz="0" w:space="0" w:color="auto"/>
        <w:bottom w:val="none" w:sz="0" w:space="0" w:color="auto"/>
        <w:right w:val="none" w:sz="0" w:space="0" w:color="auto"/>
      </w:divBdr>
    </w:div>
    <w:div w:id="478889500">
      <w:bodyDiv w:val="1"/>
      <w:marLeft w:val="0"/>
      <w:marRight w:val="0"/>
      <w:marTop w:val="0"/>
      <w:marBottom w:val="0"/>
      <w:divBdr>
        <w:top w:val="none" w:sz="0" w:space="0" w:color="auto"/>
        <w:left w:val="none" w:sz="0" w:space="0" w:color="auto"/>
        <w:bottom w:val="none" w:sz="0" w:space="0" w:color="auto"/>
        <w:right w:val="none" w:sz="0" w:space="0" w:color="auto"/>
      </w:divBdr>
    </w:div>
    <w:div w:id="478960274">
      <w:bodyDiv w:val="1"/>
      <w:marLeft w:val="0"/>
      <w:marRight w:val="0"/>
      <w:marTop w:val="0"/>
      <w:marBottom w:val="0"/>
      <w:divBdr>
        <w:top w:val="none" w:sz="0" w:space="0" w:color="auto"/>
        <w:left w:val="none" w:sz="0" w:space="0" w:color="auto"/>
        <w:bottom w:val="none" w:sz="0" w:space="0" w:color="auto"/>
        <w:right w:val="none" w:sz="0" w:space="0" w:color="auto"/>
      </w:divBdr>
    </w:div>
    <w:div w:id="479271231">
      <w:bodyDiv w:val="1"/>
      <w:marLeft w:val="0"/>
      <w:marRight w:val="0"/>
      <w:marTop w:val="0"/>
      <w:marBottom w:val="0"/>
      <w:divBdr>
        <w:top w:val="none" w:sz="0" w:space="0" w:color="auto"/>
        <w:left w:val="none" w:sz="0" w:space="0" w:color="auto"/>
        <w:bottom w:val="none" w:sz="0" w:space="0" w:color="auto"/>
        <w:right w:val="none" w:sz="0" w:space="0" w:color="auto"/>
      </w:divBdr>
    </w:div>
    <w:div w:id="479545120">
      <w:bodyDiv w:val="1"/>
      <w:marLeft w:val="0"/>
      <w:marRight w:val="0"/>
      <w:marTop w:val="0"/>
      <w:marBottom w:val="0"/>
      <w:divBdr>
        <w:top w:val="none" w:sz="0" w:space="0" w:color="auto"/>
        <w:left w:val="none" w:sz="0" w:space="0" w:color="auto"/>
        <w:bottom w:val="none" w:sz="0" w:space="0" w:color="auto"/>
        <w:right w:val="none" w:sz="0" w:space="0" w:color="auto"/>
      </w:divBdr>
    </w:div>
    <w:div w:id="482086032">
      <w:bodyDiv w:val="1"/>
      <w:marLeft w:val="0"/>
      <w:marRight w:val="0"/>
      <w:marTop w:val="0"/>
      <w:marBottom w:val="0"/>
      <w:divBdr>
        <w:top w:val="none" w:sz="0" w:space="0" w:color="auto"/>
        <w:left w:val="none" w:sz="0" w:space="0" w:color="auto"/>
        <w:bottom w:val="none" w:sz="0" w:space="0" w:color="auto"/>
        <w:right w:val="none" w:sz="0" w:space="0" w:color="auto"/>
      </w:divBdr>
    </w:div>
    <w:div w:id="483618616">
      <w:bodyDiv w:val="1"/>
      <w:marLeft w:val="0"/>
      <w:marRight w:val="0"/>
      <w:marTop w:val="0"/>
      <w:marBottom w:val="0"/>
      <w:divBdr>
        <w:top w:val="none" w:sz="0" w:space="0" w:color="auto"/>
        <w:left w:val="none" w:sz="0" w:space="0" w:color="auto"/>
        <w:bottom w:val="none" w:sz="0" w:space="0" w:color="auto"/>
        <w:right w:val="none" w:sz="0" w:space="0" w:color="auto"/>
      </w:divBdr>
    </w:div>
    <w:div w:id="484014266">
      <w:bodyDiv w:val="1"/>
      <w:marLeft w:val="0"/>
      <w:marRight w:val="0"/>
      <w:marTop w:val="0"/>
      <w:marBottom w:val="0"/>
      <w:divBdr>
        <w:top w:val="none" w:sz="0" w:space="0" w:color="auto"/>
        <w:left w:val="none" w:sz="0" w:space="0" w:color="auto"/>
        <w:bottom w:val="none" w:sz="0" w:space="0" w:color="auto"/>
        <w:right w:val="none" w:sz="0" w:space="0" w:color="auto"/>
      </w:divBdr>
    </w:div>
    <w:div w:id="484051698">
      <w:bodyDiv w:val="1"/>
      <w:marLeft w:val="0"/>
      <w:marRight w:val="0"/>
      <w:marTop w:val="0"/>
      <w:marBottom w:val="0"/>
      <w:divBdr>
        <w:top w:val="none" w:sz="0" w:space="0" w:color="auto"/>
        <w:left w:val="none" w:sz="0" w:space="0" w:color="auto"/>
        <w:bottom w:val="none" w:sz="0" w:space="0" w:color="auto"/>
        <w:right w:val="none" w:sz="0" w:space="0" w:color="auto"/>
      </w:divBdr>
    </w:div>
    <w:div w:id="484783994">
      <w:bodyDiv w:val="1"/>
      <w:marLeft w:val="0"/>
      <w:marRight w:val="0"/>
      <w:marTop w:val="0"/>
      <w:marBottom w:val="0"/>
      <w:divBdr>
        <w:top w:val="none" w:sz="0" w:space="0" w:color="auto"/>
        <w:left w:val="none" w:sz="0" w:space="0" w:color="auto"/>
        <w:bottom w:val="none" w:sz="0" w:space="0" w:color="auto"/>
        <w:right w:val="none" w:sz="0" w:space="0" w:color="auto"/>
      </w:divBdr>
    </w:div>
    <w:div w:id="484861005">
      <w:bodyDiv w:val="1"/>
      <w:marLeft w:val="0"/>
      <w:marRight w:val="0"/>
      <w:marTop w:val="0"/>
      <w:marBottom w:val="0"/>
      <w:divBdr>
        <w:top w:val="none" w:sz="0" w:space="0" w:color="auto"/>
        <w:left w:val="none" w:sz="0" w:space="0" w:color="auto"/>
        <w:bottom w:val="none" w:sz="0" w:space="0" w:color="auto"/>
        <w:right w:val="none" w:sz="0" w:space="0" w:color="auto"/>
      </w:divBdr>
    </w:div>
    <w:div w:id="485128039">
      <w:bodyDiv w:val="1"/>
      <w:marLeft w:val="0"/>
      <w:marRight w:val="0"/>
      <w:marTop w:val="0"/>
      <w:marBottom w:val="0"/>
      <w:divBdr>
        <w:top w:val="none" w:sz="0" w:space="0" w:color="auto"/>
        <w:left w:val="none" w:sz="0" w:space="0" w:color="auto"/>
        <w:bottom w:val="none" w:sz="0" w:space="0" w:color="auto"/>
        <w:right w:val="none" w:sz="0" w:space="0" w:color="auto"/>
      </w:divBdr>
    </w:div>
    <w:div w:id="486286394">
      <w:bodyDiv w:val="1"/>
      <w:marLeft w:val="0"/>
      <w:marRight w:val="0"/>
      <w:marTop w:val="0"/>
      <w:marBottom w:val="0"/>
      <w:divBdr>
        <w:top w:val="none" w:sz="0" w:space="0" w:color="auto"/>
        <w:left w:val="none" w:sz="0" w:space="0" w:color="auto"/>
        <w:bottom w:val="none" w:sz="0" w:space="0" w:color="auto"/>
        <w:right w:val="none" w:sz="0" w:space="0" w:color="auto"/>
      </w:divBdr>
    </w:div>
    <w:div w:id="486942470">
      <w:bodyDiv w:val="1"/>
      <w:marLeft w:val="0"/>
      <w:marRight w:val="0"/>
      <w:marTop w:val="0"/>
      <w:marBottom w:val="0"/>
      <w:divBdr>
        <w:top w:val="none" w:sz="0" w:space="0" w:color="auto"/>
        <w:left w:val="none" w:sz="0" w:space="0" w:color="auto"/>
        <w:bottom w:val="none" w:sz="0" w:space="0" w:color="auto"/>
        <w:right w:val="none" w:sz="0" w:space="0" w:color="auto"/>
      </w:divBdr>
    </w:div>
    <w:div w:id="487670742">
      <w:bodyDiv w:val="1"/>
      <w:marLeft w:val="0"/>
      <w:marRight w:val="0"/>
      <w:marTop w:val="0"/>
      <w:marBottom w:val="0"/>
      <w:divBdr>
        <w:top w:val="none" w:sz="0" w:space="0" w:color="auto"/>
        <w:left w:val="none" w:sz="0" w:space="0" w:color="auto"/>
        <w:bottom w:val="none" w:sz="0" w:space="0" w:color="auto"/>
        <w:right w:val="none" w:sz="0" w:space="0" w:color="auto"/>
      </w:divBdr>
    </w:div>
    <w:div w:id="488525052">
      <w:bodyDiv w:val="1"/>
      <w:marLeft w:val="0"/>
      <w:marRight w:val="0"/>
      <w:marTop w:val="0"/>
      <w:marBottom w:val="0"/>
      <w:divBdr>
        <w:top w:val="none" w:sz="0" w:space="0" w:color="auto"/>
        <w:left w:val="none" w:sz="0" w:space="0" w:color="auto"/>
        <w:bottom w:val="none" w:sz="0" w:space="0" w:color="auto"/>
        <w:right w:val="none" w:sz="0" w:space="0" w:color="auto"/>
      </w:divBdr>
    </w:div>
    <w:div w:id="490171784">
      <w:bodyDiv w:val="1"/>
      <w:marLeft w:val="0"/>
      <w:marRight w:val="0"/>
      <w:marTop w:val="0"/>
      <w:marBottom w:val="0"/>
      <w:divBdr>
        <w:top w:val="none" w:sz="0" w:space="0" w:color="auto"/>
        <w:left w:val="none" w:sz="0" w:space="0" w:color="auto"/>
        <w:bottom w:val="none" w:sz="0" w:space="0" w:color="auto"/>
        <w:right w:val="none" w:sz="0" w:space="0" w:color="auto"/>
      </w:divBdr>
    </w:div>
    <w:div w:id="490607994">
      <w:bodyDiv w:val="1"/>
      <w:marLeft w:val="0"/>
      <w:marRight w:val="0"/>
      <w:marTop w:val="0"/>
      <w:marBottom w:val="0"/>
      <w:divBdr>
        <w:top w:val="none" w:sz="0" w:space="0" w:color="auto"/>
        <w:left w:val="none" w:sz="0" w:space="0" w:color="auto"/>
        <w:bottom w:val="none" w:sz="0" w:space="0" w:color="auto"/>
        <w:right w:val="none" w:sz="0" w:space="0" w:color="auto"/>
      </w:divBdr>
    </w:div>
    <w:div w:id="491020270">
      <w:bodyDiv w:val="1"/>
      <w:marLeft w:val="0"/>
      <w:marRight w:val="0"/>
      <w:marTop w:val="0"/>
      <w:marBottom w:val="0"/>
      <w:divBdr>
        <w:top w:val="none" w:sz="0" w:space="0" w:color="auto"/>
        <w:left w:val="none" w:sz="0" w:space="0" w:color="auto"/>
        <w:bottom w:val="none" w:sz="0" w:space="0" w:color="auto"/>
        <w:right w:val="none" w:sz="0" w:space="0" w:color="auto"/>
      </w:divBdr>
    </w:div>
    <w:div w:id="492070913">
      <w:bodyDiv w:val="1"/>
      <w:marLeft w:val="0"/>
      <w:marRight w:val="0"/>
      <w:marTop w:val="0"/>
      <w:marBottom w:val="0"/>
      <w:divBdr>
        <w:top w:val="none" w:sz="0" w:space="0" w:color="auto"/>
        <w:left w:val="none" w:sz="0" w:space="0" w:color="auto"/>
        <w:bottom w:val="none" w:sz="0" w:space="0" w:color="auto"/>
        <w:right w:val="none" w:sz="0" w:space="0" w:color="auto"/>
      </w:divBdr>
    </w:div>
    <w:div w:id="493302889">
      <w:bodyDiv w:val="1"/>
      <w:marLeft w:val="0"/>
      <w:marRight w:val="0"/>
      <w:marTop w:val="0"/>
      <w:marBottom w:val="0"/>
      <w:divBdr>
        <w:top w:val="none" w:sz="0" w:space="0" w:color="auto"/>
        <w:left w:val="none" w:sz="0" w:space="0" w:color="auto"/>
        <w:bottom w:val="none" w:sz="0" w:space="0" w:color="auto"/>
        <w:right w:val="none" w:sz="0" w:space="0" w:color="auto"/>
      </w:divBdr>
    </w:div>
    <w:div w:id="493304843">
      <w:bodyDiv w:val="1"/>
      <w:marLeft w:val="0"/>
      <w:marRight w:val="0"/>
      <w:marTop w:val="0"/>
      <w:marBottom w:val="0"/>
      <w:divBdr>
        <w:top w:val="none" w:sz="0" w:space="0" w:color="auto"/>
        <w:left w:val="none" w:sz="0" w:space="0" w:color="auto"/>
        <w:bottom w:val="none" w:sz="0" w:space="0" w:color="auto"/>
        <w:right w:val="none" w:sz="0" w:space="0" w:color="auto"/>
      </w:divBdr>
    </w:div>
    <w:div w:id="494497574">
      <w:bodyDiv w:val="1"/>
      <w:marLeft w:val="0"/>
      <w:marRight w:val="0"/>
      <w:marTop w:val="0"/>
      <w:marBottom w:val="0"/>
      <w:divBdr>
        <w:top w:val="none" w:sz="0" w:space="0" w:color="auto"/>
        <w:left w:val="none" w:sz="0" w:space="0" w:color="auto"/>
        <w:bottom w:val="none" w:sz="0" w:space="0" w:color="auto"/>
        <w:right w:val="none" w:sz="0" w:space="0" w:color="auto"/>
      </w:divBdr>
    </w:div>
    <w:div w:id="495269404">
      <w:bodyDiv w:val="1"/>
      <w:marLeft w:val="0"/>
      <w:marRight w:val="0"/>
      <w:marTop w:val="0"/>
      <w:marBottom w:val="0"/>
      <w:divBdr>
        <w:top w:val="none" w:sz="0" w:space="0" w:color="auto"/>
        <w:left w:val="none" w:sz="0" w:space="0" w:color="auto"/>
        <w:bottom w:val="none" w:sz="0" w:space="0" w:color="auto"/>
        <w:right w:val="none" w:sz="0" w:space="0" w:color="auto"/>
      </w:divBdr>
    </w:div>
    <w:div w:id="495609196">
      <w:bodyDiv w:val="1"/>
      <w:marLeft w:val="0"/>
      <w:marRight w:val="0"/>
      <w:marTop w:val="0"/>
      <w:marBottom w:val="0"/>
      <w:divBdr>
        <w:top w:val="none" w:sz="0" w:space="0" w:color="auto"/>
        <w:left w:val="none" w:sz="0" w:space="0" w:color="auto"/>
        <w:bottom w:val="none" w:sz="0" w:space="0" w:color="auto"/>
        <w:right w:val="none" w:sz="0" w:space="0" w:color="auto"/>
      </w:divBdr>
    </w:div>
    <w:div w:id="497769707">
      <w:bodyDiv w:val="1"/>
      <w:marLeft w:val="0"/>
      <w:marRight w:val="0"/>
      <w:marTop w:val="0"/>
      <w:marBottom w:val="0"/>
      <w:divBdr>
        <w:top w:val="none" w:sz="0" w:space="0" w:color="auto"/>
        <w:left w:val="none" w:sz="0" w:space="0" w:color="auto"/>
        <w:bottom w:val="none" w:sz="0" w:space="0" w:color="auto"/>
        <w:right w:val="none" w:sz="0" w:space="0" w:color="auto"/>
      </w:divBdr>
    </w:div>
    <w:div w:id="497963429">
      <w:bodyDiv w:val="1"/>
      <w:marLeft w:val="0"/>
      <w:marRight w:val="0"/>
      <w:marTop w:val="0"/>
      <w:marBottom w:val="0"/>
      <w:divBdr>
        <w:top w:val="none" w:sz="0" w:space="0" w:color="auto"/>
        <w:left w:val="none" w:sz="0" w:space="0" w:color="auto"/>
        <w:bottom w:val="none" w:sz="0" w:space="0" w:color="auto"/>
        <w:right w:val="none" w:sz="0" w:space="0" w:color="auto"/>
      </w:divBdr>
    </w:div>
    <w:div w:id="499007071">
      <w:bodyDiv w:val="1"/>
      <w:marLeft w:val="0"/>
      <w:marRight w:val="0"/>
      <w:marTop w:val="0"/>
      <w:marBottom w:val="0"/>
      <w:divBdr>
        <w:top w:val="none" w:sz="0" w:space="0" w:color="auto"/>
        <w:left w:val="none" w:sz="0" w:space="0" w:color="auto"/>
        <w:bottom w:val="none" w:sz="0" w:space="0" w:color="auto"/>
        <w:right w:val="none" w:sz="0" w:space="0" w:color="auto"/>
      </w:divBdr>
    </w:div>
    <w:div w:id="499389793">
      <w:bodyDiv w:val="1"/>
      <w:marLeft w:val="0"/>
      <w:marRight w:val="0"/>
      <w:marTop w:val="0"/>
      <w:marBottom w:val="0"/>
      <w:divBdr>
        <w:top w:val="none" w:sz="0" w:space="0" w:color="auto"/>
        <w:left w:val="none" w:sz="0" w:space="0" w:color="auto"/>
        <w:bottom w:val="none" w:sz="0" w:space="0" w:color="auto"/>
        <w:right w:val="none" w:sz="0" w:space="0" w:color="auto"/>
      </w:divBdr>
    </w:div>
    <w:div w:id="500004898">
      <w:bodyDiv w:val="1"/>
      <w:marLeft w:val="0"/>
      <w:marRight w:val="0"/>
      <w:marTop w:val="0"/>
      <w:marBottom w:val="0"/>
      <w:divBdr>
        <w:top w:val="none" w:sz="0" w:space="0" w:color="auto"/>
        <w:left w:val="none" w:sz="0" w:space="0" w:color="auto"/>
        <w:bottom w:val="none" w:sz="0" w:space="0" w:color="auto"/>
        <w:right w:val="none" w:sz="0" w:space="0" w:color="auto"/>
      </w:divBdr>
    </w:div>
    <w:div w:id="500580078">
      <w:bodyDiv w:val="1"/>
      <w:marLeft w:val="0"/>
      <w:marRight w:val="0"/>
      <w:marTop w:val="0"/>
      <w:marBottom w:val="0"/>
      <w:divBdr>
        <w:top w:val="none" w:sz="0" w:space="0" w:color="auto"/>
        <w:left w:val="none" w:sz="0" w:space="0" w:color="auto"/>
        <w:bottom w:val="none" w:sz="0" w:space="0" w:color="auto"/>
        <w:right w:val="none" w:sz="0" w:space="0" w:color="auto"/>
      </w:divBdr>
    </w:div>
    <w:div w:id="501897498">
      <w:bodyDiv w:val="1"/>
      <w:marLeft w:val="0"/>
      <w:marRight w:val="0"/>
      <w:marTop w:val="0"/>
      <w:marBottom w:val="0"/>
      <w:divBdr>
        <w:top w:val="none" w:sz="0" w:space="0" w:color="auto"/>
        <w:left w:val="none" w:sz="0" w:space="0" w:color="auto"/>
        <w:bottom w:val="none" w:sz="0" w:space="0" w:color="auto"/>
        <w:right w:val="none" w:sz="0" w:space="0" w:color="auto"/>
      </w:divBdr>
    </w:div>
    <w:div w:id="502167399">
      <w:bodyDiv w:val="1"/>
      <w:marLeft w:val="0"/>
      <w:marRight w:val="0"/>
      <w:marTop w:val="0"/>
      <w:marBottom w:val="0"/>
      <w:divBdr>
        <w:top w:val="none" w:sz="0" w:space="0" w:color="auto"/>
        <w:left w:val="none" w:sz="0" w:space="0" w:color="auto"/>
        <w:bottom w:val="none" w:sz="0" w:space="0" w:color="auto"/>
        <w:right w:val="none" w:sz="0" w:space="0" w:color="auto"/>
      </w:divBdr>
    </w:div>
    <w:div w:id="502665388">
      <w:bodyDiv w:val="1"/>
      <w:marLeft w:val="0"/>
      <w:marRight w:val="0"/>
      <w:marTop w:val="0"/>
      <w:marBottom w:val="0"/>
      <w:divBdr>
        <w:top w:val="none" w:sz="0" w:space="0" w:color="auto"/>
        <w:left w:val="none" w:sz="0" w:space="0" w:color="auto"/>
        <w:bottom w:val="none" w:sz="0" w:space="0" w:color="auto"/>
        <w:right w:val="none" w:sz="0" w:space="0" w:color="auto"/>
      </w:divBdr>
    </w:div>
    <w:div w:id="502821397">
      <w:bodyDiv w:val="1"/>
      <w:marLeft w:val="0"/>
      <w:marRight w:val="0"/>
      <w:marTop w:val="0"/>
      <w:marBottom w:val="0"/>
      <w:divBdr>
        <w:top w:val="none" w:sz="0" w:space="0" w:color="auto"/>
        <w:left w:val="none" w:sz="0" w:space="0" w:color="auto"/>
        <w:bottom w:val="none" w:sz="0" w:space="0" w:color="auto"/>
        <w:right w:val="none" w:sz="0" w:space="0" w:color="auto"/>
      </w:divBdr>
    </w:div>
    <w:div w:id="503399717">
      <w:bodyDiv w:val="1"/>
      <w:marLeft w:val="0"/>
      <w:marRight w:val="0"/>
      <w:marTop w:val="0"/>
      <w:marBottom w:val="0"/>
      <w:divBdr>
        <w:top w:val="none" w:sz="0" w:space="0" w:color="auto"/>
        <w:left w:val="none" w:sz="0" w:space="0" w:color="auto"/>
        <w:bottom w:val="none" w:sz="0" w:space="0" w:color="auto"/>
        <w:right w:val="none" w:sz="0" w:space="0" w:color="auto"/>
      </w:divBdr>
    </w:div>
    <w:div w:id="506097481">
      <w:bodyDiv w:val="1"/>
      <w:marLeft w:val="0"/>
      <w:marRight w:val="0"/>
      <w:marTop w:val="0"/>
      <w:marBottom w:val="0"/>
      <w:divBdr>
        <w:top w:val="none" w:sz="0" w:space="0" w:color="auto"/>
        <w:left w:val="none" w:sz="0" w:space="0" w:color="auto"/>
        <w:bottom w:val="none" w:sz="0" w:space="0" w:color="auto"/>
        <w:right w:val="none" w:sz="0" w:space="0" w:color="auto"/>
      </w:divBdr>
    </w:div>
    <w:div w:id="507251959">
      <w:bodyDiv w:val="1"/>
      <w:marLeft w:val="0"/>
      <w:marRight w:val="0"/>
      <w:marTop w:val="0"/>
      <w:marBottom w:val="0"/>
      <w:divBdr>
        <w:top w:val="none" w:sz="0" w:space="0" w:color="auto"/>
        <w:left w:val="none" w:sz="0" w:space="0" w:color="auto"/>
        <w:bottom w:val="none" w:sz="0" w:space="0" w:color="auto"/>
        <w:right w:val="none" w:sz="0" w:space="0" w:color="auto"/>
      </w:divBdr>
    </w:div>
    <w:div w:id="507521583">
      <w:bodyDiv w:val="1"/>
      <w:marLeft w:val="0"/>
      <w:marRight w:val="0"/>
      <w:marTop w:val="0"/>
      <w:marBottom w:val="0"/>
      <w:divBdr>
        <w:top w:val="none" w:sz="0" w:space="0" w:color="auto"/>
        <w:left w:val="none" w:sz="0" w:space="0" w:color="auto"/>
        <w:bottom w:val="none" w:sz="0" w:space="0" w:color="auto"/>
        <w:right w:val="none" w:sz="0" w:space="0" w:color="auto"/>
      </w:divBdr>
    </w:div>
    <w:div w:id="507790193">
      <w:bodyDiv w:val="1"/>
      <w:marLeft w:val="0"/>
      <w:marRight w:val="0"/>
      <w:marTop w:val="0"/>
      <w:marBottom w:val="0"/>
      <w:divBdr>
        <w:top w:val="none" w:sz="0" w:space="0" w:color="auto"/>
        <w:left w:val="none" w:sz="0" w:space="0" w:color="auto"/>
        <w:bottom w:val="none" w:sz="0" w:space="0" w:color="auto"/>
        <w:right w:val="none" w:sz="0" w:space="0" w:color="auto"/>
      </w:divBdr>
    </w:div>
    <w:div w:id="507987937">
      <w:bodyDiv w:val="1"/>
      <w:marLeft w:val="0"/>
      <w:marRight w:val="0"/>
      <w:marTop w:val="0"/>
      <w:marBottom w:val="0"/>
      <w:divBdr>
        <w:top w:val="none" w:sz="0" w:space="0" w:color="auto"/>
        <w:left w:val="none" w:sz="0" w:space="0" w:color="auto"/>
        <w:bottom w:val="none" w:sz="0" w:space="0" w:color="auto"/>
        <w:right w:val="none" w:sz="0" w:space="0" w:color="auto"/>
      </w:divBdr>
    </w:div>
    <w:div w:id="509107734">
      <w:bodyDiv w:val="1"/>
      <w:marLeft w:val="0"/>
      <w:marRight w:val="0"/>
      <w:marTop w:val="0"/>
      <w:marBottom w:val="0"/>
      <w:divBdr>
        <w:top w:val="none" w:sz="0" w:space="0" w:color="auto"/>
        <w:left w:val="none" w:sz="0" w:space="0" w:color="auto"/>
        <w:bottom w:val="none" w:sz="0" w:space="0" w:color="auto"/>
        <w:right w:val="none" w:sz="0" w:space="0" w:color="auto"/>
      </w:divBdr>
    </w:div>
    <w:div w:id="509493186">
      <w:bodyDiv w:val="1"/>
      <w:marLeft w:val="0"/>
      <w:marRight w:val="0"/>
      <w:marTop w:val="0"/>
      <w:marBottom w:val="0"/>
      <w:divBdr>
        <w:top w:val="none" w:sz="0" w:space="0" w:color="auto"/>
        <w:left w:val="none" w:sz="0" w:space="0" w:color="auto"/>
        <w:bottom w:val="none" w:sz="0" w:space="0" w:color="auto"/>
        <w:right w:val="none" w:sz="0" w:space="0" w:color="auto"/>
      </w:divBdr>
    </w:div>
    <w:div w:id="509562053">
      <w:bodyDiv w:val="1"/>
      <w:marLeft w:val="0"/>
      <w:marRight w:val="0"/>
      <w:marTop w:val="0"/>
      <w:marBottom w:val="0"/>
      <w:divBdr>
        <w:top w:val="none" w:sz="0" w:space="0" w:color="auto"/>
        <w:left w:val="none" w:sz="0" w:space="0" w:color="auto"/>
        <w:bottom w:val="none" w:sz="0" w:space="0" w:color="auto"/>
        <w:right w:val="none" w:sz="0" w:space="0" w:color="auto"/>
      </w:divBdr>
    </w:div>
    <w:div w:id="510418032">
      <w:bodyDiv w:val="1"/>
      <w:marLeft w:val="0"/>
      <w:marRight w:val="0"/>
      <w:marTop w:val="0"/>
      <w:marBottom w:val="0"/>
      <w:divBdr>
        <w:top w:val="none" w:sz="0" w:space="0" w:color="auto"/>
        <w:left w:val="none" w:sz="0" w:space="0" w:color="auto"/>
        <w:bottom w:val="none" w:sz="0" w:space="0" w:color="auto"/>
        <w:right w:val="none" w:sz="0" w:space="0" w:color="auto"/>
      </w:divBdr>
    </w:div>
    <w:div w:id="510685930">
      <w:bodyDiv w:val="1"/>
      <w:marLeft w:val="0"/>
      <w:marRight w:val="0"/>
      <w:marTop w:val="0"/>
      <w:marBottom w:val="0"/>
      <w:divBdr>
        <w:top w:val="none" w:sz="0" w:space="0" w:color="auto"/>
        <w:left w:val="none" w:sz="0" w:space="0" w:color="auto"/>
        <w:bottom w:val="none" w:sz="0" w:space="0" w:color="auto"/>
        <w:right w:val="none" w:sz="0" w:space="0" w:color="auto"/>
      </w:divBdr>
    </w:div>
    <w:div w:id="512300475">
      <w:bodyDiv w:val="1"/>
      <w:marLeft w:val="0"/>
      <w:marRight w:val="0"/>
      <w:marTop w:val="0"/>
      <w:marBottom w:val="0"/>
      <w:divBdr>
        <w:top w:val="none" w:sz="0" w:space="0" w:color="auto"/>
        <w:left w:val="none" w:sz="0" w:space="0" w:color="auto"/>
        <w:bottom w:val="none" w:sz="0" w:space="0" w:color="auto"/>
        <w:right w:val="none" w:sz="0" w:space="0" w:color="auto"/>
      </w:divBdr>
    </w:div>
    <w:div w:id="512455966">
      <w:bodyDiv w:val="1"/>
      <w:marLeft w:val="0"/>
      <w:marRight w:val="0"/>
      <w:marTop w:val="0"/>
      <w:marBottom w:val="0"/>
      <w:divBdr>
        <w:top w:val="none" w:sz="0" w:space="0" w:color="auto"/>
        <w:left w:val="none" w:sz="0" w:space="0" w:color="auto"/>
        <w:bottom w:val="none" w:sz="0" w:space="0" w:color="auto"/>
        <w:right w:val="none" w:sz="0" w:space="0" w:color="auto"/>
      </w:divBdr>
    </w:div>
    <w:div w:id="512649339">
      <w:bodyDiv w:val="1"/>
      <w:marLeft w:val="0"/>
      <w:marRight w:val="0"/>
      <w:marTop w:val="0"/>
      <w:marBottom w:val="0"/>
      <w:divBdr>
        <w:top w:val="none" w:sz="0" w:space="0" w:color="auto"/>
        <w:left w:val="none" w:sz="0" w:space="0" w:color="auto"/>
        <w:bottom w:val="none" w:sz="0" w:space="0" w:color="auto"/>
        <w:right w:val="none" w:sz="0" w:space="0" w:color="auto"/>
      </w:divBdr>
    </w:div>
    <w:div w:id="514729444">
      <w:bodyDiv w:val="1"/>
      <w:marLeft w:val="0"/>
      <w:marRight w:val="0"/>
      <w:marTop w:val="0"/>
      <w:marBottom w:val="0"/>
      <w:divBdr>
        <w:top w:val="none" w:sz="0" w:space="0" w:color="auto"/>
        <w:left w:val="none" w:sz="0" w:space="0" w:color="auto"/>
        <w:bottom w:val="none" w:sz="0" w:space="0" w:color="auto"/>
        <w:right w:val="none" w:sz="0" w:space="0" w:color="auto"/>
      </w:divBdr>
    </w:div>
    <w:div w:id="514807523">
      <w:bodyDiv w:val="1"/>
      <w:marLeft w:val="0"/>
      <w:marRight w:val="0"/>
      <w:marTop w:val="0"/>
      <w:marBottom w:val="0"/>
      <w:divBdr>
        <w:top w:val="none" w:sz="0" w:space="0" w:color="auto"/>
        <w:left w:val="none" w:sz="0" w:space="0" w:color="auto"/>
        <w:bottom w:val="none" w:sz="0" w:space="0" w:color="auto"/>
        <w:right w:val="none" w:sz="0" w:space="0" w:color="auto"/>
      </w:divBdr>
    </w:div>
    <w:div w:id="514928724">
      <w:bodyDiv w:val="1"/>
      <w:marLeft w:val="0"/>
      <w:marRight w:val="0"/>
      <w:marTop w:val="0"/>
      <w:marBottom w:val="0"/>
      <w:divBdr>
        <w:top w:val="none" w:sz="0" w:space="0" w:color="auto"/>
        <w:left w:val="none" w:sz="0" w:space="0" w:color="auto"/>
        <w:bottom w:val="none" w:sz="0" w:space="0" w:color="auto"/>
        <w:right w:val="none" w:sz="0" w:space="0" w:color="auto"/>
      </w:divBdr>
    </w:div>
    <w:div w:id="515848174">
      <w:bodyDiv w:val="1"/>
      <w:marLeft w:val="0"/>
      <w:marRight w:val="0"/>
      <w:marTop w:val="0"/>
      <w:marBottom w:val="0"/>
      <w:divBdr>
        <w:top w:val="none" w:sz="0" w:space="0" w:color="auto"/>
        <w:left w:val="none" w:sz="0" w:space="0" w:color="auto"/>
        <w:bottom w:val="none" w:sz="0" w:space="0" w:color="auto"/>
        <w:right w:val="none" w:sz="0" w:space="0" w:color="auto"/>
      </w:divBdr>
    </w:div>
    <w:div w:id="516314363">
      <w:bodyDiv w:val="1"/>
      <w:marLeft w:val="0"/>
      <w:marRight w:val="0"/>
      <w:marTop w:val="0"/>
      <w:marBottom w:val="0"/>
      <w:divBdr>
        <w:top w:val="none" w:sz="0" w:space="0" w:color="auto"/>
        <w:left w:val="none" w:sz="0" w:space="0" w:color="auto"/>
        <w:bottom w:val="none" w:sz="0" w:space="0" w:color="auto"/>
        <w:right w:val="none" w:sz="0" w:space="0" w:color="auto"/>
      </w:divBdr>
    </w:div>
    <w:div w:id="516384827">
      <w:bodyDiv w:val="1"/>
      <w:marLeft w:val="0"/>
      <w:marRight w:val="0"/>
      <w:marTop w:val="0"/>
      <w:marBottom w:val="0"/>
      <w:divBdr>
        <w:top w:val="none" w:sz="0" w:space="0" w:color="auto"/>
        <w:left w:val="none" w:sz="0" w:space="0" w:color="auto"/>
        <w:bottom w:val="none" w:sz="0" w:space="0" w:color="auto"/>
        <w:right w:val="none" w:sz="0" w:space="0" w:color="auto"/>
      </w:divBdr>
    </w:div>
    <w:div w:id="517157645">
      <w:bodyDiv w:val="1"/>
      <w:marLeft w:val="0"/>
      <w:marRight w:val="0"/>
      <w:marTop w:val="0"/>
      <w:marBottom w:val="0"/>
      <w:divBdr>
        <w:top w:val="none" w:sz="0" w:space="0" w:color="auto"/>
        <w:left w:val="none" w:sz="0" w:space="0" w:color="auto"/>
        <w:bottom w:val="none" w:sz="0" w:space="0" w:color="auto"/>
        <w:right w:val="none" w:sz="0" w:space="0" w:color="auto"/>
      </w:divBdr>
    </w:div>
    <w:div w:id="517431936">
      <w:bodyDiv w:val="1"/>
      <w:marLeft w:val="0"/>
      <w:marRight w:val="0"/>
      <w:marTop w:val="0"/>
      <w:marBottom w:val="0"/>
      <w:divBdr>
        <w:top w:val="none" w:sz="0" w:space="0" w:color="auto"/>
        <w:left w:val="none" w:sz="0" w:space="0" w:color="auto"/>
        <w:bottom w:val="none" w:sz="0" w:space="0" w:color="auto"/>
        <w:right w:val="none" w:sz="0" w:space="0" w:color="auto"/>
      </w:divBdr>
    </w:div>
    <w:div w:id="518812882">
      <w:bodyDiv w:val="1"/>
      <w:marLeft w:val="0"/>
      <w:marRight w:val="0"/>
      <w:marTop w:val="0"/>
      <w:marBottom w:val="0"/>
      <w:divBdr>
        <w:top w:val="none" w:sz="0" w:space="0" w:color="auto"/>
        <w:left w:val="none" w:sz="0" w:space="0" w:color="auto"/>
        <w:bottom w:val="none" w:sz="0" w:space="0" w:color="auto"/>
        <w:right w:val="none" w:sz="0" w:space="0" w:color="auto"/>
      </w:divBdr>
    </w:div>
    <w:div w:id="519397142">
      <w:bodyDiv w:val="1"/>
      <w:marLeft w:val="0"/>
      <w:marRight w:val="0"/>
      <w:marTop w:val="0"/>
      <w:marBottom w:val="0"/>
      <w:divBdr>
        <w:top w:val="none" w:sz="0" w:space="0" w:color="auto"/>
        <w:left w:val="none" w:sz="0" w:space="0" w:color="auto"/>
        <w:bottom w:val="none" w:sz="0" w:space="0" w:color="auto"/>
        <w:right w:val="none" w:sz="0" w:space="0" w:color="auto"/>
      </w:divBdr>
    </w:div>
    <w:div w:id="520825934">
      <w:bodyDiv w:val="1"/>
      <w:marLeft w:val="0"/>
      <w:marRight w:val="0"/>
      <w:marTop w:val="0"/>
      <w:marBottom w:val="0"/>
      <w:divBdr>
        <w:top w:val="none" w:sz="0" w:space="0" w:color="auto"/>
        <w:left w:val="none" w:sz="0" w:space="0" w:color="auto"/>
        <w:bottom w:val="none" w:sz="0" w:space="0" w:color="auto"/>
        <w:right w:val="none" w:sz="0" w:space="0" w:color="auto"/>
      </w:divBdr>
    </w:div>
    <w:div w:id="521482989">
      <w:bodyDiv w:val="1"/>
      <w:marLeft w:val="0"/>
      <w:marRight w:val="0"/>
      <w:marTop w:val="0"/>
      <w:marBottom w:val="0"/>
      <w:divBdr>
        <w:top w:val="none" w:sz="0" w:space="0" w:color="auto"/>
        <w:left w:val="none" w:sz="0" w:space="0" w:color="auto"/>
        <w:bottom w:val="none" w:sz="0" w:space="0" w:color="auto"/>
        <w:right w:val="none" w:sz="0" w:space="0" w:color="auto"/>
      </w:divBdr>
    </w:div>
    <w:div w:id="522326336">
      <w:bodyDiv w:val="1"/>
      <w:marLeft w:val="0"/>
      <w:marRight w:val="0"/>
      <w:marTop w:val="0"/>
      <w:marBottom w:val="0"/>
      <w:divBdr>
        <w:top w:val="none" w:sz="0" w:space="0" w:color="auto"/>
        <w:left w:val="none" w:sz="0" w:space="0" w:color="auto"/>
        <w:bottom w:val="none" w:sz="0" w:space="0" w:color="auto"/>
        <w:right w:val="none" w:sz="0" w:space="0" w:color="auto"/>
      </w:divBdr>
    </w:div>
    <w:div w:id="522595910">
      <w:bodyDiv w:val="1"/>
      <w:marLeft w:val="0"/>
      <w:marRight w:val="0"/>
      <w:marTop w:val="0"/>
      <w:marBottom w:val="0"/>
      <w:divBdr>
        <w:top w:val="none" w:sz="0" w:space="0" w:color="auto"/>
        <w:left w:val="none" w:sz="0" w:space="0" w:color="auto"/>
        <w:bottom w:val="none" w:sz="0" w:space="0" w:color="auto"/>
        <w:right w:val="none" w:sz="0" w:space="0" w:color="auto"/>
      </w:divBdr>
    </w:div>
    <w:div w:id="522860596">
      <w:bodyDiv w:val="1"/>
      <w:marLeft w:val="0"/>
      <w:marRight w:val="0"/>
      <w:marTop w:val="0"/>
      <w:marBottom w:val="0"/>
      <w:divBdr>
        <w:top w:val="none" w:sz="0" w:space="0" w:color="auto"/>
        <w:left w:val="none" w:sz="0" w:space="0" w:color="auto"/>
        <w:bottom w:val="none" w:sz="0" w:space="0" w:color="auto"/>
        <w:right w:val="none" w:sz="0" w:space="0" w:color="auto"/>
      </w:divBdr>
    </w:div>
    <w:div w:id="523176544">
      <w:bodyDiv w:val="1"/>
      <w:marLeft w:val="0"/>
      <w:marRight w:val="0"/>
      <w:marTop w:val="0"/>
      <w:marBottom w:val="0"/>
      <w:divBdr>
        <w:top w:val="none" w:sz="0" w:space="0" w:color="auto"/>
        <w:left w:val="none" w:sz="0" w:space="0" w:color="auto"/>
        <w:bottom w:val="none" w:sz="0" w:space="0" w:color="auto"/>
        <w:right w:val="none" w:sz="0" w:space="0" w:color="auto"/>
      </w:divBdr>
    </w:div>
    <w:div w:id="523981277">
      <w:bodyDiv w:val="1"/>
      <w:marLeft w:val="0"/>
      <w:marRight w:val="0"/>
      <w:marTop w:val="0"/>
      <w:marBottom w:val="0"/>
      <w:divBdr>
        <w:top w:val="none" w:sz="0" w:space="0" w:color="auto"/>
        <w:left w:val="none" w:sz="0" w:space="0" w:color="auto"/>
        <w:bottom w:val="none" w:sz="0" w:space="0" w:color="auto"/>
        <w:right w:val="none" w:sz="0" w:space="0" w:color="auto"/>
      </w:divBdr>
    </w:div>
    <w:div w:id="524250241">
      <w:bodyDiv w:val="1"/>
      <w:marLeft w:val="0"/>
      <w:marRight w:val="0"/>
      <w:marTop w:val="0"/>
      <w:marBottom w:val="0"/>
      <w:divBdr>
        <w:top w:val="none" w:sz="0" w:space="0" w:color="auto"/>
        <w:left w:val="none" w:sz="0" w:space="0" w:color="auto"/>
        <w:bottom w:val="none" w:sz="0" w:space="0" w:color="auto"/>
        <w:right w:val="none" w:sz="0" w:space="0" w:color="auto"/>
      </w:divBdr>
    </w:div>
    <w:div w:id="524443325">
      <w:bodyDiv w:val="1"/>
      <w:marLeft w:val="0"/>
      <w:marRight w:val="0"/>
      <w:marTop w:val="0"/>
      <w:marBottom w:val="0"/>
      <w:divBdr>
        <w:top w:val="none" w:sz="0" w:space="0" w:color="auto"/>
        <w:left w:val="none" w:sz="0" w:space="0" w:color="auto"/>
        <w:bottom w:val="none" w:sz="0" w:space="0" w:color="auto"/>
        <w:right w:val="none" w:sz="0" w:space="0" w:color="auto"/>
      </w:divBdr>
    </w:div>
    <w:div w:id="525213704">
      <w:bodyDiv w:val="1"/>
      <w:marLeft w:val="0"/>
      <w:marRight w:val="0"/>
      <w:marTop w:val="0"/>
      <w:marBottom w:val="0"/>
      <w:divBdr>
        <w:top w:val="none" w:sz="0" w:space="0" w:color="auto"/>
        <w:left w:val="none" w:sz="0" w:space="0" w:color="auto"/>
        <w:bottom w:val="none" w:sz="0" w:space="0" w:color="auto"/>
        <w:right w:val="none" w:sz="0" w:space="0" w:color="auto"/>
      </w:divBdr>
    </w:div>
    <w:div w:id="525869184">
      <w:bodyDiv w:val="1"/>
      <w:marLeft w:val="0"/>
      <w:marRight w:val="0"/>
      <w:marTop w:val="0"/>
      <w:marBottom w:val="0"/>
      <w:divBdr>
        <w:top w:val="none" w:sz="0" w:space="0" w:color="auto"/>
        <w:left w:val="none" w:sz="0" w:space="0" w:color="auto"/>
        <w:bottom w:val="none" w:sz="0" w:space="0" w:color="auto"/>
        <w:right w:val="none" w:sz="0" w:space="0" w:color="auto"/>
      </w:divBdr>
    </w:div>
    <w:div w:id="526719695">
      <w:bodyDiv w:val="1"/>
      <w:marLeft w:val="0"/>
      <w:marRight w:val="0"/>
      <w:marTop w:val="0"/>
      <w:marBottom w:val="0"/>
      <w:divBdr>
        <w:top w:val="none" w:sz="0" w:space="0" w:color="auto"/>
        <w:left w:val="none" w:sz="0" w:space="0" w:color="auto"/>
        <w:bottom w:val="none" w:sz="0" w:space="0" w:color="auto"/>
        <w:right w:val="none" w:sz="0" w:space="0" w:color="auto"/>
      </w:divBdr>
    </w:div>
    <w:div w:id="527108600">
      <w:bodyDiv w:val="1"/>
      <w:marLeft w:val="0"/>
      <w:marRight w:val="0"/>
      <w:marTop w:val="0"/>
      <w:marBottom w:val="0"/>
      <w:divBdr>
        <w:top w:val="none" w:sz="0" w:space="0" w:color="auto"/>
        <w:left w:val="none" w:sz="0" w:space="0" w:color="auto"/>
        <w:bottom w:val="none" w:sz="0" w:space="0" w:color="auto"/>
        <w:right w:val="none" w:sz="0" w:space="0" w:color="auto"/>
      </w:divBdr>
    </w:div>
    <w:div w:id="527643328">
      <w:bodyDiv w:val="1"/>
      <w:marLeft w:val="0"/>
      <w:marRight w:val="0"/>
      <w:marTop w:val="0"/>
      <w:marBottom w:val="0"/>
      <w:divBdr>
        <w:top w:val="none" w:sz="0" w:space="0" w:color="auto"/>
        <w:left w:val="none" w:sz="0" w:space="0" w:color="auto"/>
        <w:bottom w:val="none" w:sz="0" w:space="0" w:color="auto"/>
        <w:right w:val="none" w:sz="0" w:space="0" w:color="auto"/>
      </w:divBdr>
    </w:div>
    <w:div w:id="529418863">
      <w:bodyDiv w:val="1"/>
      <w:marLeft w:val="0"/>
      <w:marRight w:val="0"/>
      <w:marTop w:val="0"/>
      <w:marBottom w:val="0"/>
      <w:divBdr>
        <w:top w:val="none" w:sz="0" w:space="0" w:color="auto"/>
        <w:left w:val="none" w:sz="0" w:space="0" w:color="auto"/>
        <w:bottom w:val="none" w:sz="0" w:space="0" w:color="auto"/>
        <w:right w:val="none" w:sz="0" w:space="0" w:color="auto"/>
      </w:divBdr>
    </w:div>
    <w:div w:id="531260308">
      <w:bodyDiv w:val="1"/>
      <w:marLeft w:val="0"/>
      <w:marRight w:val="0"/>
      <w:marTop w:val="0"/>
      <w:marBottom w:val="0"/>
      <w:divBdr>
        <w:top w:val="none" w:sz="0" w:space="0" w:color="auto"/>
        <w:left w:val="none" w:sz="0" w:space="0" w:color="auto"/>
        <w:bottom w:val="none" w:sz="0" w:space="0" w:color="auto"/>
        <w:right w:val="none" w:sz="0" w:space="0" w:color="auto"/>
      </w:divBdr>
    </w:div>
    <w:div w:id="531453896">
      <w:bodyDiv w:val="1"/>
      <w:marLeft w:val="0"/>
      <w:marRight w:val="0"/>
      <w:marTop w:val="0"/>
      <w:marBottom w:val="0"/>
      <w:divBdr>
        <w:top w:val="none" w:sz="0" w:space="0" w:color="auto"/>
        <w:left w:val="none" w:sz="0" w:space="0" w:color="auto"/>
        <w:bottom w:val="none" w:sz="0" w:space="0" w:color="auto"/>
        <w:right w:val="none" w:sz="0" w:space="0" w:color="auto"/>
      </w:divBdr>
    </w:div>
    <w:div w:id="533158700">
      <w:bodyDiv w:val="1"/>
      <w:marLeft w:val="0"/>
      <w:marRight w:val="0"/>
      <w:marTop w:val="0"/>
      <w:marBottom w:val="0"/>
      <w:divBdr>
        <w:top w:val="none" w:sz="0" w:space="0" w:color="auto"/>
        <w:left w:val="none" w:sz="0" w:space="0" w:color="auto"/>
        <w:bottom w:val="none" w:sz="0" w:space="0" w:color="auto"/>
        <w:right w:val="none" w:sz="0" w:space="0" w:color="auto"/>
      </w:divBdr>
    </w:div>
    <w:div w:id="534923245">
      <w:bodyDiv w:val="1"/>
      <w:marLeft w:val="0"/>
      <w:marRight w:val="0"/>
      <w:marTop w:val="0"/>
      <w:marBottom w:val="0"/>
      <w:divBdr>
        <w:top w:val="none" w:sz="0" w:space="0" w:color="auto"/>
        <w:left w:val="none" w:sz="0" w:space="0" w:color="auto"/>
        <w:bottom w:val="none" w:sz="0" w:space="0" w:color="auto"/>
        <w:right w:val="none" w:sz="0" w:space="0" w:color="auto"/>
      </w:divBdr>
    </w:div>
    <w:div w:id="535511973">
      <w:bodyDiv w:val="1"/>
      <w:marLeft w:val="0"/>
      <w:marRight w:val="0"/>
      <w:marTop w:val="0"/>
      <w:marBottom w:val="0"/>
      <w:divBdr>
        <w:top w:val="none" w:sz="0" w:space="0" w:color="auto"/>
        <w:left w:val="none" w:sz="0" w:space="0" w:color="auto"/>
        <w:bottom w:val="none" w:sz="0" w:space="0" w:color="auto"/>
        <w:right w:val="none" w:sz="0" w:space="0" w:color="auto"/>
      </w:divBdr>
    </w:div>
    <w:div w:id="535699397">
      <w:bodyDiv w:val="1"/>
      <w:marLeft w:val="0"/>
      <w:marRight w:val="0"/>
      <w:marTop w:val="0"/>
      <w:marBottom w:val="0"/>
      <w:divBdr>
        <w:top w:val="none" w:sz="0" w:space="0" w:color="auto"/>
        <w:left w:val="none" w:sz="0" w:space="0" w:color="auto"/>
        <w:bottom w:val="none" w:sz="0" w:space="0" w:color="auto"/>
        <w:right w:val="none" w:sz="0" w:space="0" w:color="auto"/>
      </w:divBdr>
    </w:div>
    <w:div w:id="536046580">
      <w:bodyDiv w:val="1"/>
      <w:marLeft w:val="0"/>
      <w:marRight w:val="0"/>
      <w:marTop w:val="0"/>
      <w:marBottom w:val="0"/>
      <w:divBdr>
        <w:top w:val="none" w:sz="0" w:space="0" w:color="auto"/>
        <w:left w:val="none" w:sz="0" w:space="0" w:color="auto"/>
        <w:bottom w:val="none" w:sz="0" w:space="0" w:color="auto"/>
        <w:right w:val="none" w:sz="0" w:space="0" w:color="auto"/>
      </w:divBdr>
    </w:div>
    <w:div w:id="536090283">
      <w:bodyDiv w:val="1"/>
      <w:marLeft w:val="0"/>
      <w:marRight w:val="0"/>
      <w:marTop w:val="0"/>
      <w:marBottom w:val="0"/>
      <w:divBdr>
        <w:top w:val="none" w:sz="0" w:space="0" w:color="auto"/>
        <w:left w:val="none" w:sz="0" w:space="0" w:color="auto"/>
        <w:bottom w:val="none" w:sz="0" w:space="0" w:color="auto"/>
        <w:right w:val="none" w:sz="0" w:space="0" w:color="auto"/>
      </w:divBdr>
    </w:div>
    <w:div w:id="536891401">
      <w:bodyDiv w:val="1"/>
      <w:marLeft w:val="0"/>
      <w:marRight w:val="0"/>
      <w:marTop w:val="0"/>
      <w:marBottom w:val="0"/>
      <w:divBdr>
        <w:top w:val="none" w:sz="0" w:space="0" w:color="auto"/>
        <w:left w:val="none" w:sz="0" w:space="0" w:color="auto"/>
        <w:bottom w:val="none" w:sz="0" w:space="0" w:color="auto"/>
        <w:right w:val="none" w:sz="0" w:space="0" w:color="auto"/>
      </w:divBdr>
    </w:div>
    <w:div w:id="537164544">
      <w:bodyDiv w:val="1"/>
      <w:marLeft w:val="0"/>
      <w:marRight w:val="0"/>
      <w:marTop w:val="0"/>
      <w:marBottom w:val="0"/>
      <w:divBdr>
        <w:top w:val="none" w:sz="0" w:space="0" w:color="auto"/>
        <w:left w:val="none" w:sz="0" w:space="0" w:color="auto"/>
        <w:bottom w:val="none" w:sz="0" w:space="0" w:color="auto"/>
        <w:right w:val="none" w:sz="0" w:space="0" w:color="auto"/>
      </w:divBdr>
    </w:div>
    <w:div w:id="537351941">
      <w:bodyDiv w:val="1"/>
      <w:marLeft w:val="0"/>
      <w:marRight w:val="0"/>
      <w:marTop w:val="0"/>
      <w:marBottom w:val="0"/>
      <w:divBdr>
        <w:top w:val="none" w:sz="0" w:space="0" w:color="auto"/>
        <w:left w:val="none" w:sz="0" w:space="0" w:color="auto"/>
        <w:bottom w:val="none" w:sz="0" w:space="0" w:color="auto"/>
        <w:right w:val="none" w:sz="0" w:space="0" w:color="auto"/>
      </w:divBdr>
    </w:div>
    <w:div w:id="537930630">
      <w:bodyDiv w:val="1"/>
      <w:marLeft w:val="0"/>
      <w:marRight w:val="0"/>
      <w:marTop w:val="0"/>
      <w:marBottom w:val="0"/>
      <w:divBdr>
        <w:top w:val="none" w:sz="0" w:space="0" w:color="auto"/>
        <w:left w:val="none" w:sz="0" w:space="0" w:color="auto"/>
        <w:bottom w:val="none" w:sz="0" w:space="0" w:color="auto"/>
        <w:right w:val="none" w:sz="0" w:space="0" w:color="auto"/>
      </w:divBdr>
    </w:div>
    <w:div w:id="538277256">
      <w:bodyDiv w:val="1"/>
      <w:marLeft w:val="0"/>
      <w:marRight w:val="0"/>
      <w:marTop w:val="0"/>
      <w:marBottom w:val="0"/>
      <w:divBdr>
        <w:top w:val="none" w:sz="0" w:space="0" w:color="auto"/>
        <w:left w:val="none" w:sz="0" w:space="0" w:color="auto"/>
        <w:bottom w:val="none" w:sz="0" w:space="0" w:color="auto"/>
        <w:right w:val="none" w:sz="0" w:space="0" w:color="auto"/>
      </w:divBdr>
    </w:div>
    <w:div w:id="538591540">
      <w:bodyDiv w:val="1"/>
      <w:marLeft w:val="0"/>
      <w:marRight w:val="0"/>
      <w:marTop w:val="0"/>
      <w:marBottom w:val="0"/>
      <w:divBdr>
        <w:top w:val="none" w:sz="0" w:space="0" w:color="auto"/>
        <w:left w:val="none" w:sz="0" w:space="0" w:color="auto"/>
        <w:bottom w:val="none" w:sz="0" w:space="0" w:color="auto"/>
        <w:right w:val="none" w:sz="0" w:space="0" w:color="auto"/>
      </w:divBdr>
    </w:div>
    <w:div w:id="538737168">
      <w:bodyDiv w:val="1"/>
      <w:marLeft w:val="0"/>
      <w:marRight w:val="0"/>
      <w:marTop w:val="0"/>
      <w:marBottom w:val="0"/>
      <w:divBdr>
        <w:top w:val="none" w:sz="0" w:space="0" w:color="auto"/>
        <w:left w:val="none" w:sz="0" w:space="0" w:color="auto"/>
        <w:bottom w:val="none" w:sz="0" w:space="0" w:color="auto"/>
        <w:right w:val="none" w:sz="0" w:space="0" w:color="auto"/>
      </w:divBdr>
    </w:div>
    <w:div w:id="538861146">
      <w:bodyDiv w:val="1"/>
      <w:marLeft w:val="0"/>
      <w:marRight w:val="0"/>
      <w:marTop w:val="0"/>
      <w:marBottom w:val="0"/>
      <w:divBdr>
        <w:top w:val="none" w:sz="0" w:space="0" w:color="auto"/>
        <w:left w:val="none" w:sz="0" w:space="0" w:color="auto"/>
        <w:bottom w:val="none" w:sz="0" w:space="0" w:color="auto"/>
        <w:right w:val="none" w:sz="0" w:space="0" w:color="auto"/>
      </w:divBdr>
    </w:div>
    <w:div w:id="540291942">
      <w:bodyDiv w:val="1"/>
      <w:marLeft w:val="0"/>
      <w:marRight w:val="0"/>
      <w:marTop w:val="0"/>
      <w:marBottom w:val="0"/>
      <w:divBdr>
        <w:top w:val="none" w:sz="0" w:space="0" w:color="auto"/>
        <w:left w:val="none" w:sz="0" w:space="0" w:color="auto"/>
        <w:bottom w:val="none" w:sz="0" w:space="0" w:color="auto"/>
        <w:right w:val="none" w:sz="0" w:space="0" w:color="auto"/>
      </w:divBdr>
    </w:div>
    <w:div w:id="540745028">
      <w:bodyDiv w:val="1"/>
      <w:marLeft w:val="0"/>
      <w:marRight w:val="0"/>
      <w:marTop w:val="0"/>
      <w:marBottom w:val="0"/>
      <w:divBdr>
        <w:top w:val="none" w:sz="0" w:space="0" w:color="auto"/>
        <w:left w:val="none" w:sz="0" w:space="0" w:color="auto"/>
        <w:bottom w:val="none" w:sz="0" w:space="0" w:color="auto"/>
        <w:right w:val="none" w:sz="0" w:space="0" w:color="auto"/>
      </w:divBdr>
    </w:div>
    <w:div w:id="540947173">
      <w:bodyDiv w:val="1"/>
      <w:marLeft w:val="0"/>
      <w:marRight w:val="0"/>
      <w:marTop w:val="0"/>
      <w:marBottom w:val="0"/>
      <w:divBdr>
        <w:top w:val="none" w:sz="0" w:space="0" w:color="auto"/>
        <w:left w:val="none" w:sz="0" w:space="0" w:color="auto"/>
        <w:bottom w:val="none" w:sz="0" w:space="0" w:color="auto"/>
        <w:right w:val="none" w:sz="0" w:space="0" w:color="auto"/>
      </w:divBdr>
    </w:div>
    <w:div w:id="541597577">
      <w:bodyDiv w:val="1"/>
      <w:marLeft w:val="0"/>
      <w:marRight w:val="0"/>
      <w:marTop w:val="0"/>
      <w:marBottom w:val="0"/>
      <w:divBdr>
        <w:top w:val="none" w:sz="0" w:space="0" w:color="auto"/>
        <w:left w:val="none" w:sz="0" w:space="0" w:color="auto"/>
        <w:bottom w:val="none" w:sz="0" w:space="0" w:color="auto"/>
        <w:right w:val="none" w:sz="0" w:space="0" w:color="auto"/>
      </w:divBdr>
    </w:div>
    <w:div w:id="542717458">
      <w:bodyDiv w:val="1"/>
      <w:marLeft w:val="0"/>
      <w:marRight w:val="0"/>
      <w:marTop w:val="0"/>
      <w:marBottom w:val="0"/>
      <w:divBdr>
        <w:top w:val="none" w:sz="0" w:space="0" w:color="auto"/>
        <w:left w:val="none" w:sz="0" w:space="0" w:color="auto"/>
        <w:bottom w:val="none" w:sz="0" w:space="0" w:color="auto"/>
        <w:right w:val="none" w:sz="0" w:space="0" w:color="auto"/>
      </w:divBdr>
    </w:div>
    <w:div w:id="544565744">
      <w:bodyDiv w:val="1"/>
      <w:marLeft w:val="0"/>
      <w:marRight w:val="0"/>
      <w:marTop w:val="0"/>
      <w:marBottom w:val="0"/>
      <w:divBdr>
        <w:top w:val="none" w:sz="0" w:space="0" w:color="auto"/>
        <w:left w:val="none" w:sz="0" w:space="0" w:color="auto"/>
        <w:bottom w:val="none" w:sz="0" w:space="0" w:color="auto"/>
        <w:right w:val="none" w:sz="0" w:space="0" w:color="auto"/>
      </w:divBdr>
    </w:div>
    <w:div w:id="545529239">
      <w:bodyDiv w:val="1"/>
      <w:marLeft w:val="0"/>
      <w:marRight w:val="0"/>
      <w:marTop w:val="0"/>
      <w:marBottom w:val="0"/>
      <w:divBdr>
        <w:top w:val="none" w:sz="0" w:space="0" w:color="auto"/>
        <w:left w:val="none" w:sz="0" w:space="0" w:color="auto"/>
        <w:bottom w:val="none" w:sz="0" w:space="0" w:color="auto"/>
        <w:right w:val="none" w:sz="0" w:space="0" w:color="auto"/>
      </w:divBdr>
    </w:div>
    <w:div w:id="546722577">
      <w:bodyDiv w:val="1"/>
      <w:marLeft w:val="0"/>
      <w:marRight w:val="0"/>
      <w:marTop w:val="0"/>
      <w:marBottom w:val="0"/>
      <w:divBdr>
        <w:top w:val="none" w:sz="0" w:space="0" w:color="auto"/>
        <w:left w:val="none" w:sz="0" w:space="0" w:color="auto"/>
        <w:bottom w:val="none" w:sz="0" w:space="0" w:color="auto"/>
        <w:right w:val="none" w:sz="0" w:space="0" w:color="auto"/>
      </w:divBdr>
    </w:div>
    <w:div w:id="546792960">
      <w:bodyDiv w:val="1"/>
      <w:marLeft w:val="0"/>
      <w:marRight w:val="0"/>
      <w:marTop w:val="0"/>
      <w:marBottom w:val="0"/>
      <w:divBdr>
        <w:top w:val="none" w:sz="0" w:space="0" w:color="auto"/>
        <w:left w:val="none" w:sz="0" w:space="0" w:color="auto"/>
        <w:bottom w:val="none" w:sz="0" w:space="0" w:color="auto"/>
        <w:right w:val="none" w:sz="0" w:space="0" w:color="auto"/>
      </w:divBdr>
    </w:div>
    <w:div w:id="547767666">
      <w:bodyDiv w:val="1"/>
      <w:marLeft w:val="0"/>
      <w:marRight w:val="0"/>
      <w:marTop w:val="0"/>
      <w:marBottom w:val="0"/>
      <w:divBdr>
        <w:top w:val="none" w:sz="0" w:space="0" w:color="auto"/>
        <w:left w:val="none" w:sz="0" w:space="0" w:color="auto"/>
        <w:bottom w:val="none" w:sz="0" w:space="0" w:color="auto"/>
        <w:right w:val="none" w:sz="0" w:space="0" w:color="auto"/>
      </w:divBdr>
    </w:div>
    <w:div w:id="548494246">
      <w:bodyDiv w:val="1"/>
      <w:marLeft w:val="0"/>
      <w:marRight w:val="0"/>
      <w:marTop w:val="0"/>
      <w:marBottom w:val="0"/>
      <w:divBdr>
        <w:top w:val="none" w:sz="0" w:space="0" w:color="auto"/>
        <w:left w:val="none" w:sz="0" w:space="0" w:color="auto"/>
        <w:bottom w:val="none" w:sz="0" w:space="0" w:color="auto"/>
        <w:right w:val="none" w:sz="0" w:space="0" w:color="auto"/>
      </w:divBdr>
    </w:div>
    <w:div w:id="548497656">
      <w:bodyDiv w:val="1"/>
      <w:marLeft w:val="0"/>
      <w:marRight w:val="0"/>
      <w:marTop w:val="0"/>
      <w:marBottom w:val="0"/>
      <w:divBdr>
        <w:top w:val="none" w:sz="0" w:space="0" w:color="auto"/>
        <w:left w:val="none" w:sz="0" w:space="0" w:color="auto"/>
        <w:bottom w:val="none" w:sz="0" w:space="0" w:color="auto"/>
        <w:right w:val="none" w:sz="0" w:space="0" w:color="auto"/>
      </w:divBdr>
    </w:div>
    <w:div w:id="548881309">
      <w:bodyDiv w:val="1"/>
      <w:marLeft w:val="0"/>
      <w:marRight w:val="0"/>
      <w:marTop w:val="0"/>
      <w:marBottom w:val="0"/>
      <w:divBdr>
        <w:top w:val="none" w:sz="0" w:space="0" w:color="auto"/>
        <w:left w:val="none" w:sz="0" w:space="0" w:color="auto"/>
        <w:bottom w:val="none" w:sz="0" w:space="0" w:color="auto"/>
        <w:right w:val="none" w:sz="0" w:space="0" w:color="auto"/>
      </w:divBdr>
    </w:div>
    <w:div w:id="548884615">
      <w:bodyDiv w:val="1"/>
      <w:marLeft w:val="0"/>
      <w:marRight w:val="0"/>
      <w:marTop w:val="0"/>
      <w:marBottom w:val="0"/>
      <w:divBdr>
        <w:top w:val="none" w:sz="0" w:space="0" w:color="auto"/>
        <w:left w:val="none" w:sz="0" w:space="0" w:color="auto"/>
        <w:bottom w:val="none" w:sz="0" w:space="0" w:color="auto"/>
        <w:right w:val="none" w:sz="0" w:space="0" w:color="auto"/>
      </w:divBdr>
    </w:div>
    <w:div w:id="549852936">
      <w:bodyDiv w:val="1"/>
      <w:marLeft w:val="0"/>
      <w:marRight w:val="0"/>
      <w:marTop w:val="0"/>
      <w:marBottom w:val="0"/>
      <w:divBdr>
        <w:top w:val="none" w:sz="0" w:space="0" w:color="auto"/>
        <w:left w:val="none" w:sz="0" w:space="0" w:color="auto"/>
        <w:bottom w:val="none" w:sz="0" w:space="0" w:color="auto"/>
        <w:right w:val="none" w:sz="0" w:space="0" w:color="auto"/>
      </w:divBdr>
    </w:div>
    <w:div w:id="550001093">
      <w:bodyDiv w:val="1"/>
      <w:marLeft w:val="0"/>
      <w:marRight w:val="0"/>
      <w:marTop w:val="0"/>
      <w:marBottom w:val="0"/>
      <w:divBdr>
        <w:top w:val="none" w:sz="0" w:space="0" w:color="auto"/>
        <w:left w:val="none" w:sz="0" w:space="0" w:color="auto"/>
        <w:bottom w:val="none" w:sz="0" w:space="0" w:color="auto"/>
        <w:right w:val="none" w:sz="0" w:space="0" w:color="auto"/>
      </w:divBdr>
    </w:div>
    <w:div w:id="550655105">
      <w:bodyDiv w:val="1"/>
      <w:marLeft w:val="0"/>
      <w:marRight w:val="0"/>
      <w:marTop w:val="0"/>
      <w:marBottom w:val="0"/>
      <w:divBdr>
        <w:top w:val="none" w:sz="0" w:space="0" w:color="auto"/>
        <w:left w:val="none" w:sz="0" w:space="0" w:color="auto"/>
        <w:bottom w:val="none" w:sz="0" w:space="0" w:color="auto"/>
        <w:right w:val="none" w:sz="0" w:space="0" w:color="auto"/>
      </w:divBdr>
    </w:div>
    <w:div w:id="552428490">
      <w:bodyDiv w:val="1"/>
      <w:marLeft w:val="0"/>
      <w:marRight w:val="0"/>
      <w:marTop w:val="0"/>
      <w:marBottom w:val="0"/>
      <w:divBdr>
        <w:top w:val="none" w:sz="0" w:space="0" w:color="auto"/>
        <w:left w:val="none" w:sz="0" w:space="0" w:color="auto"/>
        <w:bottom w:val="none" w:sz="0" w:space="0" w:color="auto"/>
        <w:right w:val="none" w:sz="0" w:space="0" w:color="auto"/>
      </w:divBdr>
    </w:div>
    <w:div w:id="553540194">
      <w:bodyDiv w:val="1"/>
      <w:marLeft w:val="0"/>
      <w:marRight w:val="0"/>
      <w:marTop w:val="0"/>
      <w:marBottom w:val="0"/>
      <w:divBdr>
        <w:top w:val="none" w:sz="0" w:space="0" w:color="auto"/>
        <w:left w:val="none" w:sz="0" w:space="0" w:color="auto"/>
        <w:bottom w:val="none" w:sz="0" w:space="0" w:color="auto"/>
        <w:right w:val="none" w:sz="0" w:space="0" w:color="auto"/>
      </w:divBdr>
    </w:div>
    <w:div w:id="555437997">
      <w:bodyDiv w:val="1"/>
      <w:marLeft w:val="0"/>
      <w:marRight w:val="0"/>
      <w:marTop w:val="0"/>
      <w:marBottom w:val="0"/>
      <w:divBdr>
        <w:top w:val="none" w:sz="0" w:space="0" w:color="auto"/>
        <w:left w:val="none" w:sz="0" w:space="0" w:color="auto"/>
        <w:bottom w:val="none" w:sz="0" w:space="0" w:color="auto"/>
        <w:right w:val="none" w:sz="0" w:space="0" w:color="auto"/>
      </w:divBdr>
    </w:div>
    <w:div w:id="557860443">
      <w:bodyDiv w:val="1"/>
      <w:marLeft w:val="0"/>
      <w:marRight w:val="0"/>
      <w:marTop w:val="0"/>
      <w:marBottom w:val="0"/>
      <w:divBdr>
        <w:top w:val="none" w:sz="0" w:space="0" w:color="auto"/>
        <w:left w:val="none" w:sz="0" w:space="0" w:color="auto"/>
        <w:bottom w:val="none" w:sz="0" w:space="0" w:color="auto"/>
        <w:right w:val="none" w:sz="0" w:space="0" w:color="auto"/>
      </w:divBdr>
    </w:div>
    <w:div w:id="559370716">
      <w:bodyDiv w:val="1"/>
      <w:marLeft w:val="0"/>
      <w:marRight w:val="0"/>
      <w:marTop w:val="0"/>
      <w:marBottom w:val="0"/>
      <w:divBdr>
        <w:top w:val="none" w:sz="0" w:space="0" w:color="auto"/>
        <w:left w:val="none" w:sz="0" w:space="0" w:color="auto"/>
        <w:bottom w:val="none" w:sz="0" w:space="0" w:color="auto"/>
        <w:right w:val="none" w:sz="0" w:space="0" w:color="auto"/>
      </w:divBdr>
    </w:div>
    <w:div w:id="559481031">
      <w:bodyDiv w:val="1"/>
      <w:marLeft w:val="0"/>
      <w:marRight w:val="0"/>
      <w:marTop w:val="0"/>
      <w:marBottom w:val="0"/>
      <w:divBdr>
        <w:top w:val="none" w:sz="0" w:space="0" w:color="auto"/>
        <w:left w:val="none" w:sz="0" w:space="0" w:color="auto"/>
        <w:bottom w:val="none" w:sz="0" w:space="0" w:color="auto"/>
        <w:right w:val="none" w:sz="0" w:space="0" w:color="auto"/>
      </w:divBdr>
    </w:div>
    <w:div w:id="561141060">
      <w:bodyDiv w:val="1"/>
      <w:marLeft w:val="0"/>
      <w:marRight w:val="0"/>
      <w:marTop w:val="0"/>
      <w:marBottom w:val="0"/>
      <w:divBdr>
        <w:top w:val="none" w:sz="0" w:space="0" w:color="auto"/>
        <w:left w:val="none" w:sz="0" w:space="0" w:color="auto"/>
        <w:bottom w:val="none" w:sz="0" w:space="0" w:color="auto"/>
        <w:right w:val="none" w:sz="0" w:space="0" w:color="auto"/>
      </w:divBdr>
    </w:div>
    <w:div w:id="561407591">
      <w:bodyDiv w:val="1"/>
      <w:marLeft w:val="0"/>
      <w:marRight w:val="0"/>
      <w:marTop w:val="0"/>
      <w:marBottom w:val="0"/>
      <w:divBdr>
        <w:top w:val="none" w:sz="0" w:space="0" w:color="auto"/>
        <w:left w:val="none" w:sz="0" w:space="0" w:color="auto"/>
        <w:bottom w:val="none" w:sz="0" w:space="0" w:color="auto"/>
        <w:right w:val="none" w:sz="0" w:space="0" w:color="auto"/>
      </w:divBdr>
    </w:div>
    <w:div w:id="561719497">
      <w:bodyDiv w:val="1"/>
      <w:marLeft w:val="0"/>
      <w:marRight w:val="0"/>
      <w:marTop w:val="0"/>
      <w:marBottom w:val="0"/>
      <w:divBdr>
        <w:top w:val="none" w:sz="0" w:space="0" w:color="auto"/>
        <w:left w:val="none" w:sz="0" w:space="0" w:color="auto"/>
        <w:bottom w:val="none" w:sz="0" w:space="0" w:color="auto"/>
        <w:right w:val="none" w:sz="0" w:space="0" w:color="auto"/>
      </w:divBdr>
    </w:div>
    <w:div w:id="562104689">
      <w:bodyDiv w:val="1"/>
      <w:marLeft w:val="0"/>
      <w:marRight w:val="0"/>
      <w:marTop w:val="0"/>
      <w:marBottom w:val="0"/>
      <w:divBdr>
        <w:top w:val="none" w:sz="0" w:space="0" w:color="auto"/>
        <w:left w:val="none" w:sz="0" w:space="0" w:color="auto"/>
        <w:bottom w:val="none" w:sz="0" w:space="0" w:color="auto"/>
        <w:right w:val="none" w:sz="0" w:space="0" w:color="auto"/>
      </w:divBdr>
    </w:div>
    <w:div w:id="563419318">
      <w:bodyDiv w:val="1"/>
      <w:marLeft w:val="0"/>
      <w:marRight w:val="0"/>
      <w:marTop w:val="0"/>
      <w:marBottom w:val="0"/>
      <w:divBdr>
        <w:top w:val="none" w:sz="0" w:space="0" w:color="auto"/>
        <w:left w:val="none" w:sz="0" w:space="0" w:color="auto"/>
        <w:bottom w:val="none" w:sz="0" w:space="0" w:color="auto"/>
        <w:right w:val="none" w:sz="0" w:space="0" w:color="auto"/>
      </w:divBdr>
    </w:div>
    <w:div w:id="564147102">
      <w:bodyDiv w:val="1"/>
      <w:marLeft w:val="0"/>
      <w:marRight w:val="0"/>
      <w:marTop w:val="0"/>
      <w:marBottom w:val="0"/>
      <w:divBdr>
        <w:top w:val="none" w:sz="0" w:space="0" w:color="auto"/>
        <w:left w:val="none" w:sz="0" w:space="0" w:color="auto"/>
        <w:bottom w:val="none" w:sz="0" w:space="0" w:color="auto"/>
        <w:right w:val="none" w:sz="0" w:space="0" w:color="auto"/>
      </w:divBdr>
    </w:div>
    <w:div w:id="564687454">
      <w:bodyDiv w:val="1"/>
      <w:marLeft w:val="0"/>
      <w:marRight w:val="0"/>
      <w:marTop w:val="0"/>
      <w:marBottom w:val="0"/>
      <w:divBdr>
        <w:top w:val="none" w:sz="0" w:space="0" w:color="auto"/>
        <w:left w:val="none" w:sz="0" w:space="0" w:color="auto"/>
        <w:bottom w:val="none" w:sz="0" w:space="0" w:color="auto"/>
        <w:right w:val="none" w:sz="0" w:space="0" w:color="auto"/>
      </w:divBdr>
    </w:div>
    <w:div w:id="565074452">
      <w:bodyDiv w:val="1"/>
      <w:marLeft w:val="0"/>
      <w:marRight w:val="0"/>
      <w:marTop w:val="0"/>
      <w:marBottom w:val="0"/>
      <w:divBdr>
        <w:top w:val="none" w:sz="0" w:space="0" w:color="auto"/>
        <w:left w:val="none" w:sz="0" w:space="0" w:color="auto"/>
        <w:bottom w:val="none" w:sz="0" w:space="0" w:color="auto"/>
        <w:right w:val="none" w:sz="0" w:space="0" w:color="auto"/>
      </w:divBdr>
    </w:div>
    <w:div w:id="567148848">
      <w:bodyDiv w:val="1"/>
      <w:marLeft w:val="0"/>
      <w:marRight w:val="0"/>
      <w:marTop w:val="0"/>
      <w:marBottom w:val="0"/>
      <w:divBdr>
        <w:top w:val="none" w:sz="0" w:space="0" w:color="auto"/>
        <w:left w:val="none" w:sz="0" w:space="0" w:color="auto"/>
        <w:bottom w:val="none" w:sz="0" w:space="0" w:color="auto"/>
        <w:right w:val="none" w:sz="0" w:space="0" w:color="auto"/>
      </w:divBdr>
    </w:div>
    <w:div w:id="567885479">
      <w:bodyDiv w:val="1"/>
      <w:marLeft w:val="0"/>
      <w:marRight w:val="0"/>
      <w:marTop w:val="0"/>
      <w:marBottom w:val="0"/>
      <w:divBdr>
        <w:top w:val="none" w:sz="0" w:space="0" w:color="auto"/>
        <w:left w:val="none" w:sz="0" w:space="0" w:color="auto"/>
        <w:bottom w:val="none" w:sz="0" w:space="0" w:color="auto"/>
        <w:right w:val="none" w:sz="0" w:space="0" w:color="auto"/>
      </w:divBdr>
    </w:div>
    <w:div w:id="567889062">
      <w:bodyDiv w:val="1"/>
      <w:marLeft w:val="0"/>
      <w:marRight w:val="0"/>
      <w:marTop w:val="0"/>
      <w:marBottom w:val="0"/>
      <w:divBdr>
        <w:top w:val="none" w:sz="0" w:space="0" w:color="auto"/>
        <w:left w:val="none" w:sz="0" w:space="0" w:color="auto"/>
        <w:bottom w:val="none" w:sz="0" w:space="0" w:color="auto"/>
        <w:right w:val="none" w:sz="0" w:space="0" w:color="auto"/>
      </w:divBdr>
    </w:div>
    <w:div w:id="569848196">
      <w:bodyDiv w:val="1"/>
      <w:marLeft w:val="0"/>
      <w:marRight w:val="0"/>
      <w:marTop w:val="0"/>
      <w:marBottom w:val="0"/>
      <w:divBdr>
        <w:top w:val="none" w:sz="0" w:space="0" w:color="auto"/>
        <w:left w:val="none" w:sz="0" w:space="0" w:color="auto"/>
        <w:bottom w:val="none" w:sz="0" w:space="0" w:color="auto"/>
        <w:right w:val="none" w:sz="0" w:space="0" w:color="auto"/>
      </w:divBdr>
    </w:div>
    <w:div w:id="571549362">
      <w:bodyDiv w:val="1"/>
      <w:marLeft w:val="0"/>
      <w:marRight w:val="0"/>
      <w:marTop w:val="0"/>
      <w:marBottom w:val="0"/>
      <w:divBdr>
        <w:top w:val="none" w:sz="0" w:space="0" w:color="auto"/>
        <w:left w:val="none" w:sz="0" w:space="0" w:color="auto"/>
        <w:bottom w:val="none" w:sz="0" w:space="0" w:color="auto"/>
        <w:right w:val="none" w:sz="0" w:space="0" w:color="auto"/>
      </w:divBdr>
    </w:div>
    <w:div w:id="572396451">
      <w:bodyDiv w:val="1"/>
      <w:marLeft w:val="0"/>
      <w:marRight w:val="0"/>
      <w:marTop w:val="0"/>
      <w:marBottom w:val="0"/>
      <w:divBdr>
        <w:top w:val="none" w:sz="0" w:space="0" w:color="auto"/>
        <w:left w:val="none" w:sz="0" w:space="0" w:color="auto"/>
        <w:bottom w:val="none" w:sz="0" w:space="0" w:color="auto"/>
        <w:right w:val="none" w:sz="0" w:space="0" w:color="auto"/>
      </w:divBdr>
    </w:div>
    <w:div w:id="572664357">
      <w:bodyDiv w:val="1"/>
      <w:marLeft w:val="0"/>
      <w:marRight w:val="0"/>
      <w:marTop w:val="0"/>
      <w:marBottom w:val="0"/>
      <w:divBdr>
        <w:top w:val="none" w:sz="0" w:space="0" w:color="auto"/>
        <w:left w:val="none" w:sz="0" w:space="0" w:color="auto"/>
        <w:bottom w:val="none" w:sz="0" w:space="0" w:color="auto"/>
        <w:right w:val="none" w:sz="0" w:space="0" w:color="auto"/>
      </w:divBdr>
    </w:div>
    <w:div w:id="573977778">
      <w:bodyDiv w:val="1"/>
      <w:marLeft w:val="0"/>
      <w:marRight w:val="0"/>
      <w:marTop w:val="0"/>
      <w:marBottom w:val="0"/>
      <w:divBdr>
        <w:top w:val="none" w:sz="0" w:space="0" w:color="auto"/>
        <w:left w:val="none" w:sz="0" w:space="0" w:color="auto"/>
        <w:bottom w:val="none" w:sz="0" w:space="0" w:color="auto"/>
        <w:right w:val="none" w:sz="0" w:space="0" w:color="auto"/>
      </w:divBdr>
    </w:div>
    <w:div w:id="573979379">
      <w:bodyDiv w:val="1"/>
      <w:marLeft w:val="0"/>
      <w:marRight w:val="0"/>
      <w:marTop w:val="0"/>
      <w:marBottom w:val="0"/>
      <w:divBdr>
        <w:top w:val="none" w:sz="0" w:space="0" w:color="auto"/>
        <w:left w:val="none" w:sz="0" w:space="0" w:color="auto"/>
        <w:bottom w:val="none" w:sz="0" w:space="0" w:color="auto"/>
        <w:right w:val="none" w:sz="0" w:space="0" w:color="auto"/>
      </w:divBdr>
    </w:div>
    <w:div w:id="574360551">
      <w:bodyDiv w:val="1"/>
      <w:marLeft w:val="0"/>
      <w:marRight w:val="0"/>
      <w:marTop w:val="0"/>
      <w:marBottom w:val="0"/>
      <w:divBdr>
        <w:top w:val="none" w:sz="0" w:space="0" w:color="auto"/>
        <w:left w:val="none" w:sz="0" w:space="0" w:color="auto"/>
        <w:bottom w:val="none" w:sz="0" w:space="0" w:color="auto"/>
        <w:right w:val="none" w:sz="0" w:space="0" w:color="auto"/>
      </w:divBdr>
    </w:div>
    <w:div w:id="574777152">
      <w:bodyDiv w:val="1"/>
      <w:marLeft w:val="0"/>
      <w:marRight w:val="0"/>
      <w:marTop w:val="0"/>
      <w:marBottom w:val="0"/>
      <w:divBdr>
        <w:top w:val="none" w:sz="0" w:space="0" w:color="auto"/>
        <w:left w:val="none" w:sz="0" w:space="0" w:color="auto"/>
        <w:bottom w:val="none" w:sz="0" w:space="0" w:color="auto"/>
        <w:right w:val="none" w:sz="0" w:space="0" w:color="auto"/>
      </w:divBdr>
    </w:div>
    <w:div w:id="574977948">
      <w:bodyDiv w:val="1"/>
      <w:marLeft w:val="0"/>
      <w:marRight w:val="0"/>
      <w:marTop w:val="0"/>
      <w:marBottom w:val="0"/>
      <w:divBdr>
        <w:top w:val="none" w:sz="0" w:space="0" w:color="auto"/>
        <w:left w:val="none" w:sz="0" w:space="0" w:color="auto"/>
        <w:bottom w:val="none" w:sz="0" w:space="0" w:color="auto"/>
        <w:right w:val="none" w:sz="0" w:space="0" w:color="auto"/>
      </w:divBdr>
    </w:div>
    <w:div w:id="577523197">
      <w:bodyDiv w:val="1"/>
      <w:marLeft w:val="0"/>
      <w:marRight w:val="0"/>
      <w:marTop w:val="0"/>
      <w:marBottom w:val="0"/>
      <w:divBdr>
        <w:top w:val="none" w:sz="0" w:space="0" w:color="auto"/>
        <w:left w:val="none" w:sz="0" w:space="0" w:color="auto"/>
        <w:bottom w:val="none" w:sz="0" w:space="0" w:color="auto"/>
        <w:right w:val="none" w:sz="0" w:space="0" w:color="auto"/>
      </w:divBdr>
    </w:div>
    <w:div w:id="579681457">
      <w:bodyDiv w:val="1"/>
      <w:marLeft w:val="0"/>
      <w:marRight w:val="0"/>
      <w:marTop w:val="0"/>
      <w:marBottom w:val="0"/>
      <w:divBdr>
        <w:top w:val="none" w:sz="0" w:space="0" w:color="auto"/>
        <w:left w:val="none" w:sz="0" w:space="0" w:color="auto"/>
        <w:bottom w:val="none" w:sz="0" w:space="0" w:color="auto"/>
        <w:right w:val="none" w:sz="0" w:space="0" w:color="auto"/>
      </w:divBdr>
    </w:div>
    <w:div w:id="580917086">
      <w:bodyDiv w:val="1"/>
      <w:marLeft w:val="0"/>
      <w:marRight w:val="0"/>
      <w:marTop w:val="0"/>
      <w:marBottom w:val="0"/>
      <w:divBdr>
        <w:top w:val="none" w:sz="0" w:space="0" w:color="auto"/>
        <w:left w:val="none" w:sz="0" w:space="0" w:color="auto"/>
        <w:bottom w:val="none" w:sz="0" w:space="0" w:color="auto"/>
        <w:right w:val="none" w:sz="0" w:space="0" w:color="auto"/>
      </w:divBdr>
    </w:div>
    <w:div w:id="581186226">
      <w:bodyDiv w:val="1"/>
      <w:marLeft w:val="0"/>
      <w:marRight w:val="0"/>
      <w:marTop w:val="0"/>
      <w:marBottom w:val="0"/>
      <w:divBdr>
        <w:top w:val="none" w:sz="0" w:space="0" w:color="auto"/>
        <w:left w:val="none" w:sz="0" w:space="0" w:color="auto"/>
        <w:bottom w:val="none" w:sz="0" w:space="0" w:color="auto"/>
        <w:right w:val="none" w:sz="0" w:space="0" w:color="auto"/>
      </w:divBdr>
    </w:div>
    <w:div w:id="581256063">
      <w:bodyDiv w:val="1"/>
      <w:marLeft w:val="0"/>
      <w:marRight w:val="0"/>
      <w:marTop w:val="0"/>
      <w:marBottom w:val="0"/>
      <w:divBdr>
        <w:top w:val="none" w:sz="0" w:space="0" w:color="auto"/>
        <w:left w:val="none" w:sz="0" w:space="0" w:color="auto"/>
        <w:bottom w:val="none" w:sz="0" w:space="0" w:color="auto"/>
        <w:right w:val="none" w:sz="0" w:space="0" w:color="auto"/>
      </w:divBdr>
    </w:div>
    <w:div w:id="581259919">
      <w:bodyDiv w:val="1"/>
      <w:marLeft w:val="0"/>
      <w:marRight w:val="0"/>
      <w:marTop w:val="0"/>
      <w:marBottom w:val="0"/>
      <w:divBdr>
        <w:top w:val="none" w:sz="0" w:space="0" w:color="auto"/>
        <w:left w:val="none" w:sz="0" w:space="0" w:color="auto"/>
        <w:bottom w:val="none" w:sz="0" w:space="0" w:color="auto"/>
        <w:right w:val="none" w:sz="0" w:space="0" w:color="auto"/>
      </w:divBdr>
    </w:div>
    <w:div w:id="583104964">
      <w:bodyDiv w:val="1"/>
      <w:marLeft w:val="0"/>
      <w:marRight w:val="0"/>
      <w:marTop w:val="0"/>
      <w:marBottom w:val="0"/>
      <w:divBdr>
        <w:top w:val="none" w:sz="0" w:space="0" w:color="auto"/>
        <w:left w:val="none" w:sz="0" w:space="0" w:color="auto"/>
        <w:bottom w:val="none" w:sz="0" w:space="0" w:color="auto"/>
        <w:right w:val="none" w:sz="0" w:space="0" w:color="auto"/>
      </w:divBdr>
    </w:div>
    <w:div w:id="583608612">
      <w:bodyDiv w:val="1"/>
      <w:marLeft w:val="0"/>
      <w:marRight w:val="0"/>
      <w:marTop w:val="0"/>
      <w:marBottom w:val="0"/>
      <w:divBdr>
        <w:top w:val="none" w:sz="0" w:space="0" w:color="auto"/>
        <w:left w:val="none" w:sz="0" w:space="0" w:color="auto"/>
        <w:bottom w:val="none" w:sz="0" w:space="0" w:color="auto"/>
        <w:right w:val="none" w:sz="0" w:space="0" w:color="auto"/>
      </w:divBdr>
    </w:div>
    <w:div w:id="583686836">
      <w:bodyDiv w:val="1"/>
      <w:marLeft w:val="0"/>
      <w:marRight w:val="0"/>
      <w:marTop w:val="0"/>
      <w:marBottom w:val="0"/>
      <w:divBdr>
        <w:top w:val="none" w:sz="0" w:space="0" w:color="auto"/>
        <w:left w:val="none" w:sz="0" w:space="0" w:color="auto"/>
        <w:bottom w:val="none" w:sz="0" w:space="0" w:color="auto"/>
        <w:right w:val="none" w:sz="0" w:space="0" w:color="auto"/>
      </w:divBdr>
    </w:div>
    <w:div w:id="584461561">
      <w:bodyDiv w:val="1"/>
      <w:marLeft w:val="0"/>
      <w:marRight w:val="0"/>
      <w:marTop w:val="0"/>
      <w:marBottom w:val="0"/>
      <w:divBdr>
        <w:top w:val="none" w:sz="0" w:space="0" w:color="auto"/>
        <w:left w:val="none" w:sz="0" w:space="0" w:color="auto"/>
        <w:bottom w:val="none" w:sz="0" w:space="0" w:color="auto"/>
        <w:right w:val="none" w:sz="0" w:space="0" w:color="auto"/>
      </w:divBdr>
    </w:div>
    <w:div w:id="584606566">
      <w:bodyDiv w:val="1"/>
      <w:marLeft w:val="0"/>
      <w:marRight w:val="0"/>
      <w:marTop w:val="0"/>
      <w:marBottom w:val="0"/>
      <w:divBdr>
        <w:top w:val="none" w:sz="0" w:space="0" w:color="auto"/>
        <w:left w:val="none" w:sz="0" w:space="0" w:color="auto"/>
        <w:bottom w:val="none" w:sz="0" w:space="0" w:color="auto"/>
        <w:right w:val="none" w:sz="0" w:space="0" w:color="auto"/>
      </w:divBdr>
    </w:div>
    <w:div w:id="585309869">
      <w:bodyDiv w:val="1"/>
      <w:marLeft w:val="0"/>
      <w:marRight w:val="0"/>
      <w:marTop w:val="0"/>
      <w:marBottom w:val="0"/>
      <w:divBdr>
        <w:top w:val="none" w:sz="0" w:space="0" w:color="auto"/>
        <w:left w:val="none" w:sz="0" w:space="0" w:color="auto"/>
        <w:bottom w:val="none" w:sz="0" w:space="0" w:color="auto"/>
        <w:right w:val="none" w:sz="0" w:space="0" w:color="auto"/>
      </w:divBdr>
    </w:div>
    <w:div w:id="587084524">
      <w:bodyDiv w:val="1"/>
      <w:marLeft w:val="0"/>
      <w:marRight w:val="0"/>
      <w:marTop w:val="0"/>
      <w:marBottom w:val="0"/>
      <w:divBdr>
        <w:top w:val="none" w:sz="0" w:space="0" w:color="auto"/>
        <w:left w:val="none" w:sz="0" w:space="0" w:color="auto"/>
        <w:bottom w:val="none" w:sz="0" w:space="0" w:color="auto"/>
        <w:right w:val="none" w:sz="0" w:space="0" w:color="auto"/>
      </w:divBdr>
    </w:div>
    <w:div w:id="588923400">
      <w:bodyDiv w:val="1"/>
      <w:marLeft w:val="0"/>
      <w:marRight w:val="0"/>
      <w:marTop w:val="0"/>
      <w:marBottom w:val="0"/>
      <w:divBdr>
        <w:top w:val="none" w:sz="0" w:space="0" w:color="auto"/>
        <w:left w:val="none" w:sz="0" w:space="0" w:color="auto"/>
        <w:bottom w:val="none" w:sz="0" w:space="0" w:color="auto"/>
        <w:right w:val="none" w:sz="0" w:space="0" w:color="auto"/>
      </w:divBdr>
    </w:div>
    <w:div w:id="589432979">
      <w:bodyDiv w:val="1"/>
      <w:marLeft w:val="0"/>
      <w:marRight w:val="0"/>
      <w:marTop w:val="0"/>
      <w:marBottom w:val="0"/>
      <w:divBdr>
        <w:top w:val="none" w:sz="0" w:space="0" w:color="auto"/>
        <w:left w:val="none" w:sz="0" w:space="0" w:color="auto"/>
        <w:bottom w:val="none" w:sz="0" w:space="0" w:color="auto"/>
        <w:right w:val="none" w:sz="0" w:space="0" w:color="auto"/>
      </w:divBdr>
    </w:div>
    <w:div w:id="589461790">
      <w:bodyDiv w:val="1"/>
      <w:marLeft w:val="0"/>
      <w:marRight w:val="0"/>
      <w:marTop w:val="0"/>
      <w:marBottom w:val="0"/>
      <w:divBdr>
        <w:top w:val="none" w:sz="0" w:space="0" w:color="auto"/>
        <w:left w:val="none" w:sz="0" w:space="0" w:color="auto"/>
        <w:bottom w:val="none" w:sz="0" w:space="0" w:color="auto"/>
        <w:right w:val="none" w:sz="0" w:space="0" w:color="auto"/>
      </w:divBdr>
      <w:divsChild>
        <w:div w:id="757479829">
          <w:marLeft w:val="1267"/>
          <w:marRight w:val="0"/>
          <w:marTop w:val="0"/>
          <w:marBottom w:val="0"/>
          <w:divBdr>
            <w:top w:val="none" w:sz="0" w:space="0" w:color="auto"/>
            <w:left w:val="none" w:sz="0" w:space="0" w:color="auto"/>
            <w:bottom w:val="none" w:sz="0" w:space="0" w:color="auto"/>
            <w:right w:val="none" w:sz="0" w:space="0" w:color="auto"/>
          </w:divBdr>
        </w:div>
        <w:div w:id="881332732">
          <w:marLeft w:val="1267"/>
          <w:marRight w:val="0"/>
          <w:marTop w:val="0"/>
          <w:marBottom w:val="0"/>
          <w:divBdr>
            <w:top w:val="none" w:sz="0" w:space="0" w:color="auto"/>
            <w:left w:val="none" w:sz="0" w:space="0" w:color="auto"/>
            <w:bottom w:val="none" w:sz="0" w:space="0" w:color="auto"/>
            <w:right w:val="none" w:sz="0" w:space="0" w:color="auto"/>
          </w:divBdr>
        </w:div>
      </w:divsChild>
    </w:div>
    <w:div w:id="590816386">
      <w:bodyDiv w:val="1"/>
      <w:marLeft w:val="0"/>
      <w:marRight w:val="0"/>
      <w:marTop w:val="0"/>
      <w:marBottom w:val="0"/>
      <w:divBdr>
        <w:top w:val="none" w:sz="0" w:space="0" w:color="auto"/>
        <w:left w:val="none" w:sz="0" w:space="0" w:color="auto"/>
        <w:bottom w:val="none" w:sz="0" w:space="0" w:color="auto"/>
        <w:right w:val="none" w:sz="0" w:space="0" w:color="auto"/>
      </w:divBdr>
    </w:div>
    <w:div w:id="590822093">
      <w:bodyDiv w:val="1"/>
      <w:marLeft w:val="0"/>
      <w:marRight w:val="0"/>
      <w:marTop w:val="0"/>
      <w:marBottom w:val="0"/>
      <w:divBdr>
        <w:top w:val="none" w:sz="0" w:space="0" w:color="auto"/>
        <w:left w:val="none" w:sz="0" w:space="0" w:color="auto"/>
        <w:bottom w:val="none" w:sz="0" w:space="0" w:color="auto"/>
        <w:right w:val="none" w:sz="0" w:space="0" w:color="auto"/>
      </w:divBdr>
    </w:div>
    <w:div w:id="591746682">
      <w:bodyDiv w:val="1"/>
      <w:marLeft w:val="0"/>
      <w:marRight w:val="0"/>
      <w:marTop w:val="0"/>
      <w:marBottom w:val="0"/>
      <w:divBdr>
        <w:top w:val="none" w:sz="0" w:space="0" w:color="auto"/>
        <w:left w:val="none" w:sz="0" w:space="0" w:color="auto"/>
        <w:bottom w:val="none" w:sz="0" w:space="0" w:color="auto"/>
        <w:right w:val="none" w:sz="0" w:space="0" w:color="auto"/>
      </w:divBdr>
    </w:div>
    <w:div w:id="592859962">
      <w:bodyDiv w:val="1"/>
      <w:marLeft w:val="0"/>
      <w:marRight w:val="0"/>
      <w:marTop w:val="0"/>
      <w:marBottom w:val="0"/>
      <w:divBdr>
        <w:top w:val="none" w:sz="0" w:space="0" w:color="auto"/>
        <w:left w:val="none" w:sz="0" w:space="0" w:color="auto"/>
        <w:bottom w:val="none" w:sz="0" w:space="0" w:color="auto"/>
        <w:right w:val="none" w:sz="0" w:space="0" w:color="auto"/>
      </w:divBdr>
    </w:div>
    <w:div w:id="593319166">
      <w:bodyDiv w:val="1"/>
      <w:marLeft w:val="0"/>
      <w:marRight w:val="0"/>
      <w:marTop w:val="0"/>
      <w:marBottom w:val="0"/>
      <w:divBdr>
        <w:top w:val="none" w:sz="0" w:space="0" w:color="auto"/>
        <w:left w:val="none" w:sz="0" w:space="0" w:color="auto"/>
        <w:bottom w:val="none" w:sz="0" w:space="0" w:color="auto"/>
        <w:right w:val="none" w:sz="0" w:space="0" w:color="auto"/>
      </w:divBdr>
    </w:div>
    <w:div w:id="593704556">
      <w:bodyDiv w:val="1"/>
      <w:marLeft w:val="0"/>
      <w:marRight w:val="0"/>
      <w:marTop w:val="0"/>
      <w:marBottom w:val="0"/>
      <w:divBdr>
        <w:top w:val="none" w:sz="0" w:space="0" w:color="auto"/>
        <w:left w:val="none" w:sz="0" w:space="0" w:color="auto"/>
        <w:bottom w:val="none" w:sz="0" w:space="0" w:color="auto"/>
        <w:right w:val="none" w:sz="0" w:space="0" w:color="auto"/>
      </w:divBdr>
    </w:div>
    <w:div w:id="593784573">
      <w:bodyDiv w:val="1"/>
      <w:marLeft w:val="0"/>
      <w:marRight w:val="0"/>
      <w:marTop w:val="0"/>
      <w:marBottom w:val="0"/>
      <w:divBdr>
        <w:top w:val="none" w:sz="0" w:space="0" w:color="auto"/>
        <w:left w:val="none" w:sz="0" w:space="0" w:color="auto"/>
        <w:bottom w:val="none" w:sz="0" w:space="0" w:color="auto"/>
        <w:right w:val="none" w:sz="0" w:space="0" w:color="auto"/>
      </w:divBdr>
    </w:div>
    <w:div w:id="594287566">
      <w:bodyDiv w:val="1"/>
      <w:marLeft w:val="0"/>
      <w:marRight w:val="0"/>
      <w:marTop w:val="0"/>
      <w:marBottom w:val="0"/>
      <w:divBdr>
        <w:top w:val="none" w:sz="0" w:space="0" w:color="auto"/>
        <w:left w:val="none" w:sz="0" w:space="0" w:color="auto"/>
        <w:bottom w:val="none" w:sz="0" w:space="0" w:color="auto"/>
        <w:right w:val="none" w:sz="0" w:space="0" w:color="auto"/>
      </w:divBdr>
    </w:div>
    <w:div w:id="594360487">
      <w:bodyDiv w:val="1"/>
      <w:marLeft w:val="0"/>
      <w:marRight w:val="0"/>
      <w:marTop w:val="0"/>
      <w:marBottom w:val="0"/>
      <w:divBdr>
        <w:top w:val="none" w:sz="0" w:space="0" w:color="auto"/>
        <w:left w:val="none" w:sz="0" w:space="0" w:color="auto"/>
        <w:bottom w:val="none" w:sz="0" w:space="0" w:color="auto"/>
        <w:right w:val="none" w:sz="0" w:space="0" w:color="auto"/>
      </w:divBdr>
    </w:div>
    <w:div w:id="595478508">
      <w:bodyDiv w:val="1"/>
      <w:marLeft w:val="0"/>
      <w:marRight w:val="0"/>
      <w:marTop w:val="0"/>
      <w:marBottom w:val="0"/>
      <w:divBdr>
        <w:top w:val="none" w:sz="0" w:space="0" w:color="auto"/>
        <w:left w:val="none" w:sz="0" w:space="0" w:color="auto"/>
        <w:bottom w:val="none" w:sz="0" w:space="0" w:color="auto"/>
        <w:right w:val="none" w:sz="0" w:space="0" w:color="auto"/>
      </w:divBdr>
    </w:div>
    <w:div w:id="596404280">
      <w:bodyDiv w:val="1"/>
      <w:marLeft w:val="0"/>
      <w:marRight w:val="0"/>
      <w:marTop w:val="0"/>
      <w:marBottom w:val="0"/>
      <w:divBdr>
        <w:top w:val="none" w:sz="0" w:space="0" w:color="auto"/>
        <w:left w:val="none" w:sz="0" w:space="0" w:color="auto"/>
        <w:bottom w:val="none" w:sz="0" w:space="0" w:color="auto"/>
        <w:right w:val="none" w:sz="0" w:space="0" w:color="auto"/>
      </w:divBdr>
    </w:div>
    <w:div w:id="596443958">
      <w:bodyDiv w:val="1"/>
      <w:marLeft w:val="0"/>
      <w:marRight w:val="0"/>
      <w:marTop w:val="0"/>
      <w:marBottom w:val="0"/>
      <w:divBdr>
        <w:top w:val="none" w:sz="0" w:space="0" w:color="auto"/>
        <w:left w:val="none" w:sz="0" w:space="0" w:color="auto"/>
        <w:bottom w:val="none" w:sz="0" w:space="0" w:color="auto"/>
        <w:right w:val="none" w:sz="0" w:space="0" w:color="auto"/>
      </w:divBdr>
    </w:div>
    <w:div w:id="596519273">
      <w:bodyDiv w:val="1"/>
      <w:marLeft w:val="0"/>
      <w:marRight w:val="0"/>
      <w:marTop w:val="0"/>
      <w:marBottom w:val="0"/>
      <w:divBdr>
        <w:top w:val="none" w:sz="0" w:space="0" w:color="auto"/>
        <w:left w:val="none" w:sz="0" w:space="0" w:color="auto"/>
        <w:bottom w:val="none" w:sz="0" w:space="0" w:color="auto"/>
        <w:right w:val="none" w:sz="0" w:space="0" w:color="auto"/>
      </w:divBdr>
    </w:div>
    <w:div w:id="597641963">
      <w:bodyDiv w:val="1"/>
      <w:marLeft w:val="0"/>
      <w:marRight w:val="0"/>
      <w:marTop w:val="0"/>
      <w:marBottom w:val="0"/>
      <w:divBdr>
        <w:top w:val="none" w:sz="0" w:space="0" w:color="auto"/>
        <w:left w:val="none" w:sz="0" w:space="0" w:color="auto"/>
        <w:bottom w:val="none" w:sz="0" w:space="0" w:color="auto"/>
        <w:right w:val="none" w:sz="0" w:space="0" w:color="auto"/>
      </w:divBdr>
    </w:div>
    <w:div w:id="599459966">
      <w:bodyDiv w:val="1"/>
      <w:marLeft w:val="0"/>
      <w:marRight w:val="0"/>
      <w:marTop w:val="0"/>
      <w:marBottom w:val="0"/>
      <w:divBdr>
        <w:top w:val="none" w:sz="0" w:space="0" w:color="auto"/>
        <w:left w:val="none" w:sz="0" w:space="0" w:color="auto"/>
        <w:bottom w:val="none" w:sz="0" w:space="0" w:color="auto"/>
        <w:right w:val="none" w:sz="0" w:space="0" w:color="auto"/>
      </w:divBdr>
    </w:div>
    <w:div w:id="599605638">
      <w:bodyDiv w:val="1"/>
      <w:marLeft w:val="0"/>
      <w:marRight w:val="0"/>
      <w:marTop w:val="0"/>
      <w:marBottom w:val="0"/>
      <w:divBdr>
        <w:top w:val="none" w:sz="0" w:space="0" w:color="auto"/>
        <w:left w:val="none" w:sz="0" w:space="0" w:color="auto"/>
        <w:bottom w:val="none" w:sz="0" w:space="0" w:color="auto"/>
        <w:right w:val="none" w:sz="0" w:space="0" w:color="auto"/>
      </w:divBdr>
    </w:div>
    <w:div w:id="599721086">
      <w:bodyDiv w:val="1"/>
      <w:marLeft w:val="0"/>
      <w:marRight w:val="0"/>
      <w:marTop w:val="0"/>
      <w:marBottom w:val="0"/>
      <w:divBdr>
        <w:top w:val="none" w:sz="0" w:space="0" w:color="auto"/>
        <w:left w:val="none" w:sz="0" w:space="0" w:color="auto"/>
        <w:bottom w:val="none" w:sz="0" w:space="0" w:color="auto"/>
        <w:right w:val="none" w:sz="0" w:space="0" w:color="auto"/>
      </w:divBdr>
    </w:div>
    <w:div w:id="600377681">
      <w:bodyDiv w:val="1"/>
      <w:marLeft w:val="0"/>
      <w:marRight w:val="0"/>
      <w:marTop w:val="0"/>
      <w:marBottom w:val="0"/>
      <w:divBdr>
        <w:top w:val="none" w:sz="0" w:space="0" w:color="auto"/>
        <w:left w:val="none" w:sz="0" w:space="0" w:color="auto"/>
        <w:bottom w:val="none" w:sz="0" w:space="0" w:color="auto"/>
        <w:right w:val="none" w:sz="0" w:space="0" w:color="auto"/>
      </w:divBdr>
    </w:div>
    <w:div w:id="600379401">
      <w:bodyDiv w:val="1"/>
      <w:marLeft w:val="0"/>
      <w:marRight w:val="0"/>
      <w:marTop w:val="0"/>
      <w:marBottom w:val="0"/>
      <w:divBdr>
        <w:top w:val="none" w:sz="0" w:space="0" w:color="auto"/>
        <w:left w:val="none" w:sz="0" w:space="0" w:color="auto"/>
        <w:bottom w:val="none" w:sz="0" w:space="0" w:color="auto"/>
        <w:right w:val="none" w:sz="0" w:space="0" w:color="auto"/>
      </w:divBdr>
    </w:div>
    <w:div w:id="600839678">
      <w:bodyDiv w:val="1"/>
      <w:marLeft w:val="0"/>
      <w:marRight w:val="0"/>
      <w:marTop w:val="0"/>
      <w:marBottom w:val="0"/>
      <w:divBdr>
        <w:top w:val="none" w:sz="0" w:space="0" w:color="auto"/>
        <w:left w:val="none" w:sz="0" w:space="0" w:color="auto"/>
        <w:bottom w:val="none" w:sz="0" w:space="0" w:color="auto"/>
        <w:right w:val="none" w:sz="0" w:space="0" w:color="auto"/>
      </w:divBdr>
    </w:div>
    <w:div w:id="601883799">
      <w:bodyDiv w:val="1"/>
      <w:marLeft w:val="0"/>
      <w:marRight w:val="0"/>
      <w:marTop w:val="0"/>
      <w:marBottom w:val="0"/>
      <w:divBdr>
        <w:top w:val="none" w:sz="0" w:space="0" w:color="auto"/>
        <w:left w:val="none" w:sz="0" w:space="0" w:color="auto"/>
        <w:bottom w:val="none" w:sz="0" w:space="0" w:color="auto"/>
        <w:right w:val="none" w:sz="0" w:space="0" w:color="auto"/>
      </w:divBdr>
    </w:div>
    <w:div w:id="601959376">
      <w:bodyDiv w:val="1"/>
      <w:marLeft w:val="0"/>
      <w:marRight w:val="0"/>
      <w:marTop w:val="0"/>
      <w:marBottom w:val="0"/>
      <w:divBdr>
        <w:top w:val="none" w:sz="0" w:space="0" w:color="auto"/>
        <w:left w:val="none" w:sz="0" w:space="0" w:color="auto"/>
        <w:bottom w:val="none" w:sz="0" w:space="0" w:color="auto"/>
        <w:right w:val="none" w:sz="0" w:space="0" w:color="auto"/>
      </w:divBdr>
    </w:div>
    <w:div w:id="602421547">
      <w:bodyDiv w:val="1"/>
      <w:marLeft w:val="0"/>
      <w:marRight w:val="0"/>
      <w:marTop w:val="0"/>
      <w:marBottom w:val="0"/>
      <w:divBdr>
        <w:top w:val="none" w:sz="0" w:space="0" w:color="auto"/>
        <w:left w:val="none" w:sz="0" w:space="0" w:color="auto"/>
        <w:bottom w:val="none" w:sz="0" w:space="0" w:color="auto"/>
        <w:right w:val="none" w:sz="0" w:space="0" w:color="auto"/>
      </w:divBdr>
    </w:div>
    <w:div w:id="603658283">
      <w:bodyDiv w:val="1"/>
      <w:marLeft w:val="0"/>
      <w:marRight w:val="0"/>
      <w:marTop w:val="0"/>
      <w:marBottom w:val="0"/>
      <w:divBdr>
        <w:top w:val="none" w:sz="0" w:space="0" w:color="auto"/>
        <w:left w:val="none" w:sz="0" w:space="0" w:color="auto"/>
        <w:bottom w:val="none" w:sz="0" w:space="0" w:color="auto"/>
        <w:right w:val="none" w:sz="0" w:space="0" w:color="auto"/>
      </w:divBdr>
    </w:div>
    <w:div w:id="604506824">
      <w:bodyDiv w:val="1"/>
      <w:marLeft w:val="0"/>
      <w:marRight w:val="0"/>
      <w:marTop w:val="0"/>
      <w:marBottom w:val="0"/>
      <w:divBdr>
        <w:top w:val="none" w:sz="0" w:space="0" w:color="auto"/>
        <w:left w:val="none" w:sz="0" w:space="0" w:color="auto"/>
        <w:bottom w:val="none" w:sz="0" w:space="0" w:color="auto"/>
        <w:right w:val="none" w:sz="0" w:space="0" w:color="auto"/>
      </w:divBdr>
    </w:div>
    <w:div w:id="605119477">
      <w:bodyDiv w:val="1"/>
      <w:marLeft w:val="0"/>
      <w:marRight w:val="0"/>
      <w:marTop w:val="0"/>
      <w:marBottom w:val="0"/>
      <w:divBdr>
        <w:top w:val="none" w:sz="0" w:space="0" w:color="auto"/>
        <w:left w:val="none" w:sz="0" w:space="0" w:color="auto"/>
        <w:bottom w:val="none" w:sz="0" w:space="0" w:color="auto"/>
        <w:right w:val="none" w:sz="0" w:space="0" w:color="auto"/>
      </w:divBdr>
    </w:div>
    <w:div w:id="606541736">
      <w:bodyDiv w:val="1"/>
      <w:marLeft w:val="0"/>
      <w:marRight w:val="0"/>
      <w:marTop w:val="0"/>
      <w:marBottom w:val="0"/>
      <w:divBdr>
        <w:top w:val="none" w:sz="0" w:space="0" w:color="auto"/>
        <w:left w:val="none" w:sz="0" w:space="0" w:color="auto"/>
        <w:bottom w:val="none" w:sz="0" w:space="0" w:color="auto"/>
        <w:right w:val="none" w:sz="0" w:space="0" w:color="auto"/>
      </w:divBdr>
    </w:div>
    <w:div w:id="606810322">
      <w:bodyDiv w:val="1"/>
      <w:marLeft w:val="0"/>
      <w:marRight w:val="0"/>
      <w:marTop w:val="0"/>
      <w:marBottom w:val="0"/>
      <w:divBdr>
        <w:top w:val="none" w:sz="0" w:space="0" w:color="auto"/>
        <w:left w:val="none" w:sz="0" w:space="0" w:color="auto"/>
        <w:bottom w:val="none" w:sz="0" w:space="0" w:color="auto"/>
        <w:right w:val="none" w:sz="0" w:space="0" w:color="auto"/>
      </w:divBdr>
    </w:div>
    <w:div w:id="607201360">
      <w:bodyDiv w:val="1"/>
      <w:marLeft w:val="0"/>
      <w:marRight w:val="0"/>
      <w:marTop w:val="0"/>
      <w:marBottom w:val="0"/>
      <w:divBdr>
        <w:top w:val="none" w:sz="0" w:space="0" w:color="auto"/>
        <w:left w:val="none" w:sz="0" w:space="0" w:color="auto"/>
        <w:bottom w:val="none" w:sz="0" w:space="0" w:color="auto"/>
        <w:right w:val="none" w:sz="0" w:space="0" w:color="auto"/>
      </w:divBdr>
    </w:div>
    <w:div w:id="607393920">
      <w:bodyDiv w:val="1"/>
      <w:marLeft w:val="0"/>
      <w:marRight w:val="0"/>
      <w:marTop w:val="0"/>
      <w:marBottom w:val="0"/>
      <w:divBdr>
        <w:top w:val="none" w:sz="0" w:space="0" w:color="auto"/>
        <w:left w:val="none" w:sz="0" w:space="0" w:color="auto"/>
        <w:bottom w:val="none" w:sz="0" w:space="0" w:color="auto"/>
        <w:right w:val="none" w:sz="0" w:space="0" w:color="auto"/>
      </w:divBdr>
    </w:div>
    <w:div w:id="609580790">
      <w:bodyDiv w:val="1"/>
      <w:marLeft w:val="0"/>
      <w:marRight w:val="0"/>
      <w:marTop w:val="0"/>
      <w:marBottom w:val="0"/>
      <w:divBdr>
        <w:top w:val="none" w:sz="0" w:space="0" w:color="auto"/>
        <w:left w:val="none" w:sz="0" w:space="0" w:color="auto"/>
        <w:bottom w:val="none" w:sz="0" w:space="0" w:color="auto"/>
        <w:right w:val="none" w:sz="0" w:space="0" w:color="auto"/>
      </w:divBdr>
    </w:div>
    <w:div w:id="610478879">
      <w:bodyDiv w:val="1"/>
      <w:marLeft w:val="0"/>
      <w:marRight w:val="0"/>
      <w:marTop w:val="0"/>
      <w:marBottom w:val="0"/>
      <w:divBdr>
        <w:top w:val="none" w:sz="0" w:space="0" w:color="auto"/>
        <w:left w:val="none" w:sz="0" w:space="0" w:color="auto"/>
        <w:bottom w:val="none" w:sz="0" w:space="0" w:color="auto"/>
        <w:right w:val="none" w:sz="0" w:space="0" w:color="auto"/>
      </w:divBdr>
    </w:div>
    <w:div w:id="611715675">
      <w:bodyDiv w:val="1"/>
      <w:marLeft w:val="0"/>
      <w:marRight w:val="0"/>
      <w:marTop w:val="0"/>
      <w:marBottom w:val="0"/>
      <w:divBdr>
        <w:top w:val="none" w:sz="0" w:space="0" w:color="auto"/>
        <w:left w:val="none" w:sz="0" w:space="0" w:color="auto"/>
        <w:bottom w:val="none" w:sz="0" w:space="0" w:color="auto"/>
        <w:right w:val="none" w:sz="0" w:space="0" w:color="auto"/>
      </w:divBdr>
    </w:div>
    <w:div w:id="611980749">
      <w:bodyDiv w:val="1"/>
      <w:marLeft w:val="0"/>
      <w:marRight w:val="0"/>
      <w:marTop w:val="0"/>
      <w:marBottom w:val="0"/>
      <w:divBdr>
        <w:top w:val="none" w:sz="0" w:space="0" w:color="auto"/>
        <w:left w:val="none" w:sz="0" w:space="0" w:color="auto"/>
        <w:bottom w:val="none" w:sz="0" w:space="0" w:color="auto"/>
        <w:right w:val="none" w:sz="0" w:space="0" w:color="auto"/>
      </w:divBdr>
    </w:div>
    <w:div w:id="611983092">
      <w:bodyDiv w:val="1"/>
      <w:marLeft w:val="0"/>
      <w:marRight w:val="0"/>
      <w:marTop w:val="0"/>
      <w:marBottom w:val="0"/>
      <w:divBdr>
        <w:top w:val="none" w:sz="0" w:space="0" w:color="auto"/>
        <w:left w:val="none" w:sz="0" w:space="0" w:color="auto"/>
        <w:bottom w:val="none" w:sz="0" w:space="0" w:color="auto"/>
        <w:right w:val="none" w:sz="0" w:space="0" w:color="auto"/>
      </w:divBdr>
    </w:div>
    <w:div w:id="612130552">
      <w:bodyDiv w:val="1"/>
      <w:marLeft w:val="0"/>
      <w:marRight w:val="0"/>
      <w:marTop w:val="0"/>
      <w:marBottom w:val="0"/>
      <w:divBdr>
        <w:top w:val="none" w:sz="0" w:space="0" w:color="auto"/>
        <w:left w:val="none" w:sz="0" w:space="0" w:color="auto"/>
        <w:bottom w:val="none" w:sz="0" w:space="0" w:color="auto"/>
        <w:right w:val="none" w:sz="0" w:space="0" w:color="auto"/>
      </w:divBdr>
    </w:div>
    <w:div w:id="613631826">
      <w:bodyDiv w:val="1"/>
      <w:marLeft w:val="0"/>
      <w:marRight w:val="0"/>
      <w:marTop w:val="0"/>
      <w:marBottom w:val="0"/>
      <w:divBdr>
        <w:top w:val="none" w:sz="0" w:space="0" w:color="auto"/>
        <w:left w:val="none" w:sz="0" w:space="0" w:color="auto"/>
        <w:bottom w:val="none" w:sz="0" w:space="0" w:color="auto"/>
        <w:right w:val="none" w:sz="0" w:space="0" w:color="auto"/>
      </w:divBdr>
    </w:div>
    <w:div w:id="613828084">
      <w:bodyDiv w:val="1"/>
      <w:marLeft w:val="0"/>
      <w:marRight w:val="0"/>
      <w:marTop w:val="0"/>
      <w:marBottom w:val="0"/>
      <w:divBdr>
        <w:top w:val="none" w:sz="0" w:space="0" w:color="auto"/>
        <w:left w:val="none" w:sz="0" w:space="0" w:color="auto"/>
        <w:bottom w:val="none" w:sz="0" w:space="0" w:color="auto"/>
        <w:right w:val="none" w:sz="0" w:space="0" w:color="auto"/>
      </w:divBdr>
    </w:div>
    <w:div w:id="614990908">
      <w:bodyDiv w:val="1"/>
      <w:marLeft w:val="0"/>
      <w:marRight w:val="0"/>
      <w:marTop w:val="0"/>
      <w:marBottom w:val="0"/>
      <w:divBdr>
        <w:top w:val="none" w:sz="0" w:space="0" w:color="auto"/>
        <w:left w:val="none" w:sz="0" w:space="0" w:color="auto"/>
        <w:bottom w:val="none" w:sz="0" w:space="0" w:color="auto"/>
        <w:right w:val="none" w:sz="0" w:space="0" w:color="auto"/>
      </w:divBdr>
    </w:div>
    <w:div w:id="616720697">
      <w:bodyDiv w:val="1"/>
      <w:marLeft w:val="0"/>
      <w:marRight w:val="0"/>
      <w:marTop w:val="0"/>
      <w:marBottom w:val="0"/>
      <w:divBdr>
        <w:top w:val="none" w:sz="0" w:space="0" w:color="auto"/>
        <w:left w:val="none" w:sz="0" w:space="0" w:color="auto"/>
        <w:bottom w:val="none" w:sz="0" w:space="0" w:color="auto"/>
        <w:right w:val="none" w:sz="0" w:space="0" w:color="auto"/>
      </w:divBdr>
    </w:div>
    <w:div w:id="617024849">
      <w:bodyDiv w:val="1"/>
      <w:marLeft w:val="0"/>
      <w:marRight w:val="0"/>
      <w:marTop w:val="0"/>
      <w:marBottom w:val="0"/>
      <w:divBdr>
        <w:top w:val="none" w:sz="0" w:space="0" w:color="auto"/>
        <w:left w:val="none" w:sz="0" w:space="0" w:color="auto"/>
        <w:bottom w:val="none" w:sz="0" w:space="0" w:color="auto"/>
        <w:right w:val="none" w:sz="0" w:space="0" w:color="auto"/>
      </w:divBdr>
    </w:div>
    <w:div w:id="617372547">
      <w:bodyDiv w:val="1"/>
      <w:marLeft w:val="0"/>
      <w:marRight w:val="0"/>
      <w:marTop w:val="0"/>
      <w:marBottom w:val="0"/>
      <w:divBdr>
        <w:top w:val="none" w:sz="0" w:space="0" w:color="auto"/>
        <w:left w:val="none" w:sz="0" w:space="0" w:color="auto"/>
        <w:bottom w:val="none" w:sz="0" w:space="0" w:color="auto"/>
        <w:right w:val="none" w:sz="0" w:space="0" w:color="auto"/>
      </w:divBdr>
    </w:div>
    <w:div w:id="617639058">
      <w:bodyDiv w:val="1"/>
      <w:marLeft w:val="0"/>
      <w:marRight w:val="0"/>
      <w:marTop w:val="0"/>
      <w:marBottom w:val="0"/>
      <w:divBdr>
        <w:top w:val="none" w:sz="0" w:space="0" w:color="auto"/>
        <w:left w:val="none" w:sz="0" w:space="0" w:color="auto"/>
        <w:bottom w:val="none" w:sz="0" w:space="0" w:color="auto"/>
        <w:right w:val="none" w:sz="0" w:space="0" w:color="auto"/>
      </w:divBdr>
    </w:div>
    <w:div w:id="619192240">
      <w:bodyDiv w:val="1"/>
      <w:marLeft w:val="0"/>
      <w:marRight w:val="0"/>
      <w:marTop w:val="0"/>
      <w:marBottom w:val="0"/>
      <w:divBdr>
        <w:top w:val="none" w:sz="0" w:space="0" w:color="auto"/>
        <w:left w:val="none" w:sz="0" w:space="0" w:color="auto"/>
        <w:bottom w:val="none" w:sz="0" w:space="0" w:color="auto"/>
        <w:right w:val="none" w:sz="0" w:space="0" w:color="auto"/>
      </w:divBdr>
    </w:div>
    <w:div w:id="619533646">
      <w:bodyDiv w:val="1"/>
      <w:marLeft w:val="0"/>
      <w:marRight w:val="0"/>
      <w:marTop w:val="0"/>
      <w:marBottom w:val="0"/>
      <w:divBdr>
        <w:top w:val="none" w:sz="0" w:space="0" w:color="auto"/>
        <w:left w:val="none" w:sz="0" w:space="0" w:color="auto"/>
        <w:bottom w:val="none" w:sz="0" w:space="0" w:color="auto"/>
        <w:right w:val="none" w:sz="0" w:space="0" w:color="auto"/>
      </w:divBdr>
    </w:div>
    <w:div w:id="620841705">
      <w:bodyDiv w:val="1"/>
      <w:marLeft w:val="0"/>
      <w:marRight w:val="0"/>
      <w:marTop w:val="0"/>
      <w:marBottom w:val="0"/>
      <w:divBdr>
        <w:top w:val="none" w:sz="0" w:space="0" w:color="auto"/>
        <w:left w:val="none" w:sz="0" w:space="0" w:color="auto"/>
        <w:bottom w:val="none" w:sz="0" w:space="0" w:color="auto"/>
        <w:right w:val="none" w:sz="0" w:space="0" w:color="auto"/>
      </w:divBdr>
    </w:div>
    <w:div w:id="622343322">
      <w:bodyDiv w:val="1"/>
      <w:marLeft w:val="0"/>
      <w:marRight w:val="0"/>
      <w:marTop w:val="0"/>
      <w:marBottom w:val="0"/>
      <w:divBdr>
        <w:top w:val="none" w:sz="0" w:space="0" w:color="auto"/>
        <w:left w:val="none" w:sz="0" w:space="0" w:color="auto"/>
        <w:bottom w:val="none" w:sz="0" w:space="0" w:color="auto"/>
        <w:right w:val="none" w:sz="0" w:space="0" w:color="auto"/>
      </w:divBdr>
    </w:div>
    <w:div w:id="623192555">
      <w:bodyDiv w:val="1"/>
      <w:marLeft w:val="0"/>
      <w:marRight w:val="0"/>
      <w:marTop w:val="0"/>
      <w:marBottom w:val="0"/>
      <w:divBdr>
        <w:top w:val="none" w:sz="0" w:space="0" w:color="auto"/>
        <w:left w:val="none" w:sz="0" w:space="0" w:color="auto"/>
        <w:bottom w:val="none" w:sz="0" w:space="0" w:color="auto"/>
        <w:right w:val="none" w:sz="0" w:space="0" w:color="auto"/>
      </w:divBdr>
    </w:div>
    <w:div w:id="624123317">
      <w:bodyDiv w:val="1"/>
      <w:marLeft w:val="0"/>
      <w:marRight w:val="0"/>
      <w:marTop w:val="0"/>
      <w:marBottom w:val="0"/>
      <w:divBdr>
        <w:top w:val="none" w:sz="0" w:space="0" w:color="auto"/>
        <w:left w:val="none" w:sz="0" w:space="0" w:color="auto"/>
        <w:bottom w:val="none" w:sz="0" w:space="0" w:color="auto"/>
        <w:right w:val="none" w:sz="0" w:space="0" w:color="auto"/>
      </w:divBdr>
    </w:div>
    <w:div w:id="624580352">
      <w:bodyDiv w:val="1"/>
      <w:marLeft w:val="0"/>
      <w:marRight w:val="0"/>
      <w:marTop w:val="0"/>
      <w:marBottom w:val="0"/>
      <w:divBdr>
        <w:top w:val="none" w:sz="0" w:space="0" w:color="auto"/>
        <w:left w:val="none" w:sz="0" w:space="0" w:color="auto"/>
        <w:bottom w:val="none" w:sz="0" w:space="0" w:color="auto"/>
        <w:right w:val="none" w:sz="0" w:space="0" w:color="auto"/>
      </w:divBdr>
    </w:div>
    <w:div w:id="624848618">
      <w:bodyDiv w:val="1"/>
      <w:marLeft w:val="0"/>
      <w:marRight w:val="0"/>
      <w:marTop w:val="0"/>
      <w:marBottom w:val="0"/>
      <w:divBdr>
        <w:top w:val="none" w:sz="0" w:space="0" w:color="auto"/>
        <w:left w:val="none" w:sz="0" w:space="0" w:color="auto"/>
        <w:bottom w:val="none" w:sz="0" w:space="0" w:color="auto"/>
        <w:right w:val="none" w:sz="0" w:space="0" w:color="auto"/>
      </w:divBdr>
    </w:div>
    <w:div w:id="626156419">
      <w:bodyDiv w:val="1"/>
      <w:marLeft w:val="0"/>
      <w:marRight w:val="0"/>
      <w:marTop w:val="0"/>
      <w:marBottom w:val="0"/>
      <w:divBdr>
        <w:top w:val="none" w:sz="0" w:space="0" w:color="auto"/>
        <w:left w:val="none" w:sz="0" w:space="0" w:color="auto"/>
        <w:bottom w:val="none" w:sz="0" w:space="0" w:color="auto"/>
        <w:right w:val="none" w:sz="0" w:space="0" w:color="auto"/>
      </w:divBdr>
    </w:div>
    <w:div w:id="627051217">
      <w:bodyDiv w:val="1"/>
      <w:marLeft w:val="0"/>
      <w:marRight w:val="0"/>
      <w:marTop w:val="0"/>
      <w:marBottom w:val="0"/>
      <w:divBdr>
        <w:top w:val="none" w:sz="0" w:space="0" w:color="auto"/>
        <w:left w:val="none" w:sz="0" w:space="0" w:color="auto"/>
        <w:bottom w:val="none" w:sz="0" w:space="0" w:color="auto"/>
        <w:right w:val="none" w:sz="0" w:space="0" w:color="auto"/>
      </w:divBdr>
    </w:div>
    <w:div w:id="629020336">
      <w:bodyDiv w:val="1"/>
      <w:marLeft w:val="0"/>
      <w:marRight w:val="0"/>
      <w:marTop w:val="0"/>
      <w:marBottom w:val="0"/>
      <w:divBdr>
        <w:top w:val="none" w:sz="0" w:space="0" w:color="auto"/>
        <w:left w:val="none" w:sz="0" w:space="0" w:color="auto"/>
        <w:bottom w:val="none" w:sz="0" w:space="0" w:color="auto"/>
        <w:right w:val="none" w:sz="0" w:space="0" w:color="auto"/>
      </w:divBdr>
    </w:div>
    <w:div w:id="629242476">
      <w:bodyDiv w:val="1"/>
      <w:marLeft w:val="0"/>
      <w:marRight w:val="0"/>
      <w:marTop w:val="0"/>
      <w:marBottom w:val="0"/>
      <w:divBdr>
        <w:top w:val="none" w:sz="0" w:space="0" w:color="auto"/>
        <w:left w:val="none" w:sz="0" w:space="0" w:color="auto"/>
        <w:bottom w:val="none" w:sz="0" w:space="0" w:color="auto"/>
        <w:right w:val="none" w:sz="0" w:space="0" w:color="auto"/>
      </w:divBdr>
    </w:div>
    <w:div w:id="629674683">
      <w:bodyDiv w:val="1"/>
      <w:marLeft w:val="0"/>
      <w:marRight w:val="0"/>
      <w:marTop w:val="0"/>
      <w:marBottom w:val="0"/>
      <w:divBdr>
        <w:top w:val="none" w:sz="0" w:space="0" w:color="auto"/>
        <w:left w:val="none" w:sz="0" w:space="0" w:color="auto"/>
        <w:bottom w:val="none" w:sz="0" w:space="0" w:color="auto"/>
        <w:right w:val="none" w:sz="0" w:space="0" w:color="auto"/>
      </w:divBdr>
    </w:div>
    <w:div w:id="629867396">
      <w:bodyDiv w:val="1"/>
      <w:marLeft w:val="0"/>
      <w:marRight w:val="0"/>
      <w:marTop w:val="0"/>
      <w:marBottom w:val="0"/>
      <w:divBdr>
        <w:top w:val="none" w:sz="0" w:space="0" w:color="auto"/>
        <w:left w:val="none" w:sz="0" w:space="0" w:color="auto"/>
        <w:bottom w:val="none" w:sz="0" w:space="0" w:color="auto"/>
        <w:right w:val="none" w:sz="0" w:space="0" w:color="auto"/>
      </w:divBdr>
    </w:div>
    <w:div w:id="630017801">
      <w:bodyDiv w:val="1"/>
      <w:marLeft w:val="0"/>
      <w:marRight w:val="0"/>
      <w:marTop w:val="0"/>
      <w:marBottom w:val="0"/>
      <w:divBdr>
        <w:top w:val="none" w:sz="0" w:space="0" w:color="auto"/>
        <w:left w:val="none" w:sz="0" w:space="0" w:color="auto"/>
        <w:bottom w:val="none" w:sz="0" w:space="0" w:color="auto"/>
        <w:right w:val="none" w:sz="0" w:space="0" w:color="auto"/>
      </w:divBdr>
      <w:divsChild>
        <w:div w:id="397702853">
          <w:marLeft w:val="1166"/>
          <w:marRight w:val="0"/>
          <w:marTop w:val="115"/>
          <w:marBottom w:val="0"/>
          <w:divBdr>
            <w:top w:val="none" w:sz="0" w:space="0" w:color="auto"/>
            <w:left w:val="none" w:sz="0" w:space="0" w:color="auto"/>
            <w:bottom w:val="none" w:sz="0" w:space="0" w:color="auto"/>
            <w:right w:val="none" w:sz="0" w:space="0" w:color="auto"/>
          </w:divBdr>
        </w:div>
        <w:div w:id="399523932">
          <w:marLeft w:val="547"/>
          <w:marRight w:val="0"/>
          <w:marTop w:val="134"/>
          <w:marBottom w:val="0"/>
          <w:divBdr>
            <w:top w:val="none" w:sz="0" w:space="0" w:color="auto"/>
            <w:left w:val="none" w:sz="0" w:space="0" w:color="auto"/>
            <w:bottom w:val="none" w:sz="0" w:space="0" w:color="auto"/>
            <w:right w:val="none" w:sz="0" w:space="0" w:color="auto"/>
          </w:divBdr>
        </w:div>
        <w:div w:id="538668821">
          <w:marLeft w:val="1800"/>
          <w:marRight w:val="0"/>
          <w:marTop w:val="115"/>
          <w:marBottom w:val="0"/>
          <w:divBdr>
            <w:top w:val="none" w:sz="0" w:space="0" w:color="auto"/>
            <w:left w:val="none" w:sz="0" w:space="0" w:color="auto"/>
            <w:bottom w:val="none" w:sz="0" w:space="0" w:color="auto"/>
            <w:right w:val="none" w:sz="0" w:space="0" w:color="auto"/>
          </w:divBdr>
        </w:div>
        <w:div w:id="1178229933">
          <w:marLeft w:val="1166"/>
          <w:marRight w:val="0"/>
          <w:marTop w:val="115"/>
          <w:marBottom w:val="0"/>
          <w:divBdr>
            <w:top w:val="none" w:sz="0" w:space="0" w:color="auto"/>
            <w:left w:val="none" w:sz="0" w:space="0" w:color="auto"/>
            <w:bottom w:val="none" w:sz="0" w:space="0" w:color="auto"/>
            <w:right w:val="none" w:sz="0" w:space="0" w:color="auto"/>
          </w:divBdr>
        </w:div>
      </w:divsChild>
    </w:div>
    <w:div w:id="630133528">
      <w:bodyDiv w:val="1"/>
      <w:marLeft w:val="0"/>
      <w:marRight w:val="0"/>
      <w:marTop w:val="0"/>
      <w:marBottom w:val="0"/>
      <w:divBdr>
        <w:top w:val="none" w:sz="0" w:space="0" w:color="auto"/>
        <w:left w:val="none" w:sz="0" w:space="0" w:color="auto"/>
        <w:bottom w:val="none" w:sz="0" w:space="0" w:color="auto"/>
        <w:right w:val="none" w:sz="0" w:space="0" w:color="auto"/>
      </w:divBdr>
    </w:div>
    <w:div w:id="631062075">
      <w:bodyDiv w:val="1"/>
      <w:marLeft w:val="0"/>
      <w:marRight w:val="0"/>
      <w:marTop w:val="0"/>
      <w:marBottom w:val="0"/>
      <w:divBdr>
        <w:top w:val="none" w:sz="0" w:space="0" w:color="auto"/>
        <w:left w:val="none" w:sz="0" w:space="0" w:color="auto"/>
        <w:bottom w:val="none" w:sz="0" w:space="0" w:color="auto"/>
        <w:right w:val="none" w:sz="0" w:space="0" w:color="auto"/>
      </w:divBdr>
    </w:div>
    <w:div w:id="631713639">
      <w:bodyDiv w:val="1"/>
      <w:marLeft w:val="0"/>
      <w:marRight w:val="0"/>
      <w:marTop w:val="0"/>
      <w:marBottom w:val="0"/>
      <w:divBdr>
        <w:top w:val="none" w:sz="0" w:space="0" w:color="auto"/>
        <w:left w:val="none" w:sz="0" w:space="0" w:color="auto"/>
        <w:bottom w:val="none" w:sz="0" w:space="0" w:color="auto"/>
        <w:right w:val="none" w:sz="0" w:space="0" w:color="auto"/>
      </w:divBdr>
    </w:div>
    <w:div w:id="631911963">
      <w:bodyDiv w:val="1"/>
      <w:marLeft w:val="0"/>
      <w:marRight w:val="0"/>
      <w:marTop w:val="0"/>
      <w:marBottom w:val="0"/>
      <w:divBdr>
        <w:top w:val="none" w:sz="0" w:space="0" w:color="auto"/>
        <w:left w:val="none" w:sz="0" w:space="0" w:color="auto"/>
        <w:bottom w:val="none" w:sz="0" w:space="0" w:color="auto"/>
        <w:right w:val="none" w:sz="0" w:space="0" w:color="auto"/>
      </w:divBdr>
    </w:div>
    <w:div w:id="634793798">
      <w:bodyDiv w:val="1"/>
      <w:marLeft w:val="0"/>
      <w:marRight w:val="0"/>
      <w:marTop w:val="0"/>
      <w:marBottom w:val="0"/>
      <w:divBdr>
        <w:top w:val="none" w:sz="0" w:space="0" w:color="auto"/>
        <w:left w:val="none" w:sz="0" w:space="0" w:color="auto"/>
        <w:bottom w:val="none" w:sz="0" w:space="0" w:color="auto"/>
        <w:right w:val="none" w:sz="0" w:space="0" w:color="auto"/>
      </w:divBdr>
    </w:div>
    <w:div w:id="634797358">
      <w:bodyDiv w:val="1"/>
      <w:marLeft w:val="0"/>
      <w:marRight w:val="0"/>
      <w:marTop w:val="0"/>
      <w:marBottom w:val="0"/>
      <w:divBdr>
        <w:top w:val="none" w:sz="0" w:space="0" w:color="auto"/>
        <w:left w:val="none" w:sz="0" w:space="0" w:color="auto"/>
        <w:bottom w:val="none" w:sz="0" w:space="0" w:color="auto"/>
        <w:right w:val="none" w:sz="0" w:space="0" w:color="auto"/>
      </w:divBdr>
    </w:div>
    <w:div w:id="634868393">
      <w:bodyDiv w:val="1"/>
      <w:marLeft w:val="0"/>
      <w:marRight w:val="0"/>
      <w:marTop w:val="0"/>
      <w:marBottom w:val="0"/>
      <w:divBdr>
        <w:top w:val="none" w:sz="0" w:space="0" w:color="auto"/>
        <w:left w:val="none" w:sz="0" w:space="0" w:color="auto"/>
        <w:bottom w:val="none" w:sz="0" w:space="0" w:color="auto"/>
        <w:right w:val="none" w:sz="0" w:space="0" w:color="auto"/>
      </w:divBdr>
    </w:div>
    <w:div w:id="637615759">
      <w:bodyDiv w:val="1"/>
      <w:marLeft w:val="0"/>
      <w:marRight w:val="0"/>
      <w:marTop w:val="0"/>
      <w:marBottom w:val="0"/>
      <w:divBdr>
        <w:top w:val="none" w:sz="0" w:space="0" w:color="auto"/>
        <w:left w:val="none" w:sz="0" w:space="0" w:color="auto"/>
        <w:bottom w:val="none" w:sz="0" w:space="0" w:color="auto"/>
        <w:right w:val="none" w:sz="0" w:space="0" w:color="auto"/>
      </w:divBdr>
    </w:div>
    <w:div w:id="638195457">
      <w:bodyDiv w:val="1"/>
      <w:marLeft w:val="0"/>
      <w:marRight w:val="0"/>
      <w:marTop w:val="0"/>
      <w:marBottom w:val="0"/>
      <w:divBdr>
        <w:top w:val="none" w:sz="0" w:space="0" w:color="auto"/>
        <w:left w:val="none" w:sz="0" w:space="0" w:color="auto"/>
        <w:bottom w:val="none" w:sz="0" w:space="0" w:color="auto"/>
        <w:right w:val="none" w:sz="0" w:space="0" w:color="auto"/>
      </w:divBdr>
    </w:div>
    <w:div w:id="638612169">
      <w:bodyDiv w:val="1"/>
      <w:marLeft w:val="0"/>
      <w:marRight w:val="0"/>
      <w:marTop w:val="0"/>
      <w:marBottom w:val="0"/>
      <w:divBdr>
        <w:top w:val="none" w:sz="0" w:space="0" w:color="auto"/>
        <w:left w:val="none" w:sz="0" w:space="0" w:color="auto"/>
        <w:bottom w:val="none" w:sz="0" w:space="0" w:color="auto"/>
        <w:right w:val="none" w:sz="0" w:space="0" w:color="auto"/>
      </w:divBdr>
    </w:div>
    <w:div w:id="638653664">
      <w:bodyDiv w:val="1"/>
      <w:marLeft w:val="0"/>
      <w:marRight w:val="0"/>
      <w:marTop w:val="0"/>
      <w:marBottom w:val="0"/>
      <w:divBdr>
        <w:top w:val="none" w:sz="0" w:space="0" w:color="auto"/>
        <w:left w:val="none" w:sz="0" w:space="0" w:color="auto"/>
        <w:bottom w:val="none" w:sz="0" w:space="0" w:color="auto"/>
        <w:right w:val="none" w:sz="0" w:space="0" w:color="auto"/>
      </w:divBdr>
    </w:div>
    <w:div w:id="638923788">
      <w:bodyDiv w:val="1"/>
      <w:marLeft w:val="0"/>
      <w:marRight w:val="0"/>
      <w:marTop w:val="0"/>
      <w:marBottom w:val="0"/>
      <w:divBdr>
        <w:top w:val="none" w:sz="0" w:space="0" w:color="auto"/>
        <w:left w:val="none" w:sz="0" w:space="0" w:color="auto"/>
        <w:bottom w:val="none" w:sz="0" w:space="0" w:color="auto"/>
        <w:right w:val="none" w:sz="0" w:space="0" w:color="auto"/>
      </w:divBdr>
    </w:div>
    <w:div w:id="639068622">
      <w:bodyDiv w:val="1"/>
      <w:marLeft w:val="0"/>
      <w:marRight w:val="0"/>
      <w:marTop w:val="0"/>
      <w:marBottom w:val="0"/>
      <w:divBdr>
        <w:top w:val="none" w:sz="0" w:space="0" w:color="auto"/>
        <w:left w:val="none" w:sz="0" w:space="0" w:color="auto"/>
        <w:bottom w:val="none" w:sz="0" w:space="0" w:color="auto"/>
        <w:right w:val="none" w:sz="0" w:space="0" w:color="auto"/>
      </w:divBdr>
    </w:div>
    <w:div w:id="639270447">
      <w:bodyDiv w:val="1"/>
      <w:marLeft w:val="0"/>
      <w:marRight w:val="0"/>
      <w:marTop w:val="0"/>
      <w:marBottom w:val="0"/>
      <w:divBdr>
        <w:top w:val="none" w:sz="0" w:space="0" w:color="auto"/>
        <w:left w:val="none" w:sz="0" w:space="0" w:color="auto"/>
        <w:bottom w:val="none" w:sz="0" w:space="0" w:color="auto"/>
        <w:right w:val="none" w:sz="0" w:space="0" w:color="auto"/>
      </w:divBdr>
    </w:div>
    <w:div w:id="639578165">
      <w:bodyDiv w:val="1"/>
      <w:marLeft w:val="0"/>
      <w:marRight w:val="0"/>
      <w:marTop w:val="0"/>
      <w:marBottom w:val="0"/>
      <w:divBdr>
        <w:top w:val="none" w:sz="0" w:space="0" w:color="auto"/>
        <w:left w:val="none" w:sz="0" w:space="0" w:color="auto"/>
        <w:bottom w:val="none" w:sz="0" w:space="0" w:color="auto"/>
        <w:right w:val="none" w:sz="0" w:space="0" w:color="auto"/>
      </w:divBdr>
    </w:div>
    <w:div w:id="639699238">
      <w:bodyDiv w:val="1"/>
      <w:marLeft w:val="0"/>
      <w:marRight w:val="0"/>
      <w:marTop w:val="0"/>
      <w:marBottom w:val="0"/>
      <w:divBdr>
        <w:top w:val="none" w:sz="0" w:space="0" w:color="auto"/>
        <w:left w:val="none" w:sz="0" w:space="0" w:color="auto"/>
        <w:bottom w:val="none" w:sz="0" w:space="0" w:color="auto"/>
        <w:right w:val="none" w:sz="0" w:space="0" w:color="auto"/>
      </w:divBdr>
    </w:div>
    <w:div w:id="640354826">
      <w:bodyDiv w:val="1"/>
      <w:marLeft w:val="0"/>
      <w:marRight w:val="0"/>
      <w:marTop w:val="0"/>
      <w:marBottom w:val="0"/>
      <w:divBdr>
        <w:top w:val="none" w:sz="0" w:space="0" w:color="auto"/>
        <w:left w:val="none" w:sz="0" w:space="0" w:color="auto"/>
        <w:bottom w:val="none" w:sz="0" w:space="0" w:color="auto"/>
        <w:right w:val="none" w:sz="0" w:space="0" w:color="auto"/>
      </w:divBdr>
    </w:div>
    <w:div w:id="640427650">
      <w:bodyDiv w:val="1"/>
      <w:marLeft w:val="0"/>
      <w:marRight w:val="0"/>
      <w:marTop w:val="0"/>
      <w:marBottom w:val="0"/>
      <w:divBdr>
        <w:top w:val="none" w:sz="0" w:space="0" w:color="auto"/>
        <w:left w:val="none" w:sz="0" w:space="0" w:color="auto"/>
        <w:bottom w:val="none" w:sz="0" w:space="0" w:color="auto"/>
        <w:right w:val="none" w:sz="0" w:space="0" w:color="auto"/>
      </w:divBdr>
    </w:div>
    <w:div w:id="643509873">
      <w:bodyDiv w:val="1"/>
      <w:marLeft w:val="0"/>
      <w:marRight w:val="0"/>
      <w:marTop w:val="0"/>
      <w:marBottom w:val="0"/>
      <w:divBdr>
        <w:top w:val="none" w:sz="0" w:space="0" w:color="auto"/>
        <w:left w:val="none" w:sz="0" w:space="0" w:color="auto"/>
        <w:bottom w:val="none" w:sz="0" w:space="0" w:color="auto"/>
        <w:right w:val="none" w:sz="0" w:space="0" w:color="auto"/>
      </w:divBdr>
    </w:div>
    <w:div w:id="644553893">
      <w:bodyDiv w:val="1"/>
      <w:marLeft w:val="0"/>
      <w:marRight w:val="0"/>
      <w:marTop w:val="0"/>
      <w:marBottom w:val="0"/>
      <w:divBdr>
        <w:top w:val="none" w:sz="0" w:space="0" w:color="auto"/>
        <w:left w:val="none" w:sz="0" w:space="0" w:color="auto"/>
        <w:bottom w:val="none" w:sz="0" w:space="0" w:color="auto"/>
        <w:right w:val="none" w:sz="0" w:space="0" w:color="auto"/>
      </w:divBdr>
    </w:div>
    <w:div w:id="644702644">
      <w:bodyDiv w:val="1"/>
      <w:marLeft w:val="0"/>
      <w:marRight w:val="0"/>
      <w:marTop w:val="0"/>
      <w:marBottom w:val="0"/>
      <w:divBdr>
        <w:top w:val="none" w:sz="0" w:space="0" w:color="auto"/>
        <w:left w:val="none" w:sz="0" w:space="0" w:color="auto"/>
        <w:bottom w:val="none" w:sz="0" w:space="0" w:color="auto"/>
        <w:right w:val="none" w:sz="0" w:space="0" w:color="auto"/>
      </w:divBdr>
    </w:div>
    <w:div w:id="644820225">
      <w:bodyDiv w:val="1"/>
      <w:marLeft w:val="0"/>
      <w:marRight w:val="0"/>
      <w:marTop w:val="0"/>
      <w:marBottom w:val="0"/>
      <w:divBdr>
        <w:top w:val="none" w:sz="0" w:space="0" w:color="auto"/>
        <w:left w:val="none" w:sz="0" w:space="0" w:color="auto"/>
        <w:bottom w:val="none" w:sz="0" w:space="0" w:color="auto"/>
        <w:right w:val="none" w:sz="0" w:space="0" w:color="auto"/>
      </w:divBdr>
    </w:div>
    <w:div w:id="645625482">
      <w:bodyDiv w:val="1"/>
      <w:marLeft w:val="0"/>
      <w:marRight w:val="0"/>
      <w:marTop w:val="0"/>
      <w:marBottom w:val="0"/>
      <w:divBdr>
        <w:top w:val="none" w:sz="0" w:space="0" w:color="auto"/>
        <w:left w:val="none" w:sz="0" w:space="0" w:color="auto"/>
        <w:bottom w:val="none" w:sz="0" w:space="0" w:color="auto"/>
        <w:right w:val="none" w:sz="0" w:space="0" w:color="auto"/>
      </w:divBdr>
    </w:div>
    <w:div w:id="645940816">
      <w:bodyDiv w:val="1"/>
      <w:marLeft w:val="0"/>
      <w:marRight w:val="0"/>
      <w:marTop w:val="0"/>
      <w:marBottom w:val="0"/>
      <w:divBdr>
        <w:top w:val="none" w:sz="0" w:space="0" w:color="auto"/>
        <w:left w:val="none" w:sz="0" w:space="0" w:color="auto"/>
        <w:bottom w:val="none" w:sz="0" w:space="0" w:color="auto"/>
        <w:right w:val="none" w:sz="0" w:space="0" w:color="auto"/>
      </w:divBdr>
    </w:div>
    <w:div w:id="646085357">
      <w:bodyDiv w:val="1"/>
      <w:marLeft w:val="0"/>
      <w:marRight w:val="0"/>
      <w:marTop w:val="0"/>
      <w:marBottom w:val="0"/>
      <w:divBdr>
        <w:top w:val="none" w:sz="0" w:space="0" w:color="auto"/>
        <w:left w:val="none" w:sz="0" w:space="0" w:color="auto"/>
        <w:bottom w:val="none" w:sz="0" w:space="0" w:color="auto"/>
        <w:right w:val="none" w:sz="0" w:space="0" w:color="auto"/>
      </w:divBdr>
    </w:div>
    <w:div w:id="646865402">
      <w:bodyDiv w:val="1"/>
      <w:marLeft w:val="0"/>
      <w:marRight w:val="0"/>
      <w:marTop w:val="0"/>
      <w:marBottom w:val="0"/>
      <w:divBdr>
        <w:top w:val="none" w:sz="0" w:space="0" w:color="auto"/>
        <w:left w:val="none" w:sz="0" w:space="0" w:color="auto"/>
        <w:bottom w:val="none" w:sz="0" w:space="0" w:color="auto"/>
        <w:right w:val="none" w:sz="0" w:space="0" w:color="auto"/>
      </w:divBdr>
    </w:div>
    <w:div w:id="647318787">
      <w:bodyDiv w:val="1"/>
      <w:marLeft w:val="0"/>
      <w:marRight w:val="0"/>
      <w:marTop w:val="0"/>
      <w:marBottom w:val="0"/>
      <w:divBdr>
        <w:top w:val="none" w:sz="0" w:space="0" w:color="auto"/>
        <w:left w:val="none" w:sz="0" w:space="0" w:color="auto"/>
        <w:bottom w:val="none" w:sz="0" w:space="0" w:color="auto"/>
        <w:right w:val="none" w:sz="0" w:space="0" w:color="auto"/>
      </w:divBdr>
    </w:div>
    <w:div w:id="648752729">
      <w:bodyDiv w:val="1"/>
      <w:marLeft w:val="0"/>
      <w:marRight w:val="0"/>
      <w:marTop w:val="0"/>
      <w:marBottom w:val="0"/>
      <w:divBdr>
        <w:top w:val="none" w:sz="0" w:space="0" w:color="auto"/>
        <w:left w:val="none" w:sz="0" w:space="0" w:color="auto"/>
        <w:bottom w:val="none" w:sz="0" w:space="0" w:color="auto"/>
        <w:right w:val="none" w:sz="0" w:space="0" w:color="auto"/>
      </w:divBdr>
    </w:div>
    <w:div w:id="648753985">
      <w:bodyDiv w:val="1"/>
      <w:marLeft w:val="0"/>
      <w:marRight w:val="0"/>
      <w:marTop w:val="0"/>
      <w:marBottom w:val="0"/>
      <w:divBdr>
        <w:top w:val="none" w:sz="0" w:space="0" w:color="auto"/>
        <w:left w:val="none" w:sz="0" w:space="0" w:color="auto"/>
        <w:bottom w:val="none" w:sz="0" w:space="0" w:color="auto"/>
        <w:right w:val="none" w:sz="0" w:space="0" w:color="auto"/>
      </w:divBdr>
    </w:div>
    <w:div w:id="649137148">
      <w:bodyDiv w:val="1"/>
      <w:marLeft w:val="0"/>
      <w:marRight w:val="0"/>
      <w:marTop w:val="0"/>
      <w:marBottom w:val="0"/>
      <w:divBdr>
        <w:top w:val="none" w:sz="0" w:space="0" w:color="auto"/>
        <w:left w:val="none" w:sz="0" w:space="0" w:color="auto"/>
        <w:bottom w:val="none" w:sz="0" w:space="0" w:color="auto"/>
        <w:right w:val="none" w:sz="0" w:space="0" w:color="auto"/>
      </w:divBdr>
    </w:div>
    <w:div w:id="649942943">
      <w:bodyDiv w:val="1"/>
      <w:marLeft w:val="0"/>
      <w:marRight w:val="0"/>
      <w:marTop w:val="0"/>
      <w:marBottom w:val="0"/>
      <w:divBdr>
        <w:top w:val="none" w:sz="0" w:space="0" w:color="auto"/>
        <w:left w:val="none" w:sz="0" w:space="0" w:color="auto"/>
        <w:bottom w:val="none" w:sz="0" w:space="0" w:color="auto"/>
        <w:right w:val="none" w:sz="0" w:space="0" w:color="auto"/>
      </w:divBdr>
    </w:div>
    <w:div w:id="650064742">
      <w:bodyDiv w:val="1"/>
      <w:marLeft w:val="0"/>
      <w:marRight w:val="0"/>
      <w:marTop w:val="0"/>
      <w:marBottom w:val="0"/>
      <w:divBdr>
        <w:top w:val="none" w:sz="0" w:space="0" w:color="auto"/>
        <w:left w:val="none" w:sz="0" w:space="0" w:color="auto"/>
        <w:bottom w:val="none" w:sz="0" w:space="0" w:color="auto"/>
        <w:right w:val="none" w:sz="0" w:space="0" w:color="auto"/>
      </w:divBdr>
    </w:div>
    <w:div w:id="650252816">
      <w:bodyDiv w:val="1"/>
      <w:marLeft w:val="0"/>
      <w:marRight w:val="0"/>
      <w:marTop w:val="0"/>
      <w:marBottom w:val="0"/>
      <w:divBdr>
        <w:top w:val="none" w:sz="0" w:space="0" w:color="auto"/>
        <w:left w:val="none" w:sz="0" w:space="0" w:color="auto"/>
        <w:bottom w:val="none" w:sz="0" w:space="0" w:color="auto"/>
        <w:right w:val="none" w:sz="0" w:space="0" w:color="auto"/>
      </w:divBdr>
    </w:div>
    <w:div w:id="650526035">
      <w:bodyDiv w:val="1"/>
      <w:marLeft w:val="0"/>
      <w:marRight w:val="0"/>
      <w:marTop w:val="0"/>
      <w:marBottom w:val="0"/>
      <w:divBdr>
        <w:top w:val="none" w:sz="0" w:space="0" w:color="auto"/>
        <w:left w:val="none" w:sz="0" w:space="0" w:color="auto"/>
        <w:bottom w:val="none" w:sz="0" w:space="0" w:color="auto"/>
        <w:right w:val="none" w:sz="0" w:space="0" w:color="auto"/>
      </w:divBdr>
    </w:div>
    <w:div w:id="655187297">
      <w:bodyDiv w:val="1"/>
      <w:marLeft w:val="0"/>
      <w:marRight w:val="0"/>
      <w:marTop w:val="0"/>
      <w:marBottom w:val="0"/>
      <w:divBdr>
        <w:top w:val="none" w:sz="0" w:space="0" w:color="auto"/>
        <w:left w:val="none" w:sz="0" w:space="0" w:color="auto"/>
        <w:bottom w:val="none" w:sz="0" w:space="0" w:color="auto"/>
        <w:right w:val="none" w:sz="0" w:space="0" w:color="auto"/>
      </w:divBdr>
    </w:div>
    <w:div w:id="656301406">
      <w:bodyDiv w:val="1"/>
      <w:marLeft w:val="0"/>
      <w:marRight w:val="0"/>
      <w:marTop w:val="0"/>
      <w:marBottom w:val="0"/>
      <w:divBdr>
        <w:top w:val="none" w:sz="0" w:space="0" w:color="auto"/>
        <w:left w:val="none" w:sz="0" w:space="0" w:color="auto"/>
        <w:bottom w:val="none" w:sz="0" w:space="0" w:color="auto"/>
        <w:right w:val="none" w:sz="0" w:space="0" w:color="auto"/>
      </w:divBdr>
    </w:div>
    <w:div w:id="656693798">
      <w:bodyDiv w:val="1"/>
      <w:marLeft w:val="0"/>
      <w:marRight w:val="0"/>
      <w:marTop w:val="0"/>
      <w:marBottom w:val="0"/>
      <w:divBdr>
        <w:top w:val="none" w:sz="0" w:space="0" w:color="auto"/>
        <w:left w:val="none" w:sz="0" w:space="0" w:color="auto"/>
        <w:bottom w:val="none" w:sz="0" w:space="0" w:color="auto"/>
        <w:right w:val="none" w:sz="0" w:space="0" w:color="auto"/>
      </w:divBdr>
    </w:div>
    <w:div w:id="656883716">
      <w:bodyDiv w:val="1"/>
      <w:marLeft w:val="0"/>
      <w:marRight w:val="0"/>
      <w:marTop w:val="0"/>
      <w:marBottom w:val="0"/>
      <w:divBdr>
        <w:top w:val="none" w:sz="0" w:space="0" w:color="auto"/>
        <w:left w:val="none" w:sz="0" w:space="0" w:color="auto"/>
        <w:bottom w:val="none" w:sz="0" w:space="0" w:color="auto"/>
        <w:right w:val="none" w:sz="0" w:space="0" w:color="auto"/>
      </w:divBdr>
    </w:div>
    <w:div w:id="657270595">
      <w:bodyDiv w:val="1"/>
      <w:marLeft w:val="0"/>
      <w:marRight w:val="0"/>
      <w:marTop w:val="0"/>
      <w:marBottom w:val="0"/>
      <w:divBdr>
        <w:top w:val="none" w:sz="0" w:space="0" w:color="auto"/>
        <w:left w:val="none" w:sz="0" w:space="0" w:color="auto"/>
        <w:bottom w:val="none" w:sz="0" w:space="0" w:color="auto"/>
        <w:right w:val="none" w:sz="0" w:space="0" w:color="auto"/>
      </w:divBdr>
    </w:div>
    <w:div w:id="657611442">
      <w:bodyDiv w:val="1"/>
      <w:marLeft w:val="0"/>
      <w:marRight w:val="0"/>
      <w:marTop w:val="0"/>
      <w:marBottom w:val="0"/>
      <w:divBdr>
        <w:top w:val="none" w:sz="0" w:space="0" w:color="auto"/>
        <w:left w:val="none" w:sz="0" w:space="0" w:color="auto"/>
        <w:bottom w:val="none" w:sz="0" w:space="0" w:color="auto"/>
        <w:right w:val="none" w:sz="0" w:space="0" w:color="auto"/>
      </w:divBdr>
    </w:div>
    <w:div w:id="657730834">
      <w:bodyDiv w:val="1"/>
      <w:marLeft w:val="0"/>
      <w:marRight w:val="0"/>
      <w:marTop w:val="0"/>
      <w:marBottom w:val="0"/>
      <w:divBdr>
        <w:top w:val="none" w:sz="0" w:space="0" w:color="auto"/>
        <w:left w:val="none" w:sz="0" w:space="0" w:color="auto"/>
        <w:bottom w:val="none" w:sz="0" w:space="0" w:color="auto"/>
        <w:right w:val="none" w:sz="0" w:space="0" w:color="auto"/>
      </w:divBdr>
    </w:div>
    <w:div w:id="658000181">
      <w:bodyDiv w:val="1"/>
      <w:marLeft w:val="0"/>
      <w:marRight w:val="0"/>
      <w:marTop w:val="0"/>
      <w:marBottom w:val="0"/>
      <w:divBdr>
        <w:top w:val="none" w:sz="0" w:space="0" w:color="auto"/>
        <w:left w:val="none" w:sz="0" w:space="0" w:color="auto"/>
        <w:bottom w:val="none" w:sz="0" w:space="0" w:color="auto"/>
        <w:right w:val="none" w:sz="0" w:space="0" w:color="auto"/>
      </w:divBdr>
    </w:div>
    <w:div w:id="658996722">
      <w:bodyDiv w:val="1"/>
      <w:marLeft w:val="0"/>
      <w:marRight w:val="0"/>
      <w:marTop w:val="0"/>
      <w:marBottom w:val="0"/>
      <w:divBdr>
        <w:top w:val="none" w:sz="0" w:space="0" w:color="auto"/>
        <w:left w:val="none" w:sz="0" w:space="0" w:color="auto"/>
        <w:bottom w:val="none" w:sz="0" w:space="0" w:color="auto"/>
        <w:right w:val="none" w:sz="0" w:space="0" w:color="auto"/>
      </w:divBdr>
    </w:div>
    <w:div w:id="659192959">
      <w:bodyDiv w:val="1"/>
      <w:marLeft w:val="0"/>
      <w:marRight w:val="0"/>
      <w:marTop w:val="0"/>
      <w:marBottom w:val="0"/>
      <w:divBdr>
        <w:top w:val="none" w:sz="0" w:space="0" w:color="auto"/>
        <w:left w:val="none" w:sz="0" w:space="0" w:color="auto"/>
        <w:bottom w:val="none" w:sz="0" w:space="0" w:color="auto"/>
        <w:right w:val="none" w:sz="0" w:space="0" w:color="auto"/>
      </w:divBdr>
    </w:div>
    <w:div w:id="661280721">
      <w:bodyDiv w:val="1"/>
      <w:marLeft w:val="0"/>
      <w:marRight w:val="0"/>
      <w:marTop w:val="0"/>
      <w:marBottom w:val="0"/>
      <w:divBdr>
        <w:top w:val="none" w:sz="0" w:space="0" w:color="auto"/>
        <w:left w:val="none" w:sz="0" w:space="0" w:color="auto"/>
        <w:bottom w:val="none" w:sz="0" w:space="0" w:color="auto"/>
        <w:right w:val="none" w:sz="0" w:space="0" w:color="auto"/>
      </w:divBdr>
    </w:div>
    <w:div w:id="662317731">
      <w:bodyDiv w:val="1"/>
      <w:marLeft w:val="0"/>
      <w:marRight w:val="0"/>
      <w:marTop w:val="0"/>
      <w:marBottom w:val="0"/>
      <w:divBdr>
        <w:top w:val="none" w:sz="0" w:space="0" w:color="auto"/>
        <w:left w:val="none" w:sz="0" w:space="0" w:color="auto"/>
        <w:bottom w:val="none" w:sz="0" w:space="0" w:color="auto"/>
        <w:right w:val="none" w:sz="0" w:space="0" w:color="auto"/>
      </w:divBdr>
    </w:div>
    <w:div w:id="663167606">
      <w:bodyDiv w:val="1"/>
      <w:marLeft w:val="0"/>
      <w:marRight w:val="0"/>
      <w:marTop w:val="0"/>
      <w:marBottom w:val="0"/>
      <w:divBdr>
        <w:top w:val="none" w:sz="0" w:space="0" w:color="auto"/>
        <w:left w:val="none" w:sz="0" w:space="0" w:color="auto"/>
        <w:bottom w:val="none" w:sz="0" w:space="0" w:color="auto"/>
        <w:right w:val="none" w:sz="0" w:space="0" w:color="auto"/>
      </w:divBdr>
    </w:div>
    <w:div w:id="666910131">
      <w:bodyDiv w:val="1"/>
      <w:marLeft w:val="0"/>
      <w:marRight w:val="0"/>
      <w:marTop w:val="0"/>
      <w:marBottom w:val="0"/>
      <w:divBdr>
        <w:top w:val="none" w:sz="0" w:space="0" w:color="auto"/>
        <w:left w:val="none" w:sz="0" w:space="0" w:color="auto"/>
        <w:bottom w:val="none" w:sz="0" w:space="0" w:color="auto"/>
        <w:right w:val="none" w:sz="0" w:space="0" w:color="auto"/>
      </w:divBdr>
    </w:div>
    <w:div w:id="667247681">
      <w:bodyDiv w:val="1"/>
      <w:marLeft w:val="0"/>
      <w:marRight w:val="0"/>
      <w:marTop w:val="0"/>
      <w:marBottom w:val="0"/>
      <w:divBdr>
        <w:top w:val="none" w:sz="0" w:space="0" w:color="auto"/>
        <w:left w:val="none" w:sz="0" w:space="0" w:color="auto"/>
        <w:bottom w:val="none" w:sz="0" w:space="0" w:color="auto"/>
        <w:right w:val="none" w:sz="0" w:space="0" w:color="auto"/>
      </w:divBdr>
    </w:div>
    <w:div w:id="667902195">
      <w:bodyDiv w:val="1"/>
      <w:marLeft w:val="0"/>
      <w:marRight w:val="0"/>
      <w:marTop w:val="0"/>
      <w:marBottom w:val="0"/>
      <w:divBdr>
        <w:top w:val="none" w:sz="0" w:space="0" w:color="auto"/>
        <w:left w:val="none" w:sz="0" w:space="0" w:color="auto"/>
        <w:bottom w:val="none" w:sz="0" w:space="0" w:color="auto"/>
        <w:right w:val="none" w:sz="0" w:space="0" w:color="auto"/>
      </w:divBdr>
    </w:div>
    <w:div w:id="669143658">
      <w:bodyDiv w:val="1"/>
      <w:marLeft w:val="0"/>
      <w:marRight w:val="0"/>
      <w:marTop w:val="0"/>
      <w:marBottom w:val="0"/>
      <w:divBdr>
        <w:top w:val="none" w:sz="0" w:space="0" w:color="auto"/>
        <w:left w:val="none" w:sz="0" w:space="0" w:color="auto"/>
        <w:bottom w:val="none" w:sz="0" w:space="0" w:color="auto"/>
        <w:right w:val="none" w:sz="0" w:space="0" w:color="auto"/>
      </w:divBdr>
    </w:div>
    <w:div w:id="669412740">
      <w:bodyDiv w:val="1"/>
      <w:marLeft w:val="0"/>
      <w:marRight w:val="0"/>
      <w:marTop w:val="0"/>
      <w:marBottom w:val="0"/>
      <w:divBdr>
        <w:top w:val="none" w:sz="0" w:space="0" w:color="auto"/>
        <w:left w:val="none" w:sz="0" w:space="0" w:color="auto"/>
        <w:bottom w:val="none" w:sz="0" w:space="0" w:color="auto"/>
        <w:right w:val="none" w:sz="0" w:space="0" w:color="auto"/>
      </w:divBdr>
    </w:div>
    <w:div w:id="669867285">
      <w:bodyDiv w:val="1"/>
      <w:marLeft w:val="0"/>
      <w:marRight w:val="0"/>
      <w:marTop w:val="0"/>
      <w:marBottom w:val="0"/>
      <w:divBdr>
        <w:top w:val="none" w:sz="0" w:space="0" w:color="auto"/>
        <w:left w:val="none" w:sz="0" w:space="0" w:color="auto"/>
        <w:bottom w:val="none" w:sz="0" w:space="0" w:color="auto"/>
        <w:right w:val="none" w:sz="0" w:space="0" w:color="auto"/>
      </w:divBdr>
    </w:div>
    <w:div w:id="670524952">
      <w:bodyDiv w:val="1"/>
      <w:marLeft w:val="0"/>
      <w:marRight w:val="0"/>
      <w:marTop w:val="0"/>
      <w:marBottom w:val="0"/>
      <w:divBdr>
        <w:top w:val="none" w:sz="0" w:space="0" w:color="auto"/>
        <w:left w:val="none" w:sz="0" w:space="0" w:color="auto"/>
        <w:bottom w:val="none" w:sz="0" w:space="0" w:color="auto"/>
        <w:right w:val="none" w:sz="0" w:space="0" w:color="auto"/>
      </w:divBdr>
    </w:div>
    <w:div w:id="670645027">
      <w:bodyDiv w:val="1"/>
      <w:marLeft w:val="0"/>
      <w:marRight w:val="0"/>
      <w:marTop w:val="0"/>
      <w:marBottom w:val="0"/>
      <w:divBdr>
        <w:top w:val="none" w:sz="0" w:space="0" w:color="auto"/>
        <w:left w:val="none" w:sz="0" w:space="0" w:color="auto"/>
        <w:bottom w:val="none" w:sz="0" w:space="0" w:color="auto"/>
        <w:right w:val="none" w:sz="0" w:space="0" w:color="auto"/>
      </w:divBdr>
    </w:div>
    <w:div w:id="670908992">
      <w:bodyDiv w:val="1"/>
      <w:marLeft w:val="0"/>
      <w:marRight w:val="0"/>
      <w:marTop w:val="0"/>
      <w:marBottom w:val="0"/>
      <w:divBdr>
        <w:top w:val="none" w:sz="0" w:space="0" w:color="auto"/>
        <w:left w:val="none" w:sz="0" w:space="0" w:color="auto"/>
        <w:bottom w:val="none" w:sz="0" w:space="0" w:color="auto"/>
        <w:right w:val="none" w:sz="0" w:space="0" w:color="auto"/>
      </w:divBdr>
    </w:div>
    <w:div w:id="671833851">
      <w:bodyDiv w:val="1"/>
      <w:marLeft w:val="0"/>
      <w:marRight w:val="0"/>
      <w:marTop w:val="0"/>
      <w:marBottom w:val="0"/>
      <w:divBdr>
        <w:top w:val="none" w:sz="0" w:space="0" w:color="auto"/>
        <w:left w:val="none" w:sz="0" w:space="0" w:color="auto"/>
        <w:bottom w:val="none" w:sz="0" w:space="0" w:color="auto"/>
        <w:right w:val="none" w:sz="0" w:space="0" w:color="auto"/>
      </w:divBdr>
    </w:div>
    <w:div w:id="672342319">
      <w:bodyDiv w:val="1"/>
      <w:marLeft w:val="0"/>
      <w:marRight w:val="0"/>
      <w:marTop w:val="0"/>
      <w:marBottom w:val="0"/>
      <w:divBdr>
        <w:top w:val="none" w:sz="0" w:space="0" w:color="auto"/>
        <w:left w:val="none" w:sz="0" w:space="0" w:color="auto"/>
        <w:bottom w:val="none" w:sz="0" w:space="0" w:color="auto"/>
        <w:right w:val="none" w:sz="0" w:space="0" w:color="auto"/>
      </w:divBdr>
    </w:div>
    <w:div w:id="672487175">
      <w:bodyDiv w:val="1"/>
      <w:marLeft w:val="0"/>
      <w:marRight w:val="0"/>
      <w:marTop w:val="0"/>
      <w:marBottom w:val="0"/>
      <w:divBdr>
        <w:top w:val="none" w:sz="0" w:space="0" w:color="auto"/>
        <w:left w:val="none" w:sz="0" w:space="0" w:color="auto"/>
        <w:bottom w:val="none" w:sz="0" w:space="0" w:color="auto"/>
        <w:right w:val="none" w:sz="0" w:space="0" w:color="auto"/>
      </w:divBdr>
    </w:div>
    <w:div w:id="672879857">
      <w:bodyDiv w:val="1"/>
      <w:marLeft w:val="0"/>
      <w:marRight w:val="0"/>
      <w:marTop w:val="0"/>
      <w:marBottom w:val="0"/>
      <w:divBdr>
        <w:top w:val="none" w:sz="0" w:space="0" w:color="auto"/>
        <w:left w:val="none" w:sz="0" w:space="0" w:color="auto"/>
        <w:bottom w:val="none" w:sz="0" w:space="0" w:color="auto"/>
        <w:right w:val="none" w:sz="0" w:space="0" w:color="auto"/>
      </w:divBdr>
    </w:div>
    <w:div w:id="673727083">
      <w:bodyDiv w:val="1"/>
      <w:marLeft w:val="0"/>
      <w:marRight w:val="0"/>
      <w:marTop w:val="0"/>
      <w:marBottom w:val="0"/>
      <w:divBdr>
        <w:top w:val="none" w:sz="0" w:space="0" w:color="auto"/>
        <w:left w:val="none" w:sz="0" w:space="0" w:color="auto"/>
        <w:bottom w:val="none" w:sz="0" w:space="0" w:color="auto"/>
        <w:right w:val="none" w:sz="0" w:space="0" w:color="auto"/>
      </w:divBdr>
    </w:div>
    <w:div w:id="674499254">
      <w:bodyDiv w:val="1"/>
      <w:marLeft w:val="0"/>
      <w:marRight w:val="0"/>
      <w:marTop w:val="0"/>
      <w:marBottom w:val="0"/>
      <w:divBdr>
        <w:top w:val="none" w:sz="0" w:space="0" w:color="auto"/>
        <w:left w:val="none" w:sz="0" w:space="0" w:color="auto"/>
        <w:bottom w:val="none" w:sz="0" w:space="0" w:color="auto"/>
        <w:right w:val="none" w:sz="0" w:space="0" w:color="auto"/>
      </w:divBdr>
    </w:div>
    <w:div w:id="675767975">
      <w:bodyDiv w:val="1"/>
      <w:marLeft w:val="0"/>
      <w:marRight w:val="0"/>
      <w:marTop w:val="0"/>
      <w:marBottom w:val="0"/>
      <w:divBdr>
        <w:top w:val="none" w:sz="0" w:space="0" w:color="auto"/>
        <w:left w:val="none" w:sz="0" w:space="0" w:color="auto"/>
        <w:bottom w:val="none" w:sz="0" w:space="0" w:color="auto"/>
        <w:right w:val="none" w:sz="0" w:space="0" w:color="auto"/>
      </w:divBdr>
    </w:div>
    <w:div w:id="676155528">
      <w:bodyDiv w:val="1"/>
      <w:marLeft w:val="0"/>
      <w:marRight w:val="0"/>
      <w:marTop w:val="0"/>
      <w:marBottom w:val="0"/>
      <w:divBdr>
        <w:top w:val="none" w:sz="0" w:space="0" w:color="auto"/>
        <w:left w:val="none" w:sz="0" w:space="0" w:color="auto"/>
        <w:bottom w:val="none" w:sz="0" w:space="0" w:color="auto"/>
        <w:right w:val="none" w:sz="0" w:space="0" w:color="auto"/>
      </w:divBdr>
    </w:div>
    <w:div w:id="676467260">
      <w:bodyDiv w:val="1"/>
      <w:marLeft w:val="0"/>
      <w:marRight w:val="0"/>
      <w:marTop w:val="0"/>
      <w:marBottom w:val="0"/>
      <w:divBdr>
        <w:top w:val="none" w:sz="0" w:space="0" w:color="auto"/>
        <w:left w:val="none" w:sz="0" w:space="0" w:color="auto"/>
        <w:bottom w:val="none" w:sz="0" w:space="0" w:color="auto"/>
        <w:right w:val="none" w:sz="0" w:space="0" w:color="auto"/>
      </w:divBdr>
    </w:div>
    <w:div w:id="676614162">
      <w:bodyDiv w:val="1"/>
      <w:marLeft w:val="0"/>
      <w:marRight w:val="0"/>
      <w:marTop w:val="0"/>
      <w:marBottom w:val="0"/>
      <w:divBdr>
        <w:top w:val="none" w:sz="0" w:space="0" w:color="auto"/>
        <w:left w:val="none" w:sz="0" w:space="0" w:color="auto"/>
        <w:bottom w:val="none" w:sz="0" w:space="0" w:color="auto"/>
        <w:right w:val="none" w:sz="0" w:space="0" w:color="auto"/>
      </w:divBdr>
    </w:div>
    <w:div w:id="677148837">
      <w:bodyDiv w:val="1"/>
      <w:marLeft w:val="0"/>
      <w:marRight w:val="0"/>
      <w:marTop w:val="0"/>
      <w:marBottom w:val="0"/>
      <w:divBdr>
        <w:top w:val="none" w:sz="0" w:space="0" w:color="auto"/>
        <w:left w:val="none" w:sz="0" w:space="0" w:color="auto"/>
        <w:bottom w:val="none" w:sz="0" w:space="0" w:color="auto"/>
        <w:right w:val="none" w:sz="0" w:space="0" w:color="auto"/>
      </w:divBdr>
    </w:div>
    <w:div w:id="677270831">
      <w:bodyDiv w:val="1"/>
      <w:marLeft w:val="0"/>
      <w:marRight w:val="0"/>
      <w:marTop w:val="0"/>
      <w:marBottom w:val="0"/>
      <w:divBdr>
        <w:top w:val="none" w:sz="0" w:space="0" w:color="auto"/>
        <w:left w:val="none" w:sz="0" w:space="0" w:color="auto"/>
        <w:bottom w:val="none" w:sz="0" w:space="0" w:color="auto"/>
        <w:right w:val="none" w:sz="0" w:space="0" w:color="auto"/>
      </w:divBdr>
    </w:div>
    <w:div w:id="678047344">
      <w:bodyDiv w:val="1"/>
      <w:marLeft w:val="0"/>
      <w:marRight w:val="0"/>
      <w:marTop w:val="0"/>
      <w:marBottom w:val="0"/>
      <w:divBdr>
        <w:top w:val="none" w:sz="0" w:space="0" w:color="auto"/>
        <w:left w:val="none" w:sz="0" w:space="0" w:color="auto"/>
        <w:bottom w:val="none" w:sz="0" w:space="0" w:color="auto"/>
        <w:right w:val="none" w:sz="0" w:space="0" w:color="auto"/>
      </w:divBdr>
    </w:div>
    <w:div w:id="678194977">
      <w:bodyDiv w:val="1"/>
      <w:marLeft w:val="0"/>
      <w:marRight w:val="0"/>
      <w:marTop w:val="0"/>
      <w:marBottom w:val="0"/>
      <w:divBdr>
        <w:top w:val="none" w:sz="0" w:space="0" w:color="auto"/>
        <w:left w:val="none" w:sz="0" w:space="0" w:color="auto"/>
        <w:bottom w:val="none" w:sz="0" w:space="0" w:color="auto"/>
        <w:right w:val="none" w:sz="0" w:space="0" w:color="auto"/>
      </w:divBdr>
    </w:div>
    <w:div w:id="678433841">
      <w:bodyDiv w:val="1"/>
      <w:marLeft w:val="0"/>
      <w:marRight w:val="0"/>
      <w:marTop w:val="0"/>
      <w:marBottom w:val="0"/>
      <w:divBdr>
        <w:top w:val="none" w:sz="0" w:space="0" w:color="auto"/>
        <w:left w:val="none" w:sz="0" w:space="0" w:color="auto"/>
        <w:bottom w:val="none" w:sz="0" w:space="0" w:color="auto"/>
        <w:right w:val="none" w:sz="0" w:space="0" w:color="auto"/>
      </w:divBdr>
    </w:div>
    <w:div w:id="678581237">
      <w:bodyDiv w:val="1"/>
      <w:marLeft w:val="0"/>
      <w:marRight w:val="0"/>
      <w:marTop w:val="0"/>
      <w:marBottom w:val="0"/>
      <w:divBdr>
        <w:top w:val="none" w:sz="0" w:space="0" w:color="auto"/>
        <w:left w:val="none" w:sz="0" w:space="0" w:color="auto"/>
        <w:bottom w:val="none" w:sz="0" w:space="0" w:color="auto"/>
        <w:right w:val="none" w:sz="0" w:space="0" w:color="auto"/>
      </w:divBdr>
    </w:div>
    <w:div w:id="679429914">
      <w:bodyDiv w:val="1"/>
      <w:marLeft w:val="0"/>
      <w:marRight w:val="0"/>
      <w:marTop w:val="0"/>
      <w:marBottom w:val="0"/>
      <w:divBdr>
        <w:top w:val="none" w:sz="0" w:space="0" w:color="auto"/>
        <w:left w:val="none" w:sz="0" w:space="0" w:color="auto"/>
        <w:bottom w:val="none" w:sz="0" w:space="0" w:color="auto"/>
        <w:right w:val="none" w:sz="0" w:space="0" w:color="auto"/>
      </w:divBdr>
    </w:div>
    <w:div w:id="679968017">
      <w:bodyDiv w:val="1"/>
      <w:marLeft w:val="0"/>
      <w:marRight w:val="0"/>
      <w:marTop w:val="0"/>
      <w:marBottom w:val="0"/>
      <w:divBdr>
        <w:top w:val="none" w:sz="0" w:space="0" w:color="auto"/>
        <w:left w:val="none" w:sz="0" w:space="0" w:color="auto"/>
        <w:bottom w:val="none" w:sz="0" w:space="0" w:color="auto"/>
        <w:right w:val="none" w:sz="0" w:space="0" w:color="auto"/>
      </w:divBdr>
    </w:div>
    <w:div w:id="680015173">
      <w:bodyDiv w:val="1"/>
      <w:marLeft w:val="0"/>
      <w:marRight w:val="0"/>
      <w:marTop w:val="0"/>
      <w:marBottom w:val="0"/>
      <w:divBdr>
        <w:top w:val="none" w:sz="0" w:space="0" w:color="auto"/>
        <w:left w:val="none" w:sz="0" w:space="0" w:color="auto"/>
        <w:bottom w:val="none" w:sz="0" w:space="0" w:color="auto"/>
        <w:right w:val="none" w:sz="0" w:space="0" w:color="auto"/>
      </w:divBdr>
    </w:div>
    <w:div w:id="680855340">
      <w:bodyDiv w:val="1"/>
      <w:marLeft w:val="0"/>
      <w:marRight w:val="0"/>
      <w:marTop w:val="0"/>
      <w:marBottom w:val="0"/>
      <w:divBdr>
        <w:top w:val="none" w:sz="0" w:space="0" w:color="auto"/>
        <w:left w:val="none" w:sz="0" w:space="0" w:color="auto"/>
        <w:bottom w:val="none" w:sz="0" w:space="0" w:color="auto"/>
        <w:right w:val="none" w:sz="0" w:space="0" w:color="auto"/>
      </w:divBdr>
    </w:div>
    <w:div w:id="680931971">
      <w:bodyDiv w:val="1"/>
      <w:marLeft w:val="0"/>
      <w:marRight w:val="0"/>
      <w:marTop w:val="0"/>
      <w:marBottom w:val="0"/>
      <w:divBdr>
        <w:top w:val="none" w:sz="0" w:space="0" w:color="auto"/>
        <w:left w:val="none" w:sz="0" w:space="0" w:color="auto"/>
        <w:bottom w:val="none" w:sz="0" w:space="0" w:color="auto"/>
        <w:right w:val="none" w:sz="0" w:space="0" w:color="auto"/>
      </w:divBdr>
    </w:div>
    <w:div w:id="682441338">
      <w:bodyDiv w:val="1"/>
      <w:marLeft w:val="0"/>
      <w:marRight w:val="0"/>
      <w:marTop w:val="0"/>
      <w:marBottom w:val="0"/>
      <w:divBdr>
        <w:top w:val="none" w:sz="0" w:space="0" w:color="auto"/>
        <w:left w:val="none" w:sz="0" w:space="0" w:color="auto"/>
        <w:bottom w:val="none" w:sz="0" w:space="0" w:color="auto"/>
        <w:right w:val="none" w:sz="0" w:space="0" w:color="auto"/>
      </w:divBdr>
    </w:div>
    <w:div w:id="683171920">
      <w:bodyDiv w:val="1"/>
      <w:marLeft w:val="0"/>
      <w:marRight w:val="0"/>
      <w:marTop w:val="0"/>
      <w:marBottom w:val="0"/>
      <w:divBdr>
        <w:top w:val="none" w:sz="0" w:space="0" w:color="auto"/>
        <w:left w:val="none" w:sz="0" w:space="0" w:color="auto"/>
        <w:bottom w:val="none" w:sz="0" w:space="0" w:color="auto"/>
        <w:right w:val="none" w:sz="0" w:space="0" w:color="auto"/>
      </w:divBdr>
    </w:div>
    <w:div w:id="685407668">
      <w:bodyDiv w:val="1"/>
      <w:marLeft w:val="0"/>
      <w:marRight w:val="0"/>
      <w:marTop w:val="0"/>
      <w:marBottom w:val="0"/>
      <w:divBdr>
        <w:top w:val="none" w:sz="0" w:space="0" w:color="auto"/>
        <w:left w:val="none" w:sz="0" w:space="0" w:color="auto"/>
        <w:bottom w:val="none" w:sz="0" w:space="0" w:color="auto"/>
        <w:right w:val="none" w:sz="0" w:space="0" w:color="auto"/>
      </w:divBdr>
    </w:div>
    <w:div w:id="685445803">
      <w:bodyDiv w:val="1"/>
      <w:marLeft w:val="0"/>
      <w:marRight w:val="0"/>
      <w:marTop w:val="0"/>
      <w:marBottom w:val="0"/>
      <w:divBdr>
        <w:top w:val="none" w:sz="0" w:space="0" w:color="auto"/>
        <w:left w:val="none" w:sz="0" w:space="0" w:color="auto"/>
        <w:bottom w:val="none" w:sz="0" w:space="0" w:color="auto"/>
        <w:right w:val="none" w:sz="0" w:space="0" w:color="auto"/>
      </w:divBdr>
    </w:div>
    <w:div w:id="685979058">
      <w:bodyDiv w:val="1"/>
      <w:marLeft w:val="0"/>
      <w:marRight w:val="0"/>
      <w:marTop w:val="0"/>
      <w:marBottom w:val="0"/>
      <w:divBdr>
        <w:top w:val="none" w:sz="0" w:space="0" w:color="auto"/>
        <w:left w:val="none" w:sz="0" w:space="0" w:color="auto"/>
        <w:bottom w:val="none" w:sz="0" w:space="0" w:color="auto"/>
        <w:right w:val="none" w:sz="0" w:space="0" w:color="auto"/>
      </w:divBdr>
    </w:div>
    <w:div w:id="688333364">
      <w:bodyDiv w:val="1"/>
      <w:marLeft w:val="0"/>
      <w:marRight w:val="0"/>
      <w:marTop w:val="0"/>
      <w:marBottom w:val="0"/>
      <w:divBdr>
        <w:top w:val="none" w:sz="0" w:space="0" w:color="auto"/>
        <w:left w:val="none" w:sz="0" w:space="0" w:color="auto"/>
        <w:bottom w:val="none" w:sz="0" w:space="0" w:color="auto"/>
        <w:right w:val="none" w:sz="0" w:space="0" w:color="auto"/>
      </w:divBdr>
    </w:div>
    <w:div w:id="690447597">
      <w:bodyDiv w:val="1"/>
      <w:marLeft w:val="0"/>
      <w:marRight w:val="0"/>
      <w:marTop w:val="0"/>
      <w:marBottom w:val="0"/>
      <w:divBdr>
        <w:top w:val="none" w:sz="0" w:space="0" w:color="auto"/>
        <w:left w:val="none" w:sz="0" w:space="0" w:color="auto"/>
        <w:bottom w:val="none" w:sz="0" w:space="0" w:color="auto"/>
        <w:right w:val="none" w:sz="0" w:space="0" w:color="auto"/>
      </w:divBdr>
    </w:div>
    <w:div w:id="695468163">
      <w:bodyDiv w:val="1"/>
      <w:marLeft w:val="0"/>
      <w:marRight w:val="0"/>
      <w:marTop w:val="0"/>
      <w:marBottom w:val="0"/>
      <w:divBdr>
        <w:top w:val="none" w:sz="0" w:space="0" w:color="auto"/>
        <w:left w:val="none" w:sz="0" w:space="0" w:color="auto"/>
        <w:bottom w:val="none" w:sz="0" w:space="0" w:color="auto"/>
        <w:right w:val="none" w:sz="0" w:space="0" w:color="auto"/>
      </w:divBdr>
    </w:div>
    <w:div w:id="695621990">
      <w:bodyDiv w:val="1"/>
      <w:marLeft w:val="0"/>
      <w:marRight w:val="0"/>
      <w:marTop w:val="0"/>
      <w:marBottom w:val="0"/>
      <w:divBdr>
        <w:top w:val="none" w:sz="0" w:space="0" w:color="auto"/>
        <w:left w:val="none" w:sz="0" w:space="0" w:color="auto"/>
        <w:bottom w:val="none" w:sz="0" w:space="0" w:color="auto"/>
        <w:right w:val="none" w:sz="0" w:space="0" w:color="auto"/>
      </w:divBdr>
    </w:div>
    <w:div w:id="695664870">
      <w:bodyDiv w:val="1"/>
      <w:marLeft w:val="0"/>
      <w:marRight w:val="0"/>
      <w:marTop w:val="0"/>
      <w:marBottom w:val="0"/>
      <w:divBdr>
        <w:top w:val="none" w:sz="0" w:space="0" w:color="auto"/>
        <w:left w:val="none" w:sz="0" w:space="0" w:color="auto"/>
        <w:bottom w:val="none" w:sz="0" w:space="0" w:color="auto"/>
        <w:right w:val="none" w:sz="0" w:space="0" w:color="auto"/>
      </w:divBdr>
    </w:div>
    <w:div w:id="696665502">
      <w:bodyDiv w:val="1"/>
      <w:marLeft w:val="0"/>
      <w:marRight w:val="0"/>
      <w:marTop w:val="0"/>
      <w:marBottom w:val="0"/>
      <w:divBdr>
        <w:top w:val="none" w:sz="0" w:space="0" w:color="auto"/>
        <w:left w:val="none" w:sz="0" w:space="0" w:color="auto"/>
        <w:bottom w:val="none" w:sz="0" w:space="0" w:color="auto"/>
        <w:right w:val="none" w:sz="0" w:space="0" w:color="auto"/>
      </w:divBdr>
    </w:div>
    <w:div w:id="697127813">
      <w:bodyDiv w:val="1"/>
      <w:marLeft w:val="0"/>
      <w:marRight w:val="0"/>
      <w:marTop w:val="0"/>
      <w:marBottom w:val="0"/>
      <w:divBdr>
        <w:top w:val="none" w:sz="0" w:space="0" w:color="auto"/>
        <w:left w:val="none" w:sz="0" w:space="0" w:color="auto"/>
        <w:bottom w:val="none" w:sz="0" w:space="0" w:color="auto"/>
        <w:right w:val="none" w:sz="0" w:space="0" w:color="auto"/>
      </w:divBdr>
    </w:div>
    <w:div w:id="697657534">
      <w:bodyDiv w:val="1"/>
      <w:marLeft w:val="0"/>
      <w:marRight w:val="0"/>
      <w:marTop w:val="0"/>
      <w:marBottom w:val="0"/>
      <w:divBdr>
        <w:top w:val="none" w:sz="0" w:space="0" w:color="auto"/>
        <w:left w:val="none" w:sz="0" w:space="0" w:color="auto"/>
        <w:bottom w:val="none" w:sz="0" w:space="0" w:color="auto"/>
        <w:right w:val="none" w:sz="0" w:space="0" w:color="auto"/>
      </w:divBdr>
    </w:div>
    <w:div w:id="698046858">
      <w:bodyDiv w:val="1"/>
      <w:marLeft w:val="0"/>
      <w:marRight w:val="0"/>
      <w:marTop w:val="0"/>
      <w:marBottom w:val="0"/>
      <w:divBdr>
        <w:top w:val="none" w:sz="0" w:space="0" w:color="auto"/>
        <w:left w:val="none" w:sz="0" w:space="0" w:color="auto"/>
        <w:bottom w:val="none" w:sz="0" w:space="0" w:color="auto"/>
        <w:right w:val="none" w:sz="0" w:space="0" w:color="auto"/>
      </w:divBdr>
    </w:div>
    <w:div w:id="698554047">
      <w:bodyDiv w:val="1"/>
      <w:marLeft w:val="0"/>
      <w:marRight w:val="0"/>
      <w:marTop w:val="0"/>
      <w:marBottom w:val="0"/>
      <w:divBdr>
        <w:top w:val="none" w:sz="0" w:space="0" w:color="auto"/>
        <w:left w:val="none" w:sz="0" w:space="0" w:color="auto"/>
        <w:bottom w:val="none" w:sz="0" w:space="0" w:color="auto"/>
        <w:right w:val="none" w:sz="0" w:space="0" w:color="auto"/>
      </w:divBdr>
    </w:div>
    <w:div w:id="698701273">
      <w:bodyDiv w:val="1"/>
      <w:marLeft w:val="0"/>
      <w:marRight w:val="0"/>
      <w:marTop w:val="0"/>
      <w:marBottom w:val="0"/>
      <w:divBdr>
        <w:top w:val="none" w:sz="0" w:space="0" w:color="auto"/>
        <w:left w:val="none" w:sz="0" w:space="0" w:color="auto"/>
        <w:bottom w:val="none" w:sz="0" w:space="0" w:color="auto"/>
        <w:right w:val="none" w:sz="0" w:space="0" w:color="auto"/>
      </w:divBdr>
    </w:div>
    <w:div w:id="698748197">
      <w:bodyDiv w:val="1"/>
      <w:marLeft w:val="0"/>
      <w:marRight w:val="0"/>
      <w:marTop w:val="0"/>
      <w:marBottom w:val="0"/>
      <w:divBdr>
        <w:top w:val="none" w:sz="0" w:space="0" w:color="auto"/>
        <w:left w:val="none" w:sz="0" w:space="0" w:color="auto"/>
        <w:bottom w:val="none" w:sz="0" w:space="0" w:color="auto"/>
        <w:right w:val="none" w:sz="0" w:space="0" w:color="auto"/>
      </w:divBdr>
    </w:div>
    <w:div w:id="699361676">
      <w:bodyDiv w:val="1"/>
      <w:marLeft w:val="0"/>
      <w:marRight w:val="0"/>
      <w:marTop w:val="0"/>
      <w:marBottom w:val="0"/>
      <w:divBdr>
        <w:top w:val="none" w:sz="0" w:space="0" w:color="auto"/>
        <w:left w:val="none" w:sz="0" w:space="0" w:color="auto"/>
        <w:bottom w:val="none" w:sz="0" w:space="0" w:color="auto"/>
        <w:right w:val="none" w:sz="0" w:space="0" w:color="auto"/>
      </w:divBdr>
    </w:div>
    <w:div w:id="699471002">
      <w:bodyDiv w:val="1"/>
      <w:marLeft w:val="0"/>
      <w:marRight w:val="0"/>
      <w:marTop w:val="0"/>
      <w:marBottom w:val="0"/>
      <w:divBdr>
        <w:top w:val="none" w:sz="0" w:space="0" w:color="auto"/>
        <w:left w:val="none" w:sz="0" w:space="0" w:color="auto"/>
        <w:bottom w:val="none" w:sz="0" w:space="0" w:color="auto"/>
        <w:right w:val="none" w:sz="0" w:space="0" w:color="auto"/>
      </w:divBdr>
    </w:div>
    <w:div w:id="700862611">
      <w:bodyDiv w:val="1"/>
      <w:marLeft w:val="0"/>
      <w:marRight w:val="0"/>
      <w:marTop w:val="0"/>
      <w:marBottom w:val="0"/>
      <w:divBdr>
        <w:top w:val="none" w:sz="0" w:space="0" w:color="auto"/>
        <w:left w:val="none" w:sz="0" w:space="0" w:color="auto"/>
        <w:bottom w:val="none" w:sz="0" w:space="0" w:color="auto"/>
        <w:right w:val="none" w:sz="0" w:space="0" w:color="auto"/>
      </w:divBdr>
    </w:div>
    <w:div w:id="701058963">
      <w:bodyDiv w:val="1"/>
      <w:marLeft w:val="0"/>
      <w:marRight w:val="0"/>
      <w:marTop w:val="0"/>
      <w:marBottom w:val="0"/>
      <w:divBdr>
        <w:top w:val="none" w:sz="0" w:space="0" w:color="auto"/>
        <w:left w:val="none" w:sz="0" w:space="0" w:color="auto"/>
        <w:bottom w:val="none" w:sz="0" w:space="0" w:color="auto"/>
        <w:right w:val="none" w:sz="0" w:space="0" w:color="auto"/>
      </w:divBdr>
    </w:div>
    <w:div w:id="701979923">
      <w:bodyDiv w:val="1"/>
      <w:marLeft w:val="0"/>
      <w:marRight w:val="0"/>
      <w:marTop w:val="0"/>
      <w:marBottom w:val="0"/>
      <w:divBdr>
        <w:top w:val="none" w:sz="0" w:space="0" w:color="auto"/>
        <w:left w:val="none" w:sz="0" w:space="0" w:color="auto"/>
        <w:bottom w:val="none" w:sz="0" w:space="0" w:color="auto"/>
        <w:right w:val="none" w:sz="0" w:space="0" w:color="auto"/>
      </w:divBdr>
    </w:div>
    <w:div w:id="704674246">
      <w:bodyDiv w:val="1"/>
      <w:marLeft w:val="0"/>
      <w:marRight w:val="0"/>
      <w:marTop w:val="0"/>
      <w:marBottom w:val="0"/>
      <w:divBdr>
        <w:top w:val="none" w:sz="0" w:space="0" w:color="auto"/>
        <w:left w:val="none" w:sz="0" w:space="0" w:color="auto"/>
        <w:bottom w:val="none" w:sz="0" w:space="0" w:color="auto"/>
        <w:right w:val="none" w:sz="0" w:space="0" w:color="auto"/>
      </w:divBdr>
    </w:div>
    <w:div w:id="705184326">
      <w:bodyDiv w:val="1"/>
      <w:marLeft w:val="0"/>
      <w:marRight w:val="0"/>
      <w:marTop w:val="0"/>
      <w:marBottom w:val="0"/>
      <w:divBdr>
        <w:top w:val="none" w:sz="0" w:space="0" w:color="auto"/>
        <w:left w:val="none" w:sz="0" w:space="0" w:color="auto"/>
        <w:bottom w:val="none" w:sz="0" w:space="0" w:color="auto"/>
        <w:right w:val="none" w:sz="0" w:space="0" w:color="auto"/>
      </w:divBdr>
    </w:div>
    <w:div w:id="705372909">
      <w:bodyDiv w:val="1"/>
      <w:marLeft w:val="0"/>
      <w:marRight w:val="0"/>
      <w:marTop w:val="0"/>
      <w:marBottom w:val="0"/>
      <w:divBdr>
        <w:top w:val="none" w:sz="0" w:space="0" w:color="auto"/>
        <w:left w:val="none" w:sz="0" w:space="0" w:color="auto"/>
        <w:bottom w:val="none" w:sz="0" w:space="0" w:color="auto"/>
        <w:right w:val="none" w:sz="0" w:space="0" w:color="auto"/>
      </w:divBdr>
    </w:div>
    <w:div w:id="705376074">
      <w:bodyDiv w:val="1"/>
      <w:marLeft w:val="0"/>
      <w:marRight w:val="0"/>
      <w:marTop w:val="0"/>
      <w:marBottom w:val="0"/>
      <w:divBdr>
        <w:top w:val="none" w:sz="0" w:space="0" w:color="auto"/>
        <w:left w:val="none" w:sz="0" w:space="0" w:color="auto"/>
        <w:bottom w:val="none" w:sz="0" w:space="0" w:color="auto"/>
        <w:right w:val="none" w:sz="0" w:space="0" w:color="auto"/>
      </w:divBdr>
    </w:div>
    <w:div w:id="706032127">
      <w:bodyDiv w:val="1"/>
      <w:marLeft w:val="0"/>
      <w:marRight w:val="0"/>
      <w:marTop w:val="0"/>
      <w:marBottom w:val="0"/>
      <w:divBdr>
        <w:top w:val="none" w:sz="0" w:space="0" w:color="auto"/>
        <w:left w:val="none" w:sz="0" w:space="0" w:color="auto"/>
        <w:bottom w:val="none" w:sz="0" w:space="0" w:color="auto"/>
        <w:right w:val="none" w:sz="0" w:space="0" w:color="auto"/>
      </w:divBdr>
    </w:div>
    <w:div w:id="707871867">
      <w:bodyDiv w:val="1"/>
      <w:marLeft w:val="0"/>
      <w:marRight w:val="0"/>
      <w:marTop w:val="0"/>
      <w:marBottom w:val="0"/>
      <w:divBdr>
        <w:top w:val="none" w:sz="0" w:space="0" w:color="auto"/>
        <w:left w:val="none" w:sz="0" w:space="0" w:color="auto"/>
        <w:bottom w:val="none" w:sz="0" w:space="0" w:color="auto"/>
        <w:right w:val="none" w:sz="0" w:space="0" w:color="auto"/>
      </w:divBdr>
    </w:div>
    <w:div w:id="707951357">
      <w:bodyDiv w:val="1"/>
      <w:marLeft w:val="0"/>
      <w:marRight w:val="0"/>
      <w:marTop w:val="0"/>
      <w:marBottom w:val="0"/>
      <w:divBdr>
        <w:top w:val="none" w:sz="0" w:space="0" w:color="auto"/>
        <w:left w:val="none" w:sz="0" w:space="0" w:color="auto"/>
        <w:bottom w:val="none" w:sz="0" w:space="0" w:color="auto"/>
        <w:right w:val="none" w:sz="0" w:space="0" w:color="auto"/>
      </w:divBdr>
    </w:div>
    <w:div w:id="708147061">
      <w:bodyDiv w:val="1"/>
      <w:marLeft w:val="0"/>
      <w:marRight w:val="0"/>
      <w:marTop w:val="0"/>
      <w:marBottom w:val="0"/>
      <w:divBdr>
        <w:top w:val="none" w:sz="0" w:space="0" w:color="auto"/>
        <w:left w:val="none" w:sz="0" w:space="0" w:color="auto"/>
        <w:bottom w:val="none" w:sz="0" w:space="0" w:color="auto"/>
        <w:right w:val="none" w:sz="0" w:space="0" w:color="auto"/>
      </w:divBdr>
    </w:div>
    <w:div w:id="708529619">
      <w:bodyDiv w:val="1"/>
      <w:marLeft w:val="0"/>
      <w:marRight w:val="0"/>
      <w:marTop w:val="0"/>
      <w:marBottom w:val="0"/>
      <w:divBdr>
        <w:top w:val="none" w:sz="0" w:space="0" w:color="auto"/>
        <w:left w:val="none" w:sz="0" w:space="0" w:color="auto"/>
        <w:bottom w:val="none" w:sz="0" w:space="0" w:color="auto"/>
        <w:right w:val="none" w:sz="0" w:space="0" w:color="auto"/>
      </w:divBdr>
    </w:div>
    <w:div w:id="709381856">
      <w:bodyDiv w:val="1"/>
      <w:marLeft w:val="0"/>
      <w:marRight w:val="0"/>
      <w:marTop w:val="0"/>
      <w:marBottom w:val="0"/>
      <w:divBdr>
        <w:top w:val="none" w:sz="0" w:space="0" w:color="auto"/>
        <w:left w:val="none" w:sz="0" w:space="0" w:color="auto"/>
        <w:bottom w:val="none" w:sz="0" w:space="0" w:color="auto"/>
        <w:right w:val="none" w:sz="0" w:space="0" w:color="auto"/>
      </w:divBdr>
    </w:div>
    <w:div w:id="710154498">
      <w:bodyDiv w:val="1"/>
      <w:marLeft w:val="0"/>
      <w:marRight w:val="0"/>
      <w:marTop w:val="0"/>
      <w:marBottom w:val="0"/>
      <w:divBdr>
        <w:top w:val="none" w:sz="0" w:space="0" w:color="auto"/>
        <w:left w:val="none" w:sz="0" w:space="0" w:color="auto"/>
        <w:bottom w:val="none" w:sz="0" w:space="0" w:color="auto"/>
        <w:right w:val="none" w:sz="0" w:space="0" w:color="auto"/>
      </w:divBdr>
    </w:div>
    <w:div w:id="712269911">
      <w:bodyDiv w:val="1"/>
      <w:marLeft w:val="0"/>
      <w:marRight w:val="0"/>
      <w:marTop w:val="0"/>
      <w:marBottom w:val="0"/>
      <w:divBdr>
        <w:top w:val="none" w:sz="0" w:space="0" w:color="auto"/>
        <w:left w:val="none" w:sz="0" w:space="0" w:color="auto"/>
        <w:bottom w:val="none" w:sz="0" w:space="0" w:color="auto"/>
        <w:right w:val="none" w:sz="0" w:space="0" w:color="auto"/>
      </w:divBdr>
    </w:div>
    <w:div w:id="714473823">
      <w:bodyDiv w:val="1"/>
      <w:marLeft w:val="0"/>
      <w:marRight w:val="0"/>
      <w:marTop w:val="0"/>
      <w:marBottom w:val="0"/>
      <w:divBdr>
        <w:top w:val="none" w:sz="0" w:space="0" w:color="auto"/>
        <w:left w:val="none" w:sz="0" w:space="0" w:color="auto"/>
        <w:bottom w:val="none" w:sz="0" w:space="0" w:color="auto"/>
        <w:right w:val="none" w:sz="0" w:space="0" w:color="auto"/>
      </w:divBdr>
    </w:div>
    <w:div w:id="714505348">
      <w:bodyDiv w:val="1"/>
      <w:marLeft w:val="0"/>
      <w:marRight w:val="0"/>
      <w:marTop w:val="0"/>
      <w:marBottom w:val="0"/>
      <w:divBdr>
        <w:top w:val="none" w:sz="0" w:space="0" w:color="auto"/>
        <w:left w:val="none" w:sz="0" w:space="0" w:color="auto"/>
        <w:bottom w:val="none" w:sz="0" w:space="0" w:color="auto"/>
        <w:right w:val="none" w:sz="0" w:space="0" w:color="auto"/>
      </w:divBdr>
    </w:div>
    <w:div w:id="715130092">
      <w:bodyDiv w:val="1"/>
      <w:marLeft w:val="0"/>
      <w:marRight w:val="0"/>
      <w:marTop w:val="0"/>
      <w:marBottom w:val="0"/>
      <w:divBdr>
        <w:top w:val="none" w:sz="0" w:space="0" w:color="auto"/>
        <w:left w:val="none" w:sz="0" w:space="0" w:color="auto"/>
        <w:bottom w:val="none" w:sz="0" w:space="0" w:color="auto"/>
        <w:right w:val="none" w:sz="0" w:space="0" w:color="auto"/>
      </w:divBdr>
    </w:div>
    <w:div w:id="715200027">
      <w:bodyDiv w:val="1"/>
      <w:marLeft w:val="0"/>
      <w:marRight w:val="0"/>
      <w:marTop w:val="0"/>
      <w:marBottom w:val="0"/>
      <w:divBdr>
        <w:top w:val="none" w:sz="0" w:space="0" w:color="auto"/>
        <w:left w:val="none" w:sz="0" w:space="0" w:color="auto"/>
        <w:bottom w:val="none" w:sz="0" w:space="0" w:color="auto"/>
        <w:right w:val="none" w:sz="0" w:space="0" w:color="auto"/>
      </w:divBdr>
    </w:div>
    <w:div w:id="716243693">
      <w:bodyDiv w:val="1"/>
      <w:marLeft w:val="0"/>
      <w:marRight w:val="0"/>
      <w:marTop w:val="0"/>
      <w:marBottom w:val="0"/>
      <w:divBdr>
        <w:top w:val="none" w:sz="0" w:space="0" w:color="auto"/>
        <w:left w:val="none" w:sz="0" w:space="0" w:color="auto"/>
        <w:bottom w:val="none" w:sz="0" w:space="0" w:color="auto"/>
        <w:right w:val="none" w:sz="0" w:space="0" w:color="auto"/>
      </w:divBdr>
    </w:div>
    <w:div w:id="716584226">
      <w:bodyDiv w:val="1"/>
      <w:marLeft w:val="0"/>
      <w:marRight w:val="0"/>
      <w:marTop w:val="0"/>
      <w:marBottom w:val="0"/>
      <w:divBdr>
        <w:top w:val="none" w:sz="0" w:space="0" w:color="auto"/>
        <w:left w:val="none" w:sz="0" w:space="0" w:color="auto"/>
        <w:bottom w:val="none" w:sz="0" w:space="0" w:color="auto"/>
        <w:right w:val="none" w:sz="0" w:space="0" w:color="auto"/>
      </w:divBdr>
    </w:div>
    <w:div w:id="718558432">
      <w:bodyDiv w:val="1"/>
      <w:marLeft w:val="0"/>
      <w:marRight w:val="0"/>
      <w:marTop w:val="0"/>
      <w:marBottom w:val="0"/>
      <w:divBdr>
        <w:top w:val="none" w:sz="0" w:space="0" w:color="auto"/>
        <w:left w:val="none" w:sz="0" w:space="0" w:color="auto"/>
        <w:bottom w:val="none" w:sz="0" w:space="0" w:color="auto"/>
        <w:right w:val="none" w:sz="0" w:space="0" w:color="auto"/>
      </w:divBdr>
    </w:div>
    <w:div w:id="719286989">
      <w:bodyDiv w:val="1"/>
      <w:marLeft w:val="0"/>
      <w:marRight w:val="0"/>
      <w:marTop w:val="0"/>
      <w:marBottom w:val="0"/>
      <w:divBdr>
        <w:top w:val="none" w:sz="0" w:space="0" w:color="auto"/>
        <w:left w:val="none" w:sz="0" w:space="0" w:color="auto"/>
        <w:bottom w:val="none" w:sz="0" w:space="0" w:color="auto"/>
        <w:right w:val="none" w:sz="0" w:space="0" w:color="auto"/>
      </w:divBdr>
    </w:div>
    <w:div w:id="721558253">
      <w:bodyDiv w:val="1"/>
      <w:marLeft w:val="0"/>
      <w:marRight w:val="0"/>
      <w:marTop w:val="0"/>
      <w:marBottom w:val="0"/>
      <w:divBdr>
        <w:top w:val="none" w:sz="0" w:space="0" w:color="auto"/>
        <w:left w:val="none" w:sz="0" w:space="0" w:color="auto"/>
        <w:bottom w:val="none" w:sz="0" w:space="0" w:color="auto"/>
        <w:right w:val="none" w:sz="0" w:space="0" w:color="auto"/>
      </w:divBdr>
    </w:div>
    <w:div w:id="722363030">
      <w:bodyDiv w:val="1"/>
      <w:marLeft w:val="0"/>
      <w:marRight w:val="0"/>
      <w:marTop w:val="0"/>
      <w:marBottom w:val="0"/>
      <w:divBdr>
        <w:top w:val="none" w:sz="0" w:space="0" w:color="auto"/>
        <w:left w:val="none" w:sz="0" w:space="0" w:color="auto"/>
        <w:bottom w:val="none" w:sz="0" w:space="0" w:color="auto"/>
        <w:right w:val="none" w:sz="0" w:space="0" w:color="auto"/>
      </w:divBdr>
    </w:div>
    <w:div w:id="723022461">
      <w:bodyDiv w:val="1"/>
      <w:marLeft w:val="0"/>
      <w:marRight w:val="0"/>
      <w:marTop w:val="0"/>
      <w:marBottom w:val="0"/>
      <w:divBdr>
        <w:top w:val="none" w:sz="0" w:space="0" w:color="auto"/>
        <w:left w:val="none" w:sz="0" w:space="0" w:color="auto"/>
        <w:bottom w:val="none" w:sz="0" w:space="0" w:color="auto"/>
        <w:right w:val="none" w:sz="0" w:space="0" w:color="auto"/>
      </w:divBdr>
    </w:div>
    <w:div w:id="723066436">
      <w:bodyDiv w:val="1"/>
      <w:marLeft w:val="0"/>
      <w:marRight w:val="0"/>
      <w:marTop w:val="0"/>
      <w:marBottom w:val="0"/>
      <w:divBdr>
        <w:top w:val="none" w:sz="0" w:space="0" w:color="auto"/>
        <w:left w:val="none" w:sz="0" w:space="0" w:color="auto"/>
        <w:bottom w:val="none" w:sz="0" w:space="0" w:color="auto"/>
        <w:right w:val="none" w:sz="0" w:space="0" w:color="auto"/>
      </w:divBdr>
    </w:div>
    <w:div w:id="725295028">
      <w:bodyDiv w:val="1"/>
      <w:marLeft w:val="0"/>
      <w:marRight w:val="0"/>
      <w:marTop w:val="0"/>
      <w:marBottom w:val="0"/>
      <w:divBdr>
        <w:top w:val="none" w:sz="0" w:space="0" w:color="auto"/>
        <w:left w:val="none" w:sz="0" w:space="0" w:color="auto"/>
        <w:bottom w:val="none" w:sz="0" w:space="0" w:color="auto"/>
        <w:right w:val="none" w:sz="0" w:space="0" w:color="auto"/>
      </w:divBdr>
    </w:div>
    <w:div w:id="725883119">
      <w:bodyDiv w:val="1"/>
      <w:marLeft w:val="0"/>
      <w:marRight w:val="0"/>
      <w:marTop w:val="0"/>
      <w:marBottom w:val="0"/>
      <w:divBdr>
        <w:top w:val="none" w:sz="0" w:space="0" w:color="auto"/>
        <w:left w:val="none" w:sz="0" w:space="0" w:color="auto"/>
        <w:bottom w:val="none" w:sz="0" w:space="0" w:color="auto"/>
        <w:right w:val="none" w:sz="0" w:space="0" w:color="auto"/>
      </w:divBdr>
    </w:div>
    <w:div w:id="726957774">
      <w:bodyDiv w:val="1"/>
      <w:marLeft w:val="0"/>
      <w:marRight w:val="0"/>
      <w:marTop w:val="0"/>
      <w:marBottom w:val="0"/>
      <w:divBdr>
        <w:top w:val="none" w:sz="0" w:space="0" w:color="auto"/>
        <w:left w:val="none" w:sz="0" w:space="0" w:color="auto"/>
        <w:bottom w:val="none" w:sz="0" w:space="0" w:color="auto"/>
        <w:right w:val="none" w:sz="0" w:space="0" w:color="auto"/>
      </w:divBdr>
    </w:div>
    <w:div w:id="728891879">
      <w:bodyDiv w:val="1"/>
      <w:marLeft w:val="0"/>
      <w:marRight w:val="0"/>
      <w:marTop w:val="0"/>
      <w:marBottom w:val="0"/>
      <w:divBdr>
        <w:top w:val="none" w:sz="0" w:space="0" w:color="auto"/>
        <w:left w:val="none" w:sz="0" w:space="0" w:color="auto"/>
        <w:bottom w:val="none" w:sz="0" w:space="0" w:color="auto"/>
        <w:right w:val="none" w:sz="0" w:space="0" w:color="auto"/>
      </w:divBdr>
    </w:div>
    <w:div w:id="731932230">
      <w:bodyDiv w:val="1"/>
      <w:marLeft w:val="0"/>
      <w:marRight w:val="0"/>
      <w:marTop w:val="0"/>
      <w:marBottom w:val="0"/>
      <w:divBdr>
        <w:top w:val="none" w:sz="0" w:space="0" w:color="auto"/>
        <w:left w:val="none" w:sz="0" w:space="0" w:color="auto"/>
        <w:bottom w:val="none" w:sz="0" w:space="0" w:color="auto"/>
        <w:right w:val="none" w:sz="0" w:space="0" w:color="auto"/>
      </w:divBdr>
    </w:div>
    <w:div w:id="732197732">
      <w:bodyDiv w:val="1"/>
      <w:marLeft w:val="0"/>
      <w:marRight w:val="0"/>
      <w:marTop w:val="0"/>
      <w:marBottom w:val="0"/>
      <w:divBdr>
        <w:top w:val="none" w:sz="0" w:space="0" w:color="auto"/>
        <w:left w:val="none" w:sz="0" w:space="0" w:color="auto"/>
        <w:bottom w:val="none" w:sz="0" w:space="0" w:color="auto"/>
        <w:right w:val="none" w:sz="0" w:space="0" w:color="auto"/>
      </w:divBdr>
    </w:div>
    <w:div w:id="734816868">
      <w:bodyDiv w:val="1"/>
      <w:marLeft w:val="0"/>
      <w:marRight w:val="0"/>
      <w:marTop w:val="0"/>
      <w:marBottom w:val="0"/>
      <w:divBdr>
        <w:top w:val="none" w:sz="0" w:space="0" w:color="auto"/>
        <w:left w:val="none" w:sz="0" w:space="0" w:color="auto"/>
        <w:bottom w:val="none" w:sz="0" w:space="0" w:color="auto"/>
        <w:right w:val="none" w:sz="0" w:space="0" w:color="auto"/>
      </w:divBdr>
    </w:div>
    <w:div w:id="738022951">
      <w:bodyDiv w:val="1"/>
      <w:marLeft w:val="0"/>
      <w:marRight w:val="0"/>
      <w:marTop w:val="0"/>
      <w:marBottom w:val="0"/>
      <w:divBdr>
        <w:top w:val="none" w:sz="0" w:space="0" w:color="auto"/>
        <w:left w:val="none" w:sz="0" w:space="0" w:color="auto"/>
        <w:bottom w:val="none" w:sz="0" w:space="0" w:color="auto"/>
        <w:right w:val="none" w:sz="0" w:space="0" w:color="auto"/>
      </w:divBdr>
    </w:div>
    <w:div w:id="738091585">
      <w:bodyDiv w:val="1"/>
      <w:marLeft w:val="0"/>
      <w:marRight w:val="0"/>
      <w:marTop w:val="0"/>
      <w:marBottom w:val="0"/>
      <w:divBdr>
        <w:top w:val="none" w:sz="0" w:space="0" w:color="auto"/>
        <w:left w:val="none" w:sz="0" w:space="0" w:color="auto"/>
        <w:bottom w:val="none" w:sz="0" w:space="0" w:color="auto"/>
        <w:right w:val="none" w:sz="0" w:space="0" w:color="auto"/>
      </w:divBdr>
    </w:div>
    <w:div w:id="740174387">
      <w:bodyDiv w:val="1"/>
      <w:marLeft w:val="0"/>
      <w:marRight w:val="0"/>
      <w:marTop w:val="0"/>
      <w:marBottom w:val="0"/>
      <w:divBdr>
        <w:top w:val="none" w:sz="0" w:space="0" w:color="auto"/>
        <w:left w:val="none" w:sz="0" w:space="0" w:color="auto"/>
        <w:bottom w:val="none" w:sz="0" w:space="0" w:color="auto"/>
        <w:right w:val="none" w:sz="0" w:space="0" w:color="auto"/>
      </w:divBdr>
    </w:div>
    <w:div w:id="740442425">
      <w:bodyDiv w:val="1"/>
      <w:marLeft w:val="0"/>
      <w:marRight w:val="0"/>
      <w:marTop w:val="0"/>
      <w:marBottom w:val="0"/>
      <w:divBdr>
        <w:top w:val="none" w:sz="0" w:space="0" w:color="auto"/>
        <w:left w:val="none" w:sz="0" w:space="0" w:color="auto"/>
        <w:bottom w:val="none" w:sz="0" w:space="0" w:color="auto"/>
        <w:right w:val="none" w:sz="0" w:space="0" w:color="auto"/>
      </w:divBdr>
    </w:div>
    <w:div w:id="741871294">
      <w:bodyDiv w:val="1"/>
      <w:marLeft w:val="0"/>
      <w:marRight w:val="0"/>
      <w:marTop w:val="0"/>
      <w:marBottom w:val="0"/>
      <w:divBdr>
        <w:top w:val="none" w:sz="0" w:space="0" w:color="auto"/>
        <w:left w:val="none" w:sz="0" w:space="0" w:color="auto"/>
        <w:bottom w:val="none" w:sz="0" w:space="0" w:color="auto"/>
        <w:right w:val="none" w:sz="0" w:space="0" w:color="auto"/>
      </w:divBdr>
    </w:div>
    <w:div w:id="742487791">
      <w:bodyDiv w:val="1"/>
      <w:marLeft w:val="0"/>
      <w:marRight w:val="0"/>
      <w:marTop w:val="0"/>
      <w:marBottom w:val="0"/>
      <w:divBdr>
        <w:top w:val="none" w:sz="0" w:space="0" w:color="auto"/>
        <w:left w:val="none" w:sz="0" w:space="0" w:color="auto"/>
        <w:bottom w:val="none" w:sz="0" w:space="0" w:color="auto"/>
        <w:right w:val="none" w:sz="0" w:space="0" w:color="auto"/>
      </w:divBdr>
    </w:div>
    <w:div w:id="742604790">
      <w:bodyDiv w:val="1"/>
      <w:marLeft w:val="0"/>
      <w:marRight w:val="0"/>
      <w:marTop w:val="0"/>
      <w:marBottom w:val="0"/>
      <w:divBdr>
        <w:top w:val="none" w:sz="0" w:space="0" w:color="auto"/>
        <w:left w:val="none" w:sz="0" w:space="0" w:color="auto"/>
        <w:bottom w:val="none" w:sz="0" w:space="0" w:color="auto"/>
        <w:right w:val="none" w:sz="0" w:space="0" w:color="auto"/>
      </w:divBdr>
    </w:div>
    <w:div w:id="744038416">
      <w:bodyDiv w:val="1"/>
      <w:marLeft w:val="0"/>
      <w:marRight w:val="0"/>
      <w:marTop w:val="0"/>
      <w:marBottom w:val="0"/>
      <w:divBdr>
        <w:top w:val="none" w:sz="0" w:space="0" w:color="auto"/>
        <w:left w:val="none" w:sz="0" w:space="0" w:color="auto"/>
        <w:bottom w:val="none" w:sz="0" w:space="0" w:color="auto"/>
        <w:right w:val="none" w:sz="0" w:space="0" w:color="auto"/>
      </w:divBdr>
    </w:div>
    <w:div w:id="744231001">
      <w:bodyDiv w:val="1"/>
      <w:marLeft w:val="0"/>
      <w:marRight w:val="0"/>
      <w:marTop w:val="0"/>
      <w:marBottom w:val="0"/>
      <w:divBdr>
        <w:top w:val="none" w:sz="0" w:space="0" w:color="auto"/>
        <w:left w:val="none" w:sz="0" w:space="0" w:color="auto"/>
        <w:bottom w:val="none" w:sz="0" w:space="0" w:color="auto"/>
        <w:right w:val="none" w:sz="0" w:space="0" w:color="auto"/>
      </w:divBdr>
    </w:div>
    <w:div w:id="747119344">
      <w:bodyDiv w:val="1"/>
      <w:marLeft w:val="0"/>
      <w:marRight w:val="0"/>
      <w:marTop w:val="0"/>
      <w:marBottom w:val="0"/>
      <w:divBdr>
        <w:top w:val="none" w:sz="0" w:space="0" w:color="auto"/>
        <w:left w:val="none" w:sz="0" w:space="0" w:color="auto"/>
        <w:bottom w:val="none" w:sz="0" w:space="0" w:color="auto"/>
        <w:right w:val="none" w:sz="0" w:space="0" w:color="auto"/>
      </w:divBdr>
    </w:div>
    <w:div w:id="748309910">
      <w:bodyDiv w:val="1"/>
      <w:marLeft w:val="0"/>
      <w:marRight w:val="0"/>
      <w:marTop w:val="0"/>
      <w:marBottom w:val="0"/>
      <w:divBdr>
        <w:top w:val="none" w:sz="0" w:space="0" w:color="auto"/>
        <w:left w:val="none" w:sz="0" w:space="0" w:color="auto"/>
        <w:bottom w:val="none" w:sz="0" w:space="0" w:color="auto"/>
        <w:right w:val="none" w:sz="0" w:space="0" w:color="auto"/>
      </w:divBdr>
    </w:div>
    <w:div w:id="750271546">
      <w:bodyDiv w:val="1"/>
      <w:marLeft w:val="0"/>
      <w:marRight w:val="0"/>
      <w:marTop w:val="0"/>
      <w:marBottom w:val="0"/>
      <w:divBdr>
        <w:top w:val="none" w:sz="0" w:space="0" w:color="auto"/>
        <w:left w:val="none" w:sz="0" w:space="0" w:color="auto"/>
        <w:bottom w:val="none" w:sz="0" w:space="0" w:color="auto"/>
        <w:right w:val="none" w:sz="0" w:space="0" w:color="auto"/>
      </w:divBdr>
    </w:div>
    <w:div w:id="750349769">
      <w:bodyDiv w:val="1"/>
      <w:marLeft w:val="0"/>
      <w:marRight w:val="0"/>
      <w:marTop w:val="0"/>
      <w:marBottom w:val="0"/>
      <w:divBdr>
        <w:top w:val="none" w:sz="0" w:space="0" w:color="auto"/>
        <w:left w:val="none" w:sz="0" w:space="0" w:color="auto"/>
        <w:bottom w:val="none" w:sz="0" w:space="0" w:color="auto"/>
        <w:right w:val="none" w:sz="0" w:space="0" w:color="auto"/>
      </w:divBdr>
    </w:div>
    <w:div w:id="750349988">
      <w:bodyDiv w:val="1"/>
      <w:marLeft w:val="0"/>
      <w:marRight w:val="0"/>
      <w:marTop w:val="0"/>
      <w:marBottom w:val="0"/>
      <w:divBdr>
        <w:top w:val="none" w:sz="0" w:space="0" w:color="auto"/>
        <w:left w:val="none" w:sz="0" w:space="0" w:color="auto"/>
        <w:bottom w:val="none" w:sz="0" w:space="0" w:color="auto"/>
        <w:right w:val="none" w:sz="0" w:space="0" w:color="auto"/>
      </w:divBdr>
    </w:div>
    <w:div w:id="750855925">
      <w:bodyDiv w:val="1"/>
      <w:marLeft w:val="0"/>
      <w:marRight w:val="0"/>
      <w:marTop w:val="0"/>
      <w:marBottom w:val="0"/>
      <w:divBdr>
        <w:top w:val="none" w:sz="0" w:space="0" w:color="auto"/>
        <w:left w:val="none" w:sz="0" w:space="0" w:color="auto"/>
        <w:bottom w:val="none" w:sz="0" w:space="0" w:color="auto"/>
        <w:right w:val="none" w:sz="0" w:space="0" w:color="auto"/>
      </w:divBdr>
    </w:div>
    <w:div w:id="750933046">
      <w:bodyDiv w:val="1"/>
      <w:marLeft w:val="0"/>
      <w:marRight w:val="0"/>
      <w:marTop w:val="0"/>
      <w:marBottom w:val="0"/>
      <w:divBdr>
        <w:top w:val="none" w:sz="0" w:space="0" w:color="auto"/>
        <w:left w:val="none" w:sz="0" w:space="0" w:color="auto"/>
        <w:bottom w:val="none" w:sz="0" w:space="0" w:color="auto"/>
        <w:right w:val="none" w:sz="0" w:space="0" w:color="auto"/>
      </w:divBdr>
    </w:div>
    <w:div w:id="751124749">
      <w:bodyDiv w:val="1"/>
      <w:marLeft w:val="0"/>
      <w:marRight w:val="0"/>
      <w:marTop w:val="0"/>
      <w:marBottom w:val="0"/>
      <w:divBdr>
        <w:top w:val="none" w:sz="0" w:space="0" w:color="auto"/>
        <w:left w:val="none" w:sz="0" w:space="0" w:color="auto"/>
        <w:bottom w:val="none" w:sz="0" w:space="0" w:color="auto"/>
        <w:right w:val="none" w:sz="0" w:space="0" w:color="auto"/>
      </w:divBdr>
    </w:div>
    <w:div w:id="754400331">
      <w:bodyDiv w:val="1"/>
      <w:marLeft w:val="0"/>
      <w:marRight w:val="0"/>
      <w:marTop w:val="0"/>
      <w:marBottom w:val="0"/>
      <w:divBdr>
        <w:top w:val="none" w:sz="0" w:space="0" w:color="auto"/>
        <w:left w:val="none" w:sz="0" w:space="0" w:color="auto"/>
        <w:bottom w:val="none" w:sz="0" w:space="0" w:color="auto"/>
        <w:right w:val="none" w:sz="0" w:space="0" w:color="auto"/>
      </w:divBdr>
    </w:div>
    <w:div w:id="754475170">
      <w:bodyDiv w:val="1"/>
      <w:marLeft w:val="0"/>
      <w:marRight w:val="0"/>
      <w:marTop w:val="0"/>
      <w:marBottom w:val="0"/>
      <w:divBdr>
        <w:top w:val="none" w:sz="0" w:space="0" w:color="auto"/>
        <w:left w:val="none" w:sz="0" w:space="0" w:color="auto"/>
        <w:bottom w:val="none" w:sz="0" w:space="0" w:color="auto"/>
        <w:right w:val="none" w:sz="0" w:space="0" w:color="auto"/>
      </w:divBdr>
    </w:div>
    <w:div w:id="754786462">
      <w:bodyDiv w:val="1"/>
      <w:marLeft w:val="0"/>
      <w:marRight w:val="0"/>
      <w:marTop w:val="0"/>
      <w:marBottom w:val="0"/>
      <w:divBdr>
        <w:top w:val="none" w:sz="0" w:space="0" w:color="auto"/>
        <w:left w:val="none" w:sz="0" w:space="0" w:color="auto"/>
        <w:bottom w:val="none" w:sz="0" w:space="0" w:color="auto"/>
        <w:right w:val="none" w:sz="0" w:space="0" w:color="auto"/>
      </w:divBdr>
    </w:div>
    <w:div w:id="755059135">
      <w:bodyDiv w:val="1"/>
      <w:marLeft w:val="0"/>
      <w:marRight w:val="0"/>
      <w:marTop w:val="0"/>
      <w:marBottom w:val="0"/>
      <w:divBdr>
        <w:top w:val="none" w:sz="0" w:space="0" w:color="auto"/>
        <w:left w:val="none" w:sz="0" w:space="0" w:color="auto"/>
        <w:bottom w:val="none" w:sz="0" w:space="0" w:color="auto"/>
        <w:right w:val="none" w:sz="0" w:space="0" w:color="auto"/>
      </w:divBdr>
    </w:div>
    <w:div w:id="755520800">
      <w:bodyDiv w:val="1"/>
      <w:marLeft w:val="0"/>
      <w:marRight w:val="0"/>
      <w:marTop w:val="0"/>
      <w:marBottom w:val="0"/>
      <w:divBdr>
        <w:top w:val="none" w:sz="0" w:space="0" w:color="auto"/>
        <w:left w:val="none" w:sz="0" w:space="0" w:color="auto"/>
        <w:bottom w:val="none" w:sz="0" w:space="0" w:color="auto"/>
        <w:right w:val="none" w:sz="0" w:space="0" w:color="auto"/>
      </w:divBdr>
    </w:div>
    <w:div w:id="756290802">
      <w:bodyDiv w:val="1"/>
      <w:marLeft w:val="0"/>
      <w:marRight w:val="0"/>
      <w:marTop w:val="0"/>
      <w:marBottom w:val="0"/>
      <w:divBdr>
        <w:top w:val="none" w:sz="0" w:space="0" w:color="auto"/>
        <w:left w:val="none" w:sz="0" w:space="0" w:color="auto"/>
        <w:bottom w:val="none" w:sz="0" w:space="0" w:color="auto"/>
        <w:right w:val="none" w:sz="0" w:space="0" w:color="auto"/>
      </w:divBdr>
    </w:div>
    <w:div w:id="757137750">
      <w:bodyDiv w:val="1"/>
      <w:marLeft w:val="0"/>
      <w:marRight w:val="0"/>
      <w:marTop w:val="0"/>
      <w:marBottom w:val="0"/>
      <w:divBdr>
        <w:top w:val="none" w:sz="0" w:space="0" w:color="auto"/>
        <w:left w:val="none" w:sz="0" w:space="0" w:color="auto"/>
        <w:bottom w:val="none" w:sz="0" w:space="0" w:color="auto"/>
        <w:right w:val="none" w:sz="0" w:space="0" w:color="auto"/>
      </w:divBdr>
    </w:div>
    <w:div w:id="757291582">
      <w:bodyDiv w:val="1"/>
      <w:marLeft w:val="0"/>
      <w:marRight w:val="0"/>
      <w:marTop w:val="0"/>
      <w:marBottom w:val="0"/>
      <w:divBdr>
        <w:top w:val="none" w:sz="0" w:space="0" w:color="auto"/>
        <w:left w:val="none" w:sz="0" w:space="0" w:color="auto"/>
        <w:bottom w:val="none" w:sz="0" w:space="0" w:color="auto"/>
        <w:right w:val="none" w:sz="0" w:space="0" w:color="auto"/>
      </w:divBdr>
    </w:div>
    <w:div w:id="758261135">
      <w:bodyDiv w:val="1"/>
      <w:marLeft w:val="0"/>
      <w:marRight w:val="0"/>
      <w:marTop w:val="0"/>
      <w:marBottom w:val="0"/>
      <w:divBdr>
        <w:top w:val="none" w:sz="0" w:space="0" w:color="auto"/>
        <w:left w:val="none" w:sz="0" w:space="0" w:color="auto"/>
        <w:bottom w:val="none" w:sz="0" w:space="0" w:color="auto"/>
        <w:right w:val="none" w:sz="0" w:space="0" w:color="auto"/>
      </w:divBdr>
    </w:div>
    <w:div w:id="759985708">
      <w:bodyDiv w:val="1"/>
      <w:marLeft w:val="0"/>
      <w:marRight w:val="0"/>
      <w:marTop w:val="0"/>
      <w:marBottom w:val="0"/>
      <w:divBdr>
        <w:top w:val="none" w:sz="0" w:space="0" w:color="auto"/>
        <w:left w:val="none" w:sz="0" w:space="0" w:color="auto"/>
        <w:bottom w:val="none" w:sz="0" w:space="0" w:color="auto"/>
        <w:right w:val="none" w:sz="0" w:space="0" w:color="auto"/>
      </w:divBdr>
    </w:div>
    <w:div w:id="760415347">
      <w:bodyDiv w:val="1"/>
      <w:marLeft w:val="0"/>
      <w:marRight w:val="0"/>
      <w:marTop w:val="0"/>
      <w:marBottom w:val="0"/>
      <w:divBdr>
        <w:top w:val="none" w:sz="0" w:space="0" w:color="auto"/>
        <w:left w:val="none" w:sz="0" w:space="0" w:color="auto"/>
        <w:bottom w:val="none" w:sz="0" w:space="0" w:color="auto"/>
        <w:right w:val="none" w:sz="0" w:space="0" w:color="auto"/>
      </w:divBdr>
    </w:div>
    <w:div w:id="760489796">
      <w:bodyDiv w:val="1"/>
      <w:marLeft w:val="0"/>
      <w:marRight w:val="0"/>
      <w:marTop w:val="0"/>
      <w:marBottom w:val="0"/>
      <w:divBdr>
        <w:top w:val="none" w:sz="0" w:space="0" w:color="auto"/>
        <w:left w:val="none" w:sz="0" w:space="0" w:color="auto"/>
        <w:bottom w:val="none" w:sz="0" w:space="0" w:color="auto"/>
        <w:right w:val="none" w:sz="0" w:space="0" w:color="auto"/>
      </w:divBdr>
    </w:div>
    <w:div w:id="761533924">
      <w:bodyDiv w:val="1"/>
      <w:marLeft w:val="0"/>
      <w:marRight w:val="0"/>
      <w:marTop w:val="0"/>
      <w:marBottom w:val="0"/>
      <w:divBdr>
        <w:top w:val="none" w:sz="0" w:space="0" w:color="auto"/>
        <w:left w:val="none" w:sz="0" w:space="0" w:color="auto"/>
        <w:bottom w:val="none" w:sz="0" w:space="0" w:color="auto"/>
        <w:right w:val="none" w:sz="0" w:space="0" w:color="auto"/>
      </w:divBdr>
    </w:div>
    <w:div w:id="763113323">
      <w:bodyDiv w:val="1"/>
      <w:marLeft w:val="0"/>
      <w:marRight w:val="0"/>
      <w:marTop w:val="0"/>
      <w:marBottom w:val="0"/>
      <w:divBdr>
        <w:top w:val="none" w:sz="0" w:space="0" w:color="auto"/>
        <w:left w:val="none" w:sz="0" w:space="0" w:color="auto"/>
        <w:bottom w:val="none" w:sz="0" w:space="0" w:color="auto"/>
        <w:right w:val="none" w:sz="0" w:space="0" w:color="auto"/>
      </w:divBdr>
    </w:div>
    <w:div w:id="763185278">
      <w:bodyDiv w:val="1"/>
      <w:marLeft w:val="0"/>
      <w:marRight w:val="0"/>
      <w:marTop w:val="0"/>
      <w:marBottom w:val="0"/>
      <w:divBdr>
        <w:top w:val="none" w:sz="0" w:space="0" w:color="auto"/>
        <w:left w:val="none" w:sz="0" w:space="0" w:color="auto"/>
        <w:bottom w:val="none" w:sz="0" w:space="0" w:color="auto"/>
        <w:right w:val="none" w:sz="0" w:space="0" w:color="auto"/>
      </w:divBdr>
    </w:div>
    <w:div w:id="763694995">
      <w:bodyDiv w:val="1"/>
      <w:marLeft w:val="0"/>
      <w:marRight w:val="0"/>
      <w:marTop w:val="0"/>
      <w:marBottom w:val="0"/>
      <w:divBdr>
        <w:top w:val="none" w:sz="0" w:space="0" w:color="auto"/>
        <w:left w:val="none" w:sz="0" w:space="0" w:color="auto"/>
        <w:bottom w:val="none" w:sz="0" w:space="0" w:color="auto"/>
        <w:right w:val="none" w:sz="0" w:space="0" w:color="auto"/>
      </w:divBdr>
    </w:div>
    <w:div w:id="764612031">
      <w:bodyDiv w:val="1"/>
      <w:marLeft w:val="0"/>
      <w:marRight w:val="0"/>
      <w:marTop w:val="0"/>
      <w:marBottom w:val="0"/>
      <w:divBdr>
        <w:top w:val="none" w:sz="0" w:space="0" w:color="auto"/>
        <w:left w:val="none" w:sz="0" w:space="0" w:color="auto"/>
        <w:bottom w:val="none" w:sz="0" w:space="0" w:color="auto"/>
        <w:right w:val="none" w:sz="0" w:space="0" w:color="auto"/>
      </w:divBdr>
    </w:div>
    <w:div w:id="764886058">
      <w:bodyDiv w:val="1"/>
      <w:marLeft w:val="0"/>
      <w:marRight w:val="0"/>
      <w:marTop w:val="0"/>
      <w:marBottom w:val="0"/>
      <w:divBdr>
        <w:top w:val="none" w:sz="0" w:space="0" w:color="auto"/>
        <w:left w:val="none" w:sz="0" w:space="0" w:color="auto"/>
        <w:bottom w:val="none" w:sz="0" w:space="0" w:color="auto"/>
        <w:right w:val="none" w:sz="0" w:space="0" w:color="auto"/>
      </w:divBdr>
    </w:div>
    <w:div w:id="766734059">
      <w:bodyDiv w:val="1"/>
      <w:marLeft w:val="0"/>
      <w:marRight w:val="0"/>
      <w:marTop w:val="0"/>
      <w:marBottom w:val="0"/>
      <w:divBdr>
        <w:top w:val="none" w:sz="0" w:space="0" w:color="auto"/>
        <w:left w:val="none" w:sz="0" w:space="0" w:color="auto"/>
        <w:bottom w:val="none" w:sz="0" w:space="0" w:color="auto"/>
        <w:right w:val="none" w:sz="0" w:space="0" w:color="auto"/>
      </w:divBdr>
    </w:div>
    <w:div w:id="767307301">
      <w:bodyDiv w:val="1"/>
      <w:marLeft w:val="0"/>
      <w:marRight w:val="0"/>
      <w:marTop w:val="0"/>
      <w:marBottom w:val="0"/>
      <w:divBdr>
        <w:top w:val="none" w:sz="0" w:space="0" w:color="auto"/>
        <w:left w:val="none" w:sz="0" w:space="0" w:color="auto"/>
        <w:bottom w:val="none" w:sz="0" w:space="0" w:color="auto"/>
        <w:right w:val="none" w:sz="0" w:space="0" w:color="auto"/>
      </w:divBdr>
    </w:div>
    <w:div w:id="769738458">
      <w:bodyDiv w:val="1"/>
      <w:marLeft w:val="0"/>
      <w:marRight w:val="0"/>
      <w:marTop w:val="0"/>
      <w:marBottom w:val="0"/>
      <w:divBdr>
        <w:top w:val="none" w:sz="0" w:space="0" w:color="auto"/>
        <w:left w:val="none" w:sz="0" w:space="0" w:color="auto"/>
        <w:bottom w:val="none" w:sz="0" w:space="0" w:color="auto"/>
        <w:right w:val="none" w:sz="0" w:space="0" w:color="auto"/>
      </w:divBdr>
    </w:div>
    <w:div w:id="772287893">
      <w:bodyDiv w:val="1"/>
      <w:marLeft w:val="0"/>
      <w:marRight w:val="0"/>
      <w:marTop w:val="0"/>
      <w:marBottom w:val="0"/>
      <w:divBdr>
        <w:top w:val="none" w:sz="0" w:space="0" w:color="auto"/>
        <w:left w:val="none" w:sz="0" w:space="0" w:color="auto"/>
        <w:bottom w:val="none" w:sz="0" w:space="0" w:color="auto"/>
        <w:right w:val="none" w:sz="0" w:space="0" w:color="auto"/>
      </w:divBdr>
    </w:div>
    <w:div w:id="772625594">
      <w:bodyDiv w:val="1"/>
      <w:marLeft w:val="0"/>
      <w:marRight w:val="0"/>
      <w:marTop w:val="0"/>
      <w:marBottom w:val="0"/>
      <w:divBdr>
        <w:top w:val="none" w:sz="0" w:space="0" w:color="auto"/>
        <w:left w:val="none" w:sz="0" w:space="0" w:color="auto"/>
        <w:bottom w:val="none" w:sz="0" w:space="0" w:color="auto"/>
        <w:right w:val="none" w:sz="0" w:space="0" w:color="auto"/>
      </w:divBdr>
    </w:div>
    <w:div w:id="773091109">
      <w:bodyDiv w:val="1"/>
      <w:marLeft w:val="0"/>
      <w:marRight w:val="0"/>
      <w:marTop w:val="0"/>
      <w:marBottom w:val="0"/>
      <w:divBdr>
        <w:top w:val="none" w:sz="0" w:space="0" w:color="auto"/>
        <w:left w:val="none" w:sz="0" w:space="0" w:color="auto"/>
        <w:bottom w:val="none" w:sz="0" w:space="0" w:color="auto"/>
        <w:right w:val="none" w:sz="0" w:space="0" w:color="auto"/>
      </w:divBdr>
    </w:div>
    <w:div w:id="773208286">
      <w:bodyDiv w:val="1"/>
      <w:marLeft w:val="0"/>
      <w:marRight w:val="0"/>
      <w:marTop w:val="0"/>
      <w:marBottom w:val="0"/>
      <w:divBdr>
        <w:top w:val="none" w:sz="0" w:space="0" w:color="auto"/>
        <w:left w:val="none" w:sz="0" w:space="0" w:color="auto"/>
        <w:bottom w:val="none" w:sz="0" w:space="0" w:color="auto"/>
        <w:right w:val="none" w:sz="0" w:space="0" w:color="auto"/>
      </w:divBdr>
    </w:div>
    <w:div w:id="773212241">
      <w:bodyDiv w:val="1"/>
      <w:marLeft w:val="0"/>
      <w:marRight w:val="0"/>
      <w:marTop w:val="0"/>
      <w:marBottom w:val="0"/>
      <w:divBdr>
        <w:top w:val="none" w:sz="0" w:space="0" w:color="auto"/>
        <w:left w:val="none" w:sz="0" w:space="0" w:color="auto"/>
        <w:bottom w:val="none" w:sz="0" w:space="0" w:color="auto"/>
        <w:right w:val="none" w:sz="0" w:space="0" w:color="auto"/>
      </w:divBdr>
    </w:div>
    <w:div w:id="775760145">
      <w:bodyDiv w:val="1"/>
      <w:marLeft w:val="0"/>
      <w:marRight w:val="0"/>
      <w:marTop w:val="0"/>
      <w:marBottom w:val="0"/>
      <w:divBdr>
        <w:top w:val="none" w:sz="0" w:space="0" w:color="auto"/>
        <w:left w:val="none" w:sz="0" w:space="0" w:color="auto"/>
        <w:bottom w:val="none" w:sz="0" w:space="0" w:color="auto"/>
        <w:right w:val="none" w:sz="0" w:space="0" w:color="auto"/>
      </w:divBdr>
    </w:div>
    <w:div w:id="775905751">
      <w:bodyDiv w:val="1"/>
      <w:marLeft w:val="0"/>
      <w:marRight w:val="0"/>
      <w:marTop w:val="0"/>
      <w:marBottom w:val="0"/>
      <w:divBdr>
        <w:top w:val="none" w:sz="0" w:space="0" w:color="auto"/>
        <w:left w:val="none" w:sz="0" w:space="0" w:color="auto"/>
        <w:bottom w:val="none" w:sz="0" w:space="0" w:color="auto"/>
        <w:right w:val="none" w:sz="0" w:space="0" w:color="auto"/>
      </w:divBdr>
    </w:div>
    <w:div w:id="778263232">
      <w:bodyDiv w:val="1"/>
      <w:marLeft w:val="0"/>
      <w:marRight w:val="0"/>
      <w:marTop w:val="0"/>
      <w:marBottom w:val="0"/>
      <w:divBdr>
        <w:top w:val="none" w:sz="0" w:space="0" w:color="auto"/>
        <w:left w:val="none" w:sz="0" w:space="0" w:color="auto"/>
        <w:bottom w:val="none" w:sz="0" w:space="0" w:color="auto"/>
        <w:right w:val="none" w:sz="0" w:space="0" w:color="auto"/>
      </w:divBdr>
    </w:div>
    <w:div w:id="780028084">
      <w:bodyDiv w:val="1"/>
      <w:marLeft w:val="0"/>
      <w:marRight w:val="0"/>
      <w:marTop w:val="0"/>
      <w:marBottom w:val="0"/>
      <w:divBdr>
        <w:top w:val="none" w:sz="0" w:space="0" w:color="auto"/>
        <w:left w:val="none" w:sz="0" w:space="0" w:color="auto"/>
        <w:bottom w:val="none" w:sz="0" w:space="0" w:color="auto"/>
        <w:right w:val="none" w:sz="0" w:space="0" w:color="auto"/>
      </w:divBdr>
    </w:div>
    <w:div w:id="781191104">
      <w:bodyDiv w:val="1"/>
      <w:marLeft w:val="0"/>
      <w:marRight w:val="0"/>
      <w:marTop w:val="0"/>
      <w:marBottom w:val="0"/>
      <w:divBdr>
        <w:top w:val="none" w:sz="0" w:space="0" w:color="auto"/>
        <w:left w:val="none" w:sz="0" w:space="0" w:color="auto"/>
        <w:bottom w:val="none" w:sz="0" w:space="0" w:color="auto"/>
        <w:right w:val="none" w:sz="0" w:space="0" w:color="auto"/>
      </w:divBdr>
    </w:div>
    <w:div w:id="782386355">
      <w:bodyDiv w:val="1"/>
      <w:marLeft w:val="0"/>
      <w:marRight w:val="0"/>
      <w:marTop w:val="0"/>
      <w:marBottom w:val="0"/>
      <w:divBdr>
        <w:top w:val="none" w:sz="0" w:space="0" w:color="auto"/>
        <w:left w:val="none" w:sz="0" w:space="0" w:color="auto"/>
        <w:bottom w:val="none" w:sz="0" w:space="0" w:color="auto"/>
        <w:right w:val="none" w:sz="0" w:space="0" w:color="auto"/>
      </w:divBdr>
    </w:div>
    <w:div w:id="782647363">
      <w:bodyDiv w:val="1"/>
      <w:marLeft w:val="0"/>
      <w:marRight w:val="0"/>
      <w:marTop w:val="0"/>
      <w:marBottom w:val="0"/>
      <w:divBdr>
        <w:top w:val="none" w:sz="0" w:space="0" w:color="auto"/>
        <w:left w:val="none" w:sz="0" w:space="0" w:color="auto"/>
        <w:bottom w:val="none" w:sz="0" w:space="0" w:color="auto"/>
        <w:right w:val="none" w:sz="0" w:space="0" w:color="auto"/>
      </w:divBdr>
    </w:div>
    <w:div w:id="783692217">
      <w:bodyDiv w:val="1"/>
      <w:marLeft w:val="0"/>
      <w:marRight w:val="0"/>
      <w:marTop w:val="0"/>
      <w:marBottom w:val="0"/>
      <w:divBdr>
        <w:top w:val="none" w:sz="0" w:space="0" w:color="auto"/>
        <w:left w:val="none" w:sz="0" w:space="0" w:color="auto"/>
        <w:bottom w:val="none" w:sz="0" w:space="0" w:color="auto"/>
        <w:right w:val="none" w:sz="0" w:space="0" w:color="auto"/>
      </w:divBdr>
    </w:div>
    <w:div w:id="784807685">
      <w:bodyDiv w:val="1"/>
      <w:marLeft w:val="0"/>
      <w:marRight w:val="0"/>
      <w:marTop w:val="0"/>
      <w:marBottom w:val="0"/>
      <w:divBdr>
        <w:top w:val="none" w:sz="0" w:space="0" w:color="auto"/>
        <w:left w:val="none" w:sz="0" w:space="0" w:color="auto"/>
        <w:bottom w:val="none" w:sz="0" w:space="0" w:color="auto"/>
        <w:right w:val="none" w:sz="0" w:space="0" w:color="auto"/>
      </w:divBdr>
    </w:div>
    <w:div w:id="784930096">
      <w:bodyDiv w:val="1"/>
      <w:marLeft w:val="0"/>
      <w:marRight w:val="0"/>
      <w:marTop w:val="0"/>
      <w:marBottom w:val="0"/>
      <w:divBdr>
        <w:top w:val="none" w:sz="0" w:space="0" w:color="auto"/>
        <w:left w:val="none" w:sz="0" w:space="0" w:color="auto"/>
        <w:bottom w:val="none" w:sz="0" w:space="0" w:color="auto"/>
        <w:right w:val="none" w:sz="0" w:space="0" w:color="auto"/>
      </w:divBdr>
    </w:div>
    <w:div w:id="785588154">
      <w:bodyDiv w:val="1"/>
      <w:marLeft w:val="0"/>
      <w:marRight w:val="0"/>
      <w:marTop w:val="0"/>
      <w:marBottom w:val="0"/>
      <w:divBdr>
        <w:top w:val="none" w:sz="0" w:space="0" w:color="auto"/>
        <w:left w:val="none" w:sz="0" w:space="0" w:color="auto"/>
        <w:bottom w:val="none" w:sz="0" w:space="0" w:color="auto"/>
        <w:right w:val="none" w:sz="0" w:space="0" w:color="auto"/>
      </w:divBdr>
    </w:div>
    <w:div w:id="786042159">
      <w:bodyDiv w:val="1"/>
      <w:marLeft w:val="0"/>
      <w:marRight w:val="0"/>
      <w:marTop w:val="0"/>
      <w:marBottom w:val="0"/>
      <w:divBdr>
        <w:top w:val="none" w:sz="0" w:space="0" w:color="auto"/>
        <w:left w:val="none" w:sz="0" w:space="0" w:color="auto"/>
        <w:bottom w:val="none" w:sz="0" w:space="0" w:color="auto"/>
        <w:right w:val="none" w:sz="0" w:space="0" w:color="auto"/>
      </w:divBdr>
    </w:div>
    <w:div w:id="786973046">
      <w:bodyDiv w:val="1"/>
      <w:marLeft w:val="0"/>
      <w:marRight w:val="0"/>
      <w:marTop w:val="0"/>
      <w:marBottom w:val="0"/>
      <w:divBdr>
        <w:top w:val="none" w:sz="0" w:space="0" w:color="auto"/>
        <w:left w:val="none" w:sz="0" w:space="0" w:color="auto"/>
        <w:bottom w:val="none" w:sz="0" w:space="0" w:color="auto"/>
        <w:right w:val="none" w:sz="0" w:space="0" w:color="auto"/>
      </w:divBdr>
    </w:div>
    <w:div w:id="787242937">
      <w:bodyDiv w:val="1"/>
      <w:marLeft w:val="0"/>
      <w:marRight w:val="0"/>
      <w:marTop w:val="0"/>
      <w:marBottom w:val="0"/>
      <w:divBdr>
        <w:top w:val="none" w:sz="0" w:space="0" w:color="auto"/>
        <w:left w:val="none" w:sz="0" w:space="0" w:color="auto"/>
        <w:bottom w:val="none" w:sz="0" w:space="0" w:color="auto"/>
        <w:right w:val="none" w:sz="0" w:space="0" w:color="auto"/>
      </w:divBdr>
    </w:div>
    <w:div w:id="787512022">
      <w:bodyDiv w:val="1"/>
      <w:marLeft w:val="0"/>
      <w:marRight w:val="0"/>
      <w:marTop w:val="0"/>
      <w:marBottom w:val="0"/>
      <w:divBdr>
        <w:top w:val="none" w:sz="0" w:space="0" w:color="auto"/>
        <w:left w:val="none" w:sz="0" w:space="0" w:color="auto"/>
        <w:bottom w:val="none" w:sz="0" w:space="0" w:color="auto"/>
        <w:right w:val="none" w:sz="0" w:space="0" w:color="auto"/>
      </w:divBdr>
    </w:div>
    <w:div w:id="791705150">
      <w:bodyDiv w:val="1"/>
      <w:marLeft w:val="0"/>
      <w:marRight w:val="0"/>
      <w:marTop w:val="0"/>
      <w:marBottom w:val="0"/>
      <w:divBdr>
        <w:top w:val="none" w:sz="0" w:space="0" w:color="auto"/>
        <w:left w:val="none" w:sz="0" w:space="0" w:color="auto"/>
        <w:bottom w:val="none" w:sz="0" w:space="0" w:color="auto"/>
        <w:right w:val="none" w:sz="0" w:space="0" w:color="auto"/>
      </w:divBdr>
    </w:div>
    <w:div w:id="793255904">
      <w:bodyDiv w:val="1"/>
      <w:marLeft w:val="0"/>
      <w:marRight w:val="0"/>
      <w:marTop w:val="0"/>
      <w:marBottom w:val="0"/>
      <w:divBdr>
        <w:top w:val="none" w:sz="0" w:space="0" w:color="auto"/>
        <w:left w:val="none" w:sz="0" w:space="0" w:color="auto"/>
        <w:bottom w:val="none" w:sz="0" w:space="0" w:color="auto"/>
        <w:right w:val="none" w:sz="0" w:space="0" w:color="auto"/>
      </w:divBdr>
    </w:div>
    <w:div w:id="793907851">
      <w:bodyDiv w:val="1"/>
      <w:marLeft w:val="0"/>
      <w:marRight w:val="0"/>
      <w:marTop w:val="0"/>
      <w:marBottom w:val="0"/>
      <w:divBdr>
        <w:top w:val="none" w:sz="0" w:space="0" w:color="auto"/>
        <w:left w:val="none" w:sz="0" w:space="0" w:color="auto"/>
        <w:bottom w:val="none" w:sz="0" w:space="0" w:color="auto"/>
        <w:right w:val="none" w:sz="0" w:space="0" w:color="auto"/>
      </w:divBdr>
    </w:div>
    <w:div w:id="794107474">
      <w:bodyDiv w:val="1"/>
      <w:marLeft w:val="0"/>
      <w:marRight w:val="0"/>
      <w:marTop w:val="0"/>
      <w:marBottom w:val="0"/>
      <w:divBdr>
        <w:top w:val="none" w:sz="0" w:space="0" w:color="auto"/>
        <w:left w:val="none" w:sz="0" w:space="0" w:color="auto"/>
        <w:bottom w:val="none" w:sz="0" w:space="0" w:color="auto"/>
        <w:right w:val="none" w:sz="0" w:space="0" w:color="auto"/>
      </w:divBdr>
    </w:div>
    <w:div w:id="794181850">
      <w:bodyDiv w:val="1"/>
      <w:marLeft w:val="0"/>
      <w:marRight w:val="0"/>
      <w:marTop w:val="0"/>
      <w:marBottom w:val="0"/>
      <w:divBdr>
        <w:top w:val="none" w:sz="0" w:space="0" w:color="auto"/>
        <w:left w:val="none" w:sz="0" w:space="0" w:color="auto"/>
        <w:bottom w:val="none" w:sz="0" w:space="0" w:color="auto"/>
        <w:right w:val="none" w:sz="0" w:space="0" w:color="auto"/>
      </w:divBdr>
    </w:div>
    <w:div w:id="795148586">
      <w:bodyDiv w:val="1"/>
      <w:marLeft w:val="0"/>
      <w:marRight w:val="0"/>
      <w:marTop w:val="0"/>
      <w:marBottom w:val="0"/>
      <w:divBdr>
        <w:top w:val="none" w:sz="0" w:space="0" w:color="auto"/>
        <w:left w:val="none" w:sz="0" w:space="0" w:color="auto"/>
        <w:bottom w:val="none" w:sz="0" w:space="0" w:color="auto"/>
        <w:right w:val="none" w:sz="0" w:space="0" w:color="auto"/>
      </w:divBdr>
    </w:div>
    <w:div w:id="796097340">
      <w:bodyDiv w:val="1"/>
      <w:marLeft w:val="0"/>
      <w:marRight w:val="0"/>
      <w:marTop w:val="0"/>
      <w:marBottom w:val="0"/>
      <w:divBdr>
        <w:top w:val="none" w:sz="0" w:space="0" w:color="auto"/>
        <w:left w:val="none" w:sz="0" w:space="0" w:color="auto"/>
        <w:bottom w:val="none" w:sz="0" w:space="0" w:color="auto"/>
        <w:right w:val="none" w:sz="0" w:space="0" w:color="auto"/>
      </w:divBdr>
    </w:div>
    <w:div w:id="796097868">
      <w:bodyDiv w:val="1"/>
      <w:marLeft w:val="0"/>
      <w:marRight w:val="0"/>
      <w:marTop w:val="0"/>
      <w:marBottom w:val="0"/>
      <w:divBdr>
        <w:top w:val="none" w:sz="0" w:space="0" w:color="auto"/>
        <w:left w:val="none" w:sz="0" w:space="0" w:color="auto"/>
        <w:bottom w:val="none" w:sz="0" w:space="0" w:color="auto"/>
        <w:right w:val="none" w:sz="0" w:space="0" w:color="auto"/>
      </w:divBdr>
    </w:div>
    <w:div w:id="796293815">
      <w:bodyDiv w:val="1"/>
      <w:marLeft w:val="0"/>
      <w:marRight w:val="0"/>
      <w:marTop w:val="0"/>
      <w:marBottom w:val="0"/>
      <w:divBdr>
        <w:top w:val="none" w:sz="0" w:space="0" w:color="auto"/>
        <w:left w:val="none" w:sz="0" w:space="0" w:color="auto"/>
        <w:bottom w:val="none" w:sz="0" w:space="0" w:color="auto"/>
        <w:right w:val="none" w:sz="0" w:space="0" w:color="auto"/>
      </w:divBdr>
    </w:div>
    <w:div w:id="797264174">
      <w:bodyDiv w:val="1"/>
      <w:marLeft w:val="0"/>
      <w:marRight w:val="0"/>
      <w:marTop w:val="0"/>
      <w:marBottom w:val="0"/>
      <w:divBdr>
        <w:top w:val="none" w:sz="0" w:space="0" w:color="auto"/>
        <w:left w:val="none" w:sz="0" w:space="0" w:color="auto"/>
        <w:bottom w:val="none" w:sz="0" w:space="0" w:color="auto"/>
        <w:right w:val="none" w:sz="0" w:space="0" w:color="auto"/>
      </w:divBdr>
    </w:div>
    <w:div w:id="797989236">
      <w:bodyDiv w:val="1"/>
      <w:marLeft w:val="0"/>
      <w:marRight w:val="0"/>
      <w:marTop w:val="0"/>
      <w:marBottom w:val="0"/>
      <w:divBdr>
        <w:top w:val="none" w:sz="0" w:space="0" w:color="auto"/>
        <w:left w:val="none" w:sz="0" w:space="0" w:color="auto"/>
        <w:bottom w:val="none" w:sz="0" w:space="0" w:color="auto"/>
        <w:right w:val="none" w:sz="0" w:space="0" w:color="auto"/>
      </w:divBdr>
    </w:div>
    <w:div w:id="798114735">
      <w:bodyDiv w:val="1"/>
      <w:marLeft w:val="0"/>
      <w:marRight w:val="0"/>
      <w:marTop w:val="0"/>
      <w:marBottom w:val="0"/>
      <w:divBdr>
        <w:top w:val="none" w:sz="0" w:space="0" w:color="auto"/>
        <w:left w:val="none" w:sz="0" w:space="0" w:color="auto"/>
        <w:bottom w:val="none" w:sz="0" w:space="0" w:color="auto"/>
        <w:right w:val="none" w:sz="0" w:space="0" w:color="auto"/>
      </w:divBdr>
    </w:div>
    <w:div w:id="798229313">
      <w:bodyDiv w:val="1"/>
      <w:marLeft w:val="0"/>
      <w:marRight w:val="0"/>
      <w:marTop w:val="0"/>
      <w:marBottom w:val="0"/>
      <w:divBdr>
        <w:top w:val="none" w:sz="0" w:space="0" w:color="auto"/>
        <w:left w:val="none" w:sz="0" w:space="0" w:color="auto"/>
        <w:bottom w:val="none" w:sz="0" w:space="0" w:color="auto"/>
        <w:right w:val="none" w:sz="0" w:space="0" w:color="auto"/>
      </w:divBdr>
    </w:div>
    <w:div w:id="801729667">
      <w:bodyDiv w:val="1"/>
      <w:marLeft w:val="0"/>
      <w:marRight w:val="0"/>
      <w:marTop w:val="0"/>
      <w:marBottom w:val="0"/>
      <w:divBdr>
        <w:top w:val="none" w:sz="0" w:space="0" w:color="auto"/>
        <w:left w:val="none" w:sz="0" w:space="0" w:color="auto"/>
        <w:bottom w:val="none" w:sz="0" w:space="0" w:color="auto"/>
        <w:right w:val="none" w:sz="0" w:space="0" w:color="auto"/>
      </w:divBdr>
    </w:div>
    <w:div w:id="803692159">
      <w:bodyDiv w:val="1"/>
      <w:marLeft w:val="0"/>
      <w:marRight w:val="0"/>
      <w:marTop w:val="0"/>
      <w:marBottom w:val="0"/>
      <w:divBdr>
        <w:top w:val="none" w:sz="0" w:space="0" w:color="auto"/>
        <w:left w:val="none" w:sz="0" w:space="0" w:color="auto"/>
        <w:bottom w:val="none" w:sz="0" w:space="0" w:color="auto"/>
        <w:right w:val="none" w:sz="0" w:space="0" w:color="auto"/>
      </w:divBdr>
    </w:div>
    <w:div w:id="807359445">
      <w:bodyDiv w:val="1"/>
      <w:marLeft w:val="0"/>
      <w:marRight w:val="0"/>
      <w:marTop w:val="0"/>
      <w:marBottom w:val="0"/>
      <w:divBdr>
        <w:top w:val="none" w:sz="0" w:space="0" w:color="auto"/>
        <w:left w:val="none" w:sz="0" w:space="0" w:color="auto"/>
        <w:bottom w:val="none" w:sz="0" w:space="0" w:color="auto"/>
        <w:right w:val="none" w:sz="0" w:space="0" w:color="auto"/>
      </w:divBdr>
    </w:div>
    <w:div w:id="811404279">
      <w:bodyDiv w:val="1"/>
      <w:marLeft w:val="0"/>
      <w:marRight w:val="0"/>
      <w:marTop w:val="0"/>
      <w:marBottom w:val="0"/>
      <w:divBdr>
        <w:top w:val="none" w:sz="0" w:space="0" w:color="auto"/>
        <w:left w:val="none" w:sz="0" w:space="0" w:color="auto"/>
        <w:bottom w:val="none" w:sz="0" w:space="0" w:color="auto"/>
        <w:right w:val="none" w:sz="0" w:space="0" w:color="auto"/>
      </w:divBdr>
    </w:div>
    <w:div w:id="812211699">
      <w:bodyDiv w:val="1"/>
      <w:marLeft w:val="0"/>
      <w:marRight w:val="0"/>
      <w:marTop w:val="0"/>
      <w:marBottom w:val="0"/>
      <w:divBdr>
        <w:top w:val="none" w:sz="0" w:space="0" w:color="auto"/>
        <w:left w:val="none" w:sz="0" w:space="0" w:color="auto"/>
        <w:bottom w:val="none" w:sz="0" w:space="0" w:color="auto"/>
        <w:right w:val="none" w:sz="0" w:space="0" w:color="auto"/>
      </w:divBdr>
    </w:div>
    <w:div w:id="813525326">
      <w:bodyDiv w:val="1"/>
      <w:marLeft w:val="0"/>
      <w:marRight w:val="0"/>
      <w:marTop w:val="0"/>
      <w:marBottom w:val="0"/>
      <w:divBdr>
        <w:top w:val="none" w:sz="0" w:space="0" w:color="auto"/>
        <w:left w:val="none" w:sz="0" w:space="0" w:color="auto"/>
        <w:bottom w:val="none" w:sz="0" w:space="0" w:color="auto"/>
        <w:right w:val="none" w:sz="0" w:space="0" w:color="auto"/>
      </w:divBdr>
    </w:div>
    <w:div w:id="814101352">
      <w:bodyDiv w:val="1"/>
      <w:marLeft w:val="0"/>
      <w:marRight w:val="0"/>
      <w:marTop w:val="0"/>
      <w:marBottom w:val="0"/>
      <w:divBdr>
        <w:top w:val="none" w:sz="0" w:space="0" w:color="auto"/>
        <w:left w:val="none" w:sz="0" w:space="0" w:color="auto"/>
        <w:bottom w:val="none" w:sz="0" w:space="0" w:color="auto"/>
        <w:right w:val="none" w:sz="0" w:space="0" w:color="auto"/>
      </w:divBdr>
    </w:div>
    <w:div w:id="814179570">
      <w:bodyDiv w:val="1"/>
      <w:marLeft w:val="0"/>
      <w:marRight w:val="0"/>
      <w:marTop w:val="0"/>
      <w:marBottom w:val="0"/>
      <w:divBdr>
        <w:top w:val="none" w:sz="0" w:space="0" w:color="auto"/>
        <w:left w:val="none" w:sz="0" w:space="0" w:color="auto"/>
        <w:bottom w:val="none" w:sz="0" w:space="0" w:color="auto"/>
        <w:right w:val="none" w:sz="0" w:space="0" w:color="auto"/>
      </w:divBdr>
    </w:div>
    <w:div w:id="815873270">
      <w:bodyDiv w:val="1"/>
      <w:marLeft w:val="0"/>
      <w:marRight w:val="0"/>
      <w:marTop w:val="0"/>
      <w:marBottom w:val="0"/>
      <w:divBdr>
        <w:top w:val="none" w:sz="0" w:space="0" w:color="auto"/>
        <w:left w:val="none" w:sz="0" w:space="0" w:color="auto"/>
        <w:bottom w:val="none" w:sz="0" w:space="0" w:color="auto"/>
        <w:right w:val="none" w:sz="0" w:space="0" w:color="auto"/>
      </w:divBdr>
    </w:div>
    <w:div w:id="815948108">
      <w:bodyDiv w:val="1"/>
      <w:marLeft w:val="0"/>
      <w:marRight w:val="0"/>
      <w:marTop w:val="0"/>
      <w:marBottom w:val="0"/>
      <w:divBdr>
        <w:top w:val="none" w:sz="0" w:space="0" w:color="auto"/>
        <w:left w:val="none" w:sz="0" w:space="0" w:color="auto"/>
        <w:bottom w:val="none" w:sz="0" w:space="0" w:color="auto"/>
        <w:right w:val="none" w:sz="0" w:space="0" w:color="auto"/>
      </w:divBdr>
    </w:div>
    <w:div w:id="815991876">
      <w:bodyDiv w:val="1"/>
      <w:marLeft w:val="0"/>
      <w:marRight w:val="0"/>
      <w:marTop w:val="0"/>
      <w:marBottom w:val="0"/>
      <w:divBdr>
        <w:top w:val="none" w:sz="0" w:space="0" w:color="auto"/>
        <w:left w:val="none" w:sz="0" w:space="0" w:color="auto"/>
        <w:bottom w:val="none" w:sz="0" w:space="0" w:color="auto"/>
        <w:right w:val="none" w:sz="0" w:space="0" w:color="auto"/>
      </w:divBdr>
    </w:div>
    <w:div w:id="816991007">
      <w:bodyDiv w:val="1"/>
      <w:marLeft w:val="0"/>
      <w:marRight w:val="0"/>
      <w:marTop w:val="0"/>
      <w:marBottom w:val="0"/>
      <w:divBdr>
        <w:top w:val="none" w:sz="0" w:space="0" w:color="auto"/>
        <w:left w:val="none" w:sz="0" w:space="0" w:color="auto"/>
        <w:bottom w:val="none" w:sz="0" w:space="0" w:color="auto"/>
        <w:right w:val="none" w:sz="0" w:space="0" w:color="auto"/>
      </w:divBdr>
    </w:div>
    <w:div w:id="817917536">
      <w:bodyDiv w:val="1"/>
      <w:marLeft w:val="0"/>
      <w:marRight w:val="0"/>
      <w:marTop w:val="0"/>
      <w:marBottom w:val="0"/>
      <w:divBdr>
        <w:top w:val="none" w:sz="0" w:space="0" w:color="auto"/>
        <w:left w:val="none" w:sz="0" w:space="0" w:color="auto"/>
        <w:bottom w:val="none" w:sz="0" w:space="0" w:color="auto"/>
        <w:right w:val="none" w:sz="0" w:space="0" w:color="auto"/>
      </w:divBdr>
    </w:div>
    <w:div w:id="818421865">
      <w:bodyDiv w:val="1"/>
      <w:marLeft w:val="0"/>
      <w:marRight w:val="0"/>
      <w:marTop w:val="0"/>
      <w:marBottom w:val="0"/>
      <w:divBdr>
        <w:top w:val="none" w:sz="0" w:space="0" w:color="auto"/>
        <w:left w:val="none" w:sz="0" w:space="0" w:color="auto"/>
        <w:bottom w:val="none" w:sz="0" w:space="0" w:color="auto"/>
        <w:right w:val="none" w:sz="0" w:space="0" w:color="auto"/>
      </w:divBdr>
    </w:div>
    <w:div w:id="818427475">
      <w:bodyDiv w:val="1"/>
      <w:marLeft w:val="0"/>
      <w:marRight w:val="0"/>
      <w:marTop w:val="0"/>
      <w:marBottom w:val="0"/>
      <w:divBdr>
        <w:top w:val="none" w:sz="0" w:space="0" w:color="auto"/>
        <w:left w:val="none" w:sz="0" w:space="0" w:color="auto"/>
        <w:bottom w:val="none" w:sz="0" w:space="0" w:color="auto"/>
        <w:right w:val="none" w:sz="0" w:space="0" w:color="auto"/>
      </w:divBdr>
    </w:div>
    <w:div w:id="819036062">
      <w:bodyDiv w:val="1"/>
      <w:marLeft w:val="0"/>
      <w:marRight w:val="0"/>
      <w:marTop w:val="0"/>
      <w:marBottom w:val="0"/>
      <w:divBdr>
        <w:top w:val="none" w:sz="0" w:space="0" w:color="auto"/>
        <w:left w:val="none" w:sz="0" w:space="0" w:color="auto"/>
        <w:bottom w:val="none" w:sz="0" w:space="0" w:color="auto"/>
        <w:right w:val="none" w:sz="0" w:space="0" w:color="auto"/>
      </w:divBdr>
    </w:div>
    <w:div w:id="820199385">
      <w:bodyDiv w:val="1"/>
      <w:marLeft w:val="0"/>
      <w:marRight w:val="0"/>
      <w:marTop w:val="0"/>
      <w:marBottom w:val="0"/>
      <w:divBdr>
        <w:top w:val="none" w:sz="0" w:space="0" w:color="auto"/>
        <w:left w:val="none" w:sz="0" w:space="0" w:color="auto"/>
        <w:bottom w:val="none" w:sz="0" w:space="0" w:color="auto"/>
        <w:right w:val="none" w:sz="0" w:space="0" w:color="auto"/>
      </w:divBdr>
    </w:div>
    <w:div w:id="820393483">
      <w:bodyDiv w:val="1"/>
      <w:marLeft w:val="0"/>
      <w:marRight w:val="0"/>
      <w:marTop w:val="0"/>
      <w:marBottom w:val="0"/>
      <w:divBdr>
        <w:top w:val="none" w:sz="0" w:space="0" w:color="auto"/>
        <w:left w:val="none" w:sz="0" w:space="0" w:color="auto"/>
        <w:bottom w:val="none" w:sz="0" w:space="0" w:color="auto"/>
        <w:right w:val="none" w:sz="0" w:space="0" w:color="auto"/>
      </w:divBdr>
    </w:div>
    <w:div w:id="820775207">
      <w:bodyDiv w:val="1"/>
      <w:marLeft w:val="0"/>
      <w:marRight w:val="0"/>
      <w:marTop w:val="0"/>
      <w:marBottom w:val="0"/>
      <w:divBdr>
        <w:top w:val="none" w:sz="0" w:space="0" w:color="auto"/>
        <w:left w:val="none" w:sz="0" w:space="0" w:color="auto"/>
        <w:bottom w:val="none" w:sz="0" w:space="0" w:color="auto"/>
        <w:right w:val="none" w:sz="0" w:space="0" w:color="auto"/>
      </w:divBdr>
    </w:div>
    <w:div w:id="820970253">
      <w:bodyDiv w:val="1"/>
      <w:marLeft w:val="0"/>
      <w:marRight w:val="0"/>
      <w:marTop w:val="0"/>
      <w:marBottom w:val="0"/>
      <w:divBdr>
        <w:top w:val="none" w:sz="0" w:space="0" w:color="auto"/>
        <w:left w:val="none" w:sz="0" w:space="0" w:color="auto"/>
        <w:bottom w:val="none" w:sz="0" w:space="0" w:color="auto"/>
        <w:right w:val="none" w:sz="0" w:space="0" w:color="auto"/>
      </w:divBdr>
    </w:div>
    <w:div w:id="821510506">
      <w:bodyDiv w:val="1"/>
      <w:marLeft w:val="0"/>
      <w:marRight w:val="0"/>
      <w:marTop w:val="0"/>
      <w:marBottom w:val="0"/>
      <w:divBdr>
        <w:top w:val="none" w:sz="0" w:space="0" w:color="auto"/>
        <w:left w:val="none" w:sz="0" w:space="0" w:color="auto"/>
        <w:bottom w:val="none" w:sz="0" w:space="0" w:color="auto"/>
        <w:right w:val="none" w:sz="0" w:space="0" w:color="auto"/>
      </w:divBdr>
    </w:div>
    <w:div w:id="821770640">
      <w:bodyDiv w:val="1"/>
      <w:marLeft w:val="0"/>
      <w:marRight w:val="0"/>
      <w:marTop w:val="0"/>
      <w:marBottom w:val="0"/>
      <w:divBdr>
        <w:top w:val="none" w:sz="0" w:space="0" w:color="auto"/>
        <w:left w:val="none" w:sz="0" w:space="0" w:color="auto"/>
        <w:bottom w:val="none" w:sz="0" w:space="0" w:color="auto"/>
        <w:right w:val="none" w:sz="0" w:space="0" w:color="auto"/>
      </w:divBdr>
    </w:div>
    <w:div w:id="823279561">
      <w:bodyDiv w:val="1"/>
      <w:marLeft w:val="0"/>
      <w:marRight w:val="0"/>
      <w:marTop w:val="0"/>
      <w:marBottom w:val="0"/>
      <w:divBdr>
        <w:top w:val="none" w:sz="0" w:space="0" w:color="auto"/>
        <w:left w:val="none" w:sz="0" w:space="0" w:color="auto"/>
        <w:bottom w:val="none" w:sz="0" w:space="0" w:color="auto"/>
        <w:right w:val="none" w:sz="0" w:space="0" w:color="auto"/>
      </w:divBdr>
    </w:div>
    <w:div w:id="824668917">
      <w:bodyDiv w:val="1"/>
      <w:marLeft w:val="0"/>
      <w:marRight w:val="0"/>
      <w:marTop w:val="0"/>
      <w:marBottom w:val="0"/>
      <w:divBdr>
        <w:top w:val="none" w:sz="0" w:space="0" w:color="auto"/>
        <w:left w:val="none" w:sz="0" w:space="0" w:color="auto"/>
        <w:bottom w:val="none" w:sz="0" w:space="0" w:color="auto"/>
        <w:right w:val="none" w:sz="0" w:space="0" w:color="auto"/>
      </w:divBdr>
    </w:div>
    <w:div w:id="825052226">
      <w:bodyDiv w:val="1"/>
      <w:marLeft w:val="0"/>
      <w:marRight w:val="0"/>
      <w:marTop w:val="0"/>
      <w:marBottom w:val="0"/>
      <w:divBdr>
        <w:top w:val="none" w:sz="0" w:space="0" w:color="auto"/>
        <w:left w:val="none" w:sz="0" w:space="0" w:color="auto"/>
        <w:bottom w:val="none" w:sz="0" w:space="0" w:color="auto"/>
        <w:right w:val="none" w:sz="0" w:space="0" w:color="auto"/>
      </w:divBdr>
    </w:div>
    <w:div w:id="827096663">
      <w:bodyDiv w:val="1"/>
      <w:marLeft w:val="0"/>
      <w:marRight w:val="0"/>
      <w:marTop w:val="0"/>
      <w:marBottom w:val="0"/>
      <w:divBdr>
        <w:top w:val="none" w:sz="0" w:space="0" w:color="auto"/>
        <w:left w:val="none" w:sz="0" w:space="0" w:color="auto"/>
        <w:bottom w:val="none" w:sz="0" w:space="0" w:color="auto"/>
        <w:right w:val="none" w:sz="0" w:space="0" w:color="auto"/>
      </w:divBdr>
    </w:div>
    <w:div w:id="827407323">
      <w:bodyDiv w:val="1"/>
      <w:marLeft w:val="0"/>
      <w:marRight w:val="0"/>
      <w:marTop w:val="0"/>
      <w:marBottom w:val="0"/>
      <w:divBdr>
        <w:top w:val="none" w:sz="0" w:space="0" w:color="auto"/>
        <w:left w:val="none" w:sz="0" w:space="0" w:color="auto"/>
        <w:bottom w:val="none" w:sz="0" w:space="0" w:color="auto"/>
        <w:right w:val="none" w:sz="0" w:space="0" w:color="auto"/>
      </w:divBdr>
    </w:div>
    <w:div w:id="828790108">
      <w:bodyDiv w:val="1"/>
      <w:marLeft w:val="0"/>
      <w:marRight w:val="0"/>
      <w:marTop w:val="0"/>
      <w:marBottom w:val="0"/>
      <w:divBdr>
        <w:top w:val="none" w:sz="0" w:space="0" w:color="auto"/>
        <w:left w:val="none" w:sz="0" w:space="0" w:color="auto"/>
        <w:bottom w:val="none" w:sz="0" w:space="0" w:color="auto"/>
        <w:right w:val="none" w:sz="0" w:space="0" w:color="auto"/>
      </w:divBdr>
    </w:div>
    <w:div w:id="828835321">
      <w:bodyDiv w:val="1"/>
      <w:marLeft w:val="0"/>
      <w:marRight w:val="0"/>
      <w:marTop w:val="0"/>
      <w:marBottom w:val="0"/>
      <w:divBdr>
        <w:top w:val="none" w:sz="0" w:space="0" w:color="auto"/>
        <w:left w:val="none" w:sz="0" w:space="0" w:color="auto"/>
        <w:bottom w:val="none" w:sz="0" w:space="0" w:color="auto"/>
        <w:right w:val="none" w:sz="0" w:space="0" w:color="auto"/>
      </w:divBdr>
    </w:div>
    <w:div w:id="829172928">
      <w:bodyDiv w:val="1"/>
      <w:marLeft w:val="0"/>
      <w:marRight w:val="0"/>
      <w:marTop w:val="0"/>
      <w:marBottom w:val="0"/>
      <w:divBdr>
        <w:top w:val="none" w:sz="0" w:space="0" w:color="auto"/>
        <w:left w:val="none" w:sz="0" w:space="0" w:color="auto"/>
        <w:bottom w:val="none" w:sz="0" w:space="0" w:color="auto"/>
        <w:right w:val="none" w:sz="0" w:space="0" w:color="auto"/>
      </w:divBdr>
    </w:div>
    <w:div w:id="830220346">
      <w:bodyDiv w:val="1"/>
      <w:marLeft w:val="0"/>
      <w:marRight w:val="0"/>
      <w:marTop w:val="0"/>
      <w:marBottom w:val="0"/>
      <w:divBdr>
        <w:top w:val="none" w:sz="0" w:space="0" w:color="auto"/>
        <w:left w:val="none" w:sz="0" w:space="0" w:color="auto"/>
        <w:bottom w:val="none" w:sz="0" w:space="0" w:color="auto"/>
        <w:right w:val="none" w:sz="0" w:space="0" w:color="auto"/>
      </w:divBdr>
    </w:div>
    <w:div w:id="830367749">
      <w:bodyDiv w:val="1"/>
      <w:marLeft w:val="0"/>
      <w:marRight w:val="0"/>
      <w:marTop w:val="0"/>
      <w:marBottom w:val="0"/>
      <w:divBdr>
        <w:top w:val="none" w:sz="0" w:space="0" w:color="auto"/>
        <w:left w:val="none" w:sz="0" w:space="0" w:color="auto"/>
        <w:bottom w:val="none" w:sz="0" w:space="0" w:color="auto"/>
        <w:right w:val="none" w:sz="0" w:space="0" w:color="auto"/>
      </w:divBdr>
    </w:div>
    <w:div w:id="830950946">
      <w:bodyDiv w:val="1"/>
      <w:marLeft w:val="0"/>
      <w:marRight w:val="0"/>
      <w:marTop w:val="0"/>
      <w:marBottom w:val="0"/>
      <w:divBdr>
        <w:top w:val="none" w:sz="0" w:space="0" w:color="auto"/>
        <w:left w:val="none" w:sz="0" w:space="0" w:color="auto"/>
        <w:bottom w:val="none" w:sz="0" w:space="0" w:color="auto"/>
        <w:right w:val="none" w:sz="0" w:space="0" w:color="auto"/>
      </w:divBdr>
    </w:div>
    <w:div w:id="831602350">
      <w:bodyDiv w:val="1"/>
      <w:marLeft w:val="0"/>
      <w:marRight w:val="0"/>
      <w:marTop w:val="0"/>
      <w:marBottom w:val="0"/>
      <w:divBdr>
        <w:top w:val="none" w:sz="0" w:space="0" w:color="auto"/>
        <w:left w:val="none" w:sz="0" w:space="0" w:color="auto"/>
        <w:bottom w:val="none" w:sz="0" w:space="0" w:color="auto"/>
        <w:right w:val="none" w:sz="0" w:space="0" w:color="auto"/>
      </w:divBdr>
    </w:div>
    <w:div w:id="832792306">
      <w:bodyDiv w:val="1"/>
      <w:marLeft w:val="0"/>
      <w:marRight w:val="0"/>
      <w:marTop w:val="0"/>
      <w:marBottom w:val="0"/>
      <w:divBdr>
        <w:top w:val="none" w:sz="0" w:space="0" w:color="auto"/>
        <w:left w:val="none" w:sz="0" w:space="0" w:color="auto"/>
        <w:bottom w:val="none" w:sz="0" w:space="0" w:color="auto"/>
        <w:right w:val="none" w:sz="0" w:space="0" w:color="auto"/>
      </w:divBdr>
    </w:div>
    <w:div w:id="834691058">
      <w:bodyDiv w:val="1"/>
      <w:marLeft w:val="0"/>
      <w:marRight w:val="0"/>
      <w:marTop w:val="0"/>
      <w:marBottom w:val="0"/>
      <w:divBdr>
        <w:top w:val="none" w:sz="0" w:space="0" w:color="auto"/>
        <w:left w:val="none" w:sz="0" w:space="0" w:color="auto"/>
        <w:bottom w:val="none" w:sz="0" w:space="0" w:color="auto"/>
        <w:right w:val="none" w:sz="0" w:space="0" w:color="auto"/>
      </w:divBdr>
    </w:div>
    <w:div w:id="834955117">
      <w:bodyDiv w:val="1"/>
      <w:marLeft w:val="0"/>
      <w:marRight w:val="0"/>
      <w:marTop w:val="0"/>
      <w:marBottom w:val="0"/>
      <w:divBdr>
        <w:top w:val="none" w:sz="0" w:space="0" w:color="auto"/>
        <w:left w:val="none" w:sz="0" w:space="0" w:color="auto"/>
        <w:bottom w:val="none" w:sz="0" w:space="0" w:color="auto"/>
        <w:right w:val="none" w:sz="0" w:space="0" w:color="auto"/>
      </w:divBdr>
    </w:div>
    <w:div w:id="835651489">
      <w:bodyDiv w:val="1"/>
      <w:marLeft w:val="0"/>
      <w:marRight w:val="0"/>
      <w:marTop w:val="0"/>
      <w:marBottom w:val="0"/>
      <w:divBdr>
        <w:top w:val="none" w:sz="0" w:space="0" w:color="auto"/>
        <w:left w:val="none" w:sz="0" w:space="0" w:color="auto"/>
        <w:bottom w:val="none" w:sz="0" w:space="0" w:color="auto"/>
        <w:right w:val="none" w:sz="0" w:space="0" w:color="auto"/>
      </w:divBdr>
    </w:div>
    <w:div w:id="836464128">
      <w:bodyDiv w:val="1"/>
      <w:marLeft w:val="0"/>
      <w:marRight w:val="0"/>
      <w:marTop w:val="0"/>
      <w:marBottom w:val="0"/>
      <w:divBdr>
        <w:top w:val="none" w:sz="0" w:space="0" w:color="auto"/>
        <w:left w:val="none" w:sz="0" w:space="0" w:color="auto"/>
        <w:bottom w:val="none" w:sz="0" w:space="0" w:color="auto"/>
        <w:right w:val="none" w:sz="0" w:space="0" w:color="auto"/>
      </w:divBdr>
    </w:div>
    <w:div w:id="836768681">
      <w:bodyDiv w:val="1"/>
      <w:marLeft w:val="0"/>
      <w:marRight w:val="0"/>
      <w:marTop w:val="0"/>
      <w:marBottom w:val="0"/>
      <w:divBdr>
        <w:top w:val="none" w:sz="0" w:space="0" w:color="auto"/>
        <w:left w:val="none" w:sz="0" w:space="0" w:color="auto"/>
        <w:bottom w:val="none" w:sz="0" w:space="0" w:color="auto"/>
        <w:right w:val="none" w:sz="0" w:space="0" w:color="auto"/>
      </w:divBdr>
    </w:div>
    <w:div w:id="836850623">
      <w:bodyDiv w:val="1"/>
      <w:marLeft w:val="0"/>
      <w:marRight w:val="0"/>
      <w:marTop w:val="0"/>
      <w:marBottom w:val="0"/>
      <w:divBdr>
        <w:top w:val="none" w:sz="0" w:space="0" w:color="auto"/>
        <w:left w:val="none" w:sz="0" w:space="0" w:color="auto"/>
        <w:bottom w:val="none" w:sz="0" w:space="0" w:color="auto"/>
        <w:right w:val="none" w:sz="0" w:space="0" w:color="auto"/>
      </w:divBdr>
    </w:div>
    <w:div w:id="837041663">
      <w:bodyDiv w:val="1"/>
      <w:marLeft w:val="0"/>
      <w:marRight w:val="0"/>
      <w:marTop w:val="0"/>
      <w:marBottom w:val="0"/>
      <w:divBdr>
        <w:top w:val="none" w:sz="0" w:space="0" w:color="auto"/>
        <w:left w:val="none" w:sz="0" w:space="0" w:color="auto"/>
        <w:bottom w:val="none" w:sz="0" w:space="0" w:color="auto"/>
        <w:right w:val="none" w:sz="0" w:space="0" w:color="auto"/>
      </w:divBdr>
    </w:div>
    <w:div w:id="837884921">
      <w:bodyDiv w:val="1"/>
      <w:marLeft w:val="0"/>
      <w:marRight w:val="0"/>
      <w:marTop w:val="0"/>
      <w:marBottom w:val="0"/>
      <w:divBdr>
        <w:top w:val="none" w:sz="0" w:space="0" w:color="auto"/>
        <w:left w:val="none" w:sz="0" w:space="0" w:color="auto"/>
        <w:bottom w:val="none" w:sz="0" w:space="0" w:color="auto"/>
        <w:right w:val="none" w:sz="0" w:space="0" w:color="auto"/>
      </w:divBdr>
    </w:div>
    <w:div w:id="838349331">
      <w:bodyDiv w:val="1"/>
      <w:marLeft w:val="0"/>
      <w:marRight w:val="0"/>
      <w:marTop w:val="0"/>
      <w:marBottom w:val="0"/>
      <w:divBdr>
        <w:top w:val="none" w:sz="0" w:space="0" w:color="auto"/>
        <w:left w:val="none" w:sz="0" w:space="0" w:color="auto"/>
        <w:bottom w:val="none" w:sz="0" w:space="0" w:color="auto"/>
        <w:right w:val="none" w:sz="0" w:space="0" w:color="auto"/>
      </w:divBdr>
    </w:div>
    <w:div w:id="838618532">
      <w:bodyDiv w:val="1"/>
      <w:marLeft w:val="0"/>
      <w:marRight w:val="0"/>
      <w:marTop w:val="0"/>
      <w:marBottom w:val="0"/>
      <w:divBdr>
        <w:top w:val="none" w:sz="0" w:space="0" w:color="auto"/>
        <w:left w:val="none" w:sz="0" w:space="0" w:color="auto"/>
        <w:bottom w:val="none" w:sz="0" w:space="0" w:color="auto"/>
        <w:right w:val="none" w:sz="0" w:space="0" w:color="auto"/>
      </w:divBdr>
    </w:div>
    <w:div w:id="838885494">
      <w:bodyDiv w:val="1"/>
      <w:marLeft w:val="0"/>
      <w:marRight w:val="0"/>
      <w:marTop w:val="0"/>
      <w:marBottom w:val="0"/>
      <w:divBdr>
        <w:top w:val="none" w:sz="0" w:space="0" w:color="auto"/>
        <w:left w:val="none" w:sz="0" w:space="0" w:color="auto"/>
        <w:bottom w:val="none" w:sz="0" w:space="0" w:color="auto"/>
        <w:right w:val="none" w:sz="0" w:space="0" w:color="auto"/>
      </w:divBdr>
    </w:div>
    <w:div w:id="839202574">
      <w:bodyDiv w:val="1"/>
      <w:marLeft w:val="0"/>
      <w:marRight w:val="0"/>
      <w:marTop w:val="0"/>
      <w:marBottom w:val="0"/>
      <w:divBdr>
        <w:top w:val="none" w:sz="0" w:space="0" w:color="auto"/>
        <w:left w:val="none" w:sz="0" w:space="0" w:color="auto"/>
        <w:bottom w:val="none" w:sz="0" w:space="0" w:color="auto"/>
        <w:right w:val="none" w:sz="0" w:space="0" w:color="auto"/>
      </w:divBdr>
    </w:div>
    <w:div w:id="841434119">
      <w:bodyDiv w:val="1"/>
      <w:marLeft w:val="0"/>
      <w:marRight w:val="0"/>
      <w:marTop w:val="0"/>
      <w:marBottom w:val="0"/>
      <w:divBdr>
        <w:top w:val="none" w:sz="0" w:space="0" w:color="auto"/>
        <w:left w:val="none" w:sz="0" w:space="0" w:color="auto"/>
        <w:bottom w:val="none" w:sz="0" w:space="0" w:color="auto"/>
        <w:right w:val="none" w:sz="0" w:space="0" w:color="auto"/>
      </w:divBdr>
    </w:div>
    <w:div w:id="844438201">
      <w:bodyDiv w:val="1"/>
      <w:marLeft w:val="0"/>
      <w:marRight w:val="0"/>
      <w:marTop w:val="0"/>
      <w:marBottom w:val="0"/>
      <w:divBdr>
        <w:top w:val="none" w:sz="0" w:space="0" w:color="auto"/>
        <w:left w:val="none" w:sz="0" w:space="0" w:color="auto"/>
        <w:bottom w:val="none" w:sz="0" w:space="0" w:color="auto"/>
        <w:right w:val="none" w:sz="0" w:space="0" w:color="auto"/>
      </w:divBdr>
    </w:div>
    <w:div w:id="845360382">
      <w:bodyDiv w:val="1"/>
      <w:marLeft w:val="0"/>
      <w:marRight w:val="0"/>
      <w:marTop w:val="0"/>
      <w:marBottom w:val="0"/>
      <w:divBdr>
        <w:top w:val="none" w:sz="0" w:space="0" w:color="auto"/>
        <w:left w:val="none" w:sz="0" w:space="0" w:color="auto"/>
        <w:bottom w:val="none" w:sz="0" w:space="0" w:color="auto"/>
        <w:right w:val="none" w:sz="0" w:space="0" w:color="auto"/>
      </w:divBdr>
    </w:div>
    <w:div w:id="845901140">
      <w:bodyDiv w:val="1"/>
      <w:marLeft w:val="0"/>
      <w:marRight w:val="0"/>
      <w:marTop w:val="0"/>
      <w:marBottom w:val="0"/>
      <w:divBdr>
        <w:top w:val="none" w:sz="0" w:space="0" w:color="auto"/>
        <w:left w:val="none" w:sz="0" w:space="0" w:color="auto"/>
        <w:bottom w:val="none" w:sz="0" w:space="0" w:color="auto"/>
        <w:right w:val="none" w:sz="0" w:space="0" w:color="auto"/>
      </w:divBdr>
    </w:div>
    <w:div w:id="847060052">
      <w:bodyDiv w:val="1"/>
      <w:marLeft w:val="0"/>
      <w:marRight w:val="0"/>
      <w:marTop w:val="0"/>
      <w:marBottom w:val="0"/>
      <w:divBdr>
        <w:top w:val="none" w:sz="0" w:space="0" w:color="auto"/>
        <w:left w:val="none" w:sz="0" w:space="0" w:color="auto"/>
        <w:bottom w:val="none" w:sz="0" w:space="0" w:color="auto"/>
        <w:right w:val="none" w:sz="0" w:space="0" w:color="auto"/>
      </w:divBdr>
    </w:div>
    <w:div w:id="847135568">
      <w:bodyDiv w:val="1"/>
      <w:marLeft w:val="0"/>
      <w:marRight w:val="0"/>
      <w:marTop w:val="0"/>
      <w:marBottom w:val="0"/>
      <w:divBdr>
        <w:top w:val="none" w:sz="0" w:space="0" w:color="auto"/>
        <w:left w:val="none" w:sz="0" w:space="0" w:color="auto"/>
        <w:bottom w:val="none" w:sz="0" w:space="0" w:color="auto"/>
        <w:right w:val="none" w:sz="0" w:space="0" w:color="auto"/>
      </w:divBdr>
    </w:div>
    <w:div w:id="847599112">
      <w:bodyDiv w:val="1"/>
      <w:marLeft w:val="0"/>
      <w:marRight w:val="0"/>
      <w:marTop w:val="0"/>
      <w:marBottom w:val="0"/>
      <w:divBdr>
        <w:top w:val="none" w:sz="0" w:space="0" w:color="auto"/>
        <w:left w:val="none" w:sz="0" w:space="0" w:color="auto"/>
        <w:bottom w:val="none" w:sz="0" w:space="0" w:color="auto"/>
        <w:right w:val="none" w:sz="0" w:space="0" w:color="auto"/>
      </w:divBdr>
    </w:div>
    <w:div w:id="849563872">
      <w:bodyDiv w:val="1"/>
      <w:marLeft w:val="0"/>
      <w:marRight w:val="0"/>
      <w:marTop w:val="0"/>
      <w:marBottom w:val="0"/>
      <w:divBdr>
        <w:top w:val="none" w:sz="0" w:space="0" w:color="auto"/>
        <w:left w:val="none" w:sz="0" w:space="0" w:color="auto"/>
        <w:bottom w:val="none" w:sz="0" w:space="0" w:color="auto"/>
        <w:right w:val="none" w:sz="0" w:space="0" w:color="auto"/>
      </w:divBdr>
    </w:div>
    <w:div w:id="849682007">
      <w:bodyDiv w:val="1"/>
      <w:marLeft w:val="0"/>
      <w:marRight w:val="0"/>
      <w:marTop w:val="0"/>
      <w:marBottom w:val="0"/>
      <w:divBdr>
        <w:top w:val="none" w:sz="0" w:space="0" w:color="auto"/>
        <w:left w:val="none" w:sz="0" w:space="0" w:color="auto"/>
        <w:bottom w:val="none" w:sz="0" w:space="0" w:color="auto"/>
        <w:right w:val="none" w:sz="0" w:space="0" w:color="auto"/>
      </w:divBdr>
    </w:div>
    <w:div w:id="849880167">
      <w:bodyDiv w:val="1"/>
      <w:marLeft w:val="0"/>
      <w:marRight w:val="0"/>
      <w:marTop w:val="0"/>
      <w:marBottom w:val="0"/>
      <w:divBdr>
        <w:top w:val="none" w:sz="0" w:space="0" w:color="auto"/>
        <w:left w:val="none" w:sz="0" w:space="0" w:color="auto"/>
        <w:bottom w:val="none" w:sz="0" w:space="0" w:color="auto"/>
        <w:right w:val="none" w:sz="0" w:space="0" w:color="auto"/>
      </w:divBdr>
    </w:div>
    <w:div w:id="852109381">
      <w:bodyDiv w:val="1"/>
      <w:marLeft w:val="0"/>
      <w:marRight w:val="0"/>
      <w:marTop w:val="0"/>
      <w:marBottom w:val="0"/>
      <w:divBdr>
        <w:top w:val="none" w:sz="0" w:space="0" w:color="auto"/>
        <w:left w:val="none" w:sz="0" w:space="0" w:color="auto"/>
        <w:bottom w:val="none" w:sz="0" w:space="0" w:color="auto"/>
        <w:right w:val="none" w:sz="0" w:space="0" w:color="auto"/>
      </w:divBdr>
    </w:div>
    <w:div w:id="852306187">
      <w:bodyDiv w:val="1"/>
      <w:marLeft w:val="0"/>
      <w:marRight w:val="0"/>
      <w:marTop w:val="0"/>
      <w:marBottom w:val="0"/>
      <w:divBdr>
        <w:top w:val="none" w:sz="0" w:space="0" w:color="auto"/>
        <w:left w:val="none" w:sz="0" w:space="0" w:color="auto"/>
        <w:bottom w:val="none" w:sz="0" w:space="0" w:color="auto"/>
        <w:right w:val="none" w:sz="0" w:space="0" w:color="auto"/>
      </w:divBdr>
    </w:div>
    <w:div w:id="853492802">
      <w:bodyDiv w:val="1"/>
      <w:marLeft w:val="0"/>
      <w:marRight w:val="0"/>
      <w:marTop w:val="0"/>
      <w:marBottom w:val="0"/>
      <w:divBdr>
        <w:top w:val="none" w:sz="0" w:space="0" w:color="auto"/>
        <w:left w:val="none" w:sz="0" w:space="0" w:color="auto"/>
        <w:bottom w:val="none" w:sz="0" w:space="0" w:color="auto"/>
        <w:right w:val="none" w:sz="0" w:space="0" w:color="auto"/>
      </w:divBdr>
    </w:div>
    <w:div w:id="853953765">
      <w:bodyDiv w:val="1"/>
      <w:marLeft w:val="0"/>
      <w:marRight w:val="0"/>
      <w:marTop w:val="0"/>
      <w:marBottom w:val="0"/>
      <w:divBdr>
        <w:top w:val="none" w:sz="0" w:space="0" w:color="auto"/>
        <w:left w:val="none" w:sz="0" w:space="0" w:color="auto"/>
        <w:bottom w:val="none" w:sz="0" w:space="0" w:color="auto"/>
        <w:right w:val="none" w:sz="0" w:space="0" w:color="auto"/>
      </w:divBdr>
    </w:div>
    <w:div w:id="854348049">
      <w:bodyDiv w:val="1"/>
      <w:marLeft w:val="0"/>
      <w:marRight w:val="0"/>
      <w:marTop w:val="0"/>
      <w:marBottom w:val="0"/>
      <w:divBdr>
        <w:top w:val="none" w:sz="0" w:space="0" w:color="auto"/>
        <w:left w:val="none" w:sz="0" w:space="0" w:color="auto"/>
        <w:bottom w:val="none" w:sz="0" w:space="0" w:color="auto"/>
        <w:right w:val="none" w:sz="0" w:space="0" w:color="auto"/>
      </w:divBdr>
    </w:div>
    <w:div w:id="854660746">
      <w:bodyDiv w:val="1"/>
      <w:marLeft w:val="0"/>
      <w:marRight w:val="0"/>
      <w:marTop w:val="0"/>
      <w:marBottom w:val="0"/>
      <w:divBdr>
        <w:top w:val="none" w:sz="0" w:space="0" w:color="auto"/>
        <w:left w:val="none" w:sz="0" w:space="0" w:color="auto"/>
        <w:bottom w:val="none" w:sz="0" w:space="0" w:color="auto"/>
        <w:right w:val="none" w:sz="0" w:space="0" w:color="auto"/>
      </w:divBdr>
      <w:divsChild>
        <w:div w:id="441655516">
          <w:marLeft w:val="0"/>
          <w:marRight w:val="0"/>
          <w:marTop w:val="0"/>
          <w:marBottom w:val="0"/>
          <w:divBdr>
            <w:top w:val="none" w:sz="0" w:space="0" w:color="auto"/>
            <w:left w:val="none" w:sz="0" w:space="0" w:color="auto"/>
            <w:bottom w:val="none" w:sz="0" w:space="0" w:color="auto"/>
            <w:right w:val="none" w:sz="0" w:space="0" w:color="auto"/>
          </w:divBdr>
        </w:div>
      </w:divsChild>
    </w:div>
    <w:div w:id="855651937">
      <w:bodyDiv w:val="1"/>
      <w:marLeft w:val="0"/>
      <w:marRight w:val="0"/>
      <w:marTop w:val="0"/>
      <w:marBottom w:val="0"/>
      <w:divBdr>
        <w:top w:val="none" w:sz="0" w:space="0" w:color="auto"/>
        <w:left w:val="none" w:sz="0" w:space="0" w:color="auto"/>
        <w:bottom w:val="none" w:sz="0" w:space="0" w:color="auto"/>
        <w:right w:val="none" w:sz="0" w:space="0" w:color="auto"/>
      </w:divBdr>
    </w:div>
    <w:div w:id="856770399">
      <w:bodyDiv w:val="1"/>
      <w:marLeft w:val="0"/>
      <w:marRight w:val="0"/>
      <w:marTop w:val="0"/>
      <w:marBottom w:val="0"/>
      <w:divBdr>
        <w:top w:val="none" w:sz="0" w:space="0" w:color="auto"/>
        <w:left w:val="none" w:sz="0" w:space="0" w:color="auto"/>
        <w:bottom w:val="none" w:sz="0" w:space="0" w:color="auto"/>
        <w:right w:val="none" w:sz="0" w:space="0" w:color="auto"/>
      </w:divBdr>
    </w:div>
    <w:div w:id="857889623">
      <w:bodyDiv w:val="1"/>
      <w:marLeft w:val="0"/>
      <w:marRight w:val="0"/>
      <w:marTop w:val="0"/>
      <w:marBottom w:val="0"/>
      <w:divBdr>
        <w:top w:val="none" w:sz="0" w:space="0" w:color="auto"/>
        <w:left w:val="none" w:sz="0" w:space="0" w:color="auto"/>
        <w:bottom w:val="none" w:sz="0" w:space="0" w:color="auto"/>
        <w:right w:val="none" w:sz="0" w:space="0" w:color="auto"/>
      </w:divBdr>
    </w:div>
    <w:div w:id="858467239">
      <w:bodyDiv w:val="1"/>
      <w:marLeft w:val="0"/>
      <w:marRight w:val="0"/>
      <w:marTop w:val="0"/>
      <w:marBottom w:val="0"/>
      <w:divBdr>
        <w:top w:val="none" w:sz="0" w:space="0" w:color="auto"/>
        <w:left w:val="none" w:sz="0" w:space="0" w:color="auto"/>
        <w:bottom w:val="none" w:sz="0" w:space="0" w:color="auto"/>
        <w:right w:val="none" w:sz="0" w:space="0" w:color="auto"/>
      </w:divBdr>
    </w:div>
    <w:div w:id="859513316">
      <w:bodyDiv w:val="1"/>
      <w:marLeft w:val="0"/>
      <w:marRight w:val="0"/>
      <w:marTop w:val="0"/>
      <w:marBottom w:val="0"/>
      <w:divBdr>
        <w:top w:val="none" w:sz="0" w:space="0" w:color="auto"/>
        <w:left w:val="none" w:sz="0" w:space="0" w:color="auto"/>
        <w:bottom w:val="none" w:sz="0" w:space="0" w:color="auto"/>
        <w:right w:val="none" w:sz="0" w:space="0" w:color="auto"/>
      </w:divBdr>
    </w:div>
    <w:div w:id="859515684">
      <w:bodyDiv w:val="1"/>
      <w:marLeft w:val="0"/>
      <w:marRight w:val="0"/>
      <w:marTop w:val="0"/>
      <w:marBottom w:val="0"/>
      <w:divBdr>
        <w:top w:val="none" w:sz="0" w:space="0" w:color="auto"/>
        <w:left w:val="none" w:sz="0" w:space="0" w:color="auto"/>
        <w:bottom w:val="none" w:sz="0" w:space="0" w:color="auto"/>
        <w:right w:val="none" w:sz="0" w:space="0" w:color="auto"/>
      </w:divBdr>
    </w:div>
    <w:div w:id="860164780">
      <w:bodyDiv w:val="1"/>
      <w:marLeft w:val="0"/>
      <w:marRight w:val="0"/>
      <w:marTop w:val="0"/>
      <w:marBottom w:val="0"/>
      <w:divBdr>
        <w:top w:val="none" w:sz="0" w:space="0" w:color="auto"/>
        <w:left w:val="none" w:sz="0" w:space="0" w:color="auto"/>
        <w:bottom w:val="none" w:sz="0" w:space="0" w:color="auto"/>
        <w:right w:val="none" w:sz="0" w:space="0" w:color="auto"/>
      </w:divBdr>
    </w:div>
    <w:div w:id="860775821">
      <w:bodyDiv w:val="1"/>
      <w:marLeft w:val="0"/>
      <w:marRight w:val="0"/>
      <w:marTop w:val="0"/>
      <w:marBottom w:val="0"/>
      <w:divBdr>
        <w:top w:val="none" w:sz="0" w:space="0" w:color="auto"/>
        <w:left w:val="none" w:sz="0" w:space="0" w:color="auto"/>
        <w:bottom w:val="none" w:sz="0" w:space="0" w:color="auto"/>
        <w:right w:val="none" w:sz="0" w:space="0" w:color="auto"/>
      </w:divBdr>
    </w:div>
    <w:div w:id="860825797">
      <w:bodyDiv w:val="1"/>
      <w:marLeft w:val="0"/>
      <w:marRight w:val="0"/>
      <w:marTop w:val="0"/>
      <w:marBottom w:val="0"/>
      <w:divBdr>
        <w:top w:val="none" w:sz="0" w:space="0" w:color="auto"/>
        <w:left w:val="none" w:sz="0" w:space="0" w:color="auto"/>
        <w:bottom w:val="none" w:sz="0" w:space="0" w:color="auto"/>
        <w:right w:val="none" w:sz="0" w:space="0" w:color="auto"/>
      </w:divBdr>
    </w:div>
    <w:div w:id="861433403">
      <w:bodyDiv w:val="1"/>
      <w:marLeft w:val="0"/>
      <w:marRight w:val="0"/>
      <w:marTop w:val="0"/>
      <w:marBottom w:val="0"/>
      <w:divBdr>
        <w:top w:val="none" w:sz="0" w:space="0" w:color="auto"/>
        <w:left w:val="none" w:sz="0" w:space="0" w:color="auto"/>
        <w:bottom w:val="none" w:sz="0" w:space="0" w:color="auto"/>
        <w:right w:val="none" w:sz="0" w:space="0" w:color="auto"/>
      </w:divBdr>
    </w:div>
    <w:div w:id="861672206">
      <w:bodyDiv w:val="1"/>
      <w:marLeft w:val="0"/>
      <w:marRight w:val="0"/>
      <w:marTop w:val="0"/>
      <w:marBottom w:val="0"/>
      <w:divBdr>
        <w:top w:val="none" w:sz="0" w:space="0" w:color="auto"/>
        <w:left w:val="none" w:sz="0" w:space="0" w:color="auto"/>
        <w:bottom w:val="none" w:sz="0" w:space="0" w:color="auto"/>
        <w:right w:val="none" w:sz="0" w:space="0" w:color="auto"/>
      </w:divBdr>
    </w:div>
    <w:div w:id="861941632">
      <w:bodyDiv w:val="1"/>
      <w:marLeft w:val="0"/>
      <w:marRight w:val="0"/>
      <w:marTop w:val="0"/>
      <w:marBottom w:val="0"/>
      <w:divBdr>
        <w:top w:val="none" w:sz="0" w:space="0" w:color="auto"/>
        <w:left w:val="none" w:sz="0" w:space="0" w:color="auto"/>
        <w:bottom w:val="none" w:sz="0" w:space="0" w:color="auto"/>
        <w:right w:val="none" w:sz="0" w:space="0" w:color="auto"/>
      </w:divBdr>
    </w:div>
    <w:div w:id="862286677">
      <w:bodyDiv w:val="1"/>
      <w:marLeft w:val="0"/>
      <w:marRight w:val="0"/>
      <w:marTop w:val="0"/>
      <w:marBottom w:val="0"/>
      <w:divBdr>
        <w:top w:val="none" w:sz="0" w:space="0" w:color="auto"/>
        <w:left w:val="none" w:sz="0" w:space="0" w:color="auto"/>
        <w:bottom w:val="none" w:sz="0" w:space="0" w:color="auto"/>
        <w:right w:val="none" w:sz="0" w:space="0" w:color="auto"/>
      </w:divBdr>
      <w:divsChild>
        <w:div w:id="598028943">
          <w:marLeft w:val="240"/>
          <w:marRight w:val="120"/>
          <w:marTop w:val="120"/>
          <w:marBottom w:val="120"/>
          <w:divBdr>
            <w:top w:val="none" w:sz="0" w:space="0" w:color="auto"/>
            <w:left w:val="none" w:sz="0" w:space="0" w:color="auto"/>
            <w:bottom w:val="none" w:sz="0" w:space="0" w:color="auto"/>
            <w:right w:val="none" w:sz="0" w:space="0" w:color="auto"/>
          </w:divBdr>
        </w:div>
        <w:div w:id="859978187">
          <w:marLeft w:val="240"/>
          <w:marRight w:val="120"/>
          <w:marTop w:val="120"/>
          <w:marBottom w:val="120"/>
          <w:divBdr>
            <w:top w:val="none" w:sz="0" w:space="0" w:color="auto"/>
            <w:left w:val="none" w:sz="0" w:space="0" w:color="auto"/>
            <w:bottom w:val="none" w:sz="0" w:space="0" w:color="auto"/>
            <w:right w:val="none" w:sz="0" w:space="0" w:color="auto"/>
          </w:divBdr>
        </w:div>
        <w:div w:id="1141310649">
          <w:marLeft w:val="240"/>
          <w:marRight w:val="120"/>
          <w:marTop w:val="120"/>
          <w:marBottom w:val="120"/>
          <w:divBdr>
            <w:top w:val="none" w:sz="0" w:space="0" w:color="auto"/>
            <w:left w:val="none" w:sz="0" w:space="0" w:color="auto"/>
            <w:bottom w:val="none" w:sz="0" w:space="0" w:color="auto"/>
            <w:right w:val="none" w:sz="0" w:space="0" w:color="auto"/>
          </w:divBdr>
        </w:div>
        <w:div w:id="1517845951">
          <w:marLeft w:val="240"/>
          <w:marRight w:val="120"/>
          <w:marTop w:val="120"/>
          <w:marBottom w:val="120"/>
          <w:divBdr>
            <w:top w:val="none" w:sz="0" w:space="0" w:color="auto"/>
            <w:left w:val="none" w:sz="0" w:space="0" w:color="auto"/>
            <w:bottom w:val="none" w:sz="0" w:space="0" w:color="auto"/>
            <w:right w:val="none" w:sz="0" w:space="0" w:color="auto"/>
          </w:divBdr>
        </w:div>
      </w:divsChild>
    </w:div>
    <w:div w:id="862862237">
      <w:bodyDiv w:val="1"/>
      <w:marLeft w:val="0"/>
      <w:marRight w:val="0"/>
      <w:marTop w:val="0"/>
      <w:marBottom w:val="0"/>
      <w:divBdr>
        <w:top w:val="none" w:sz="0" w:space="0" w:color="auto"/>
        <w:left w:val="none" w:sz="0" w:space="0" w:color="auto"/>
        <w:bottom w:val="none" w:sz="0" w:space="0" w:color="auto"/>
        <w:right w:val="none" w:sz="0" w:space="0" w:color="auto"/>
      </w:divBdr>
    </w:div>
    <w:div w:id="864246022">
      <w:bodyDiv w:val="1"/>
      <w:marLeft w:val="0"/>
      <w:marRight w:val="0"/>
      <w:marTop w:val="0"/>
      <w:marBottom w:val="0"/>
      <w:divBdr>
        <w:top w:val="none" w:sz="0" w:space="0" w:color="auto"/>
        <w:left w:val="none" w:sz="0" w:space="0" w:color="auto"/>
        <w:bottom w:val="none" w:sz="0" w:space="0" w:color="auto"/>
        <w:right w:val="none" w:sz="0" w:space="0" w:color="auto"/>
      </w:divBdr>
    </w:div>
    <w:div w:id="866917779">
      <w:bodyDiv w:val="1"/>
      <w:marLeft w:val="0"/>
      <w:marRight w:val="0"/>
      <w:marTop w:val="0"/>
      <w:marBottom w:val="0"/>
      <w:divBdr>
        <w:top w:val="none" w:sz="0" w:space="0" w:color="auto"/>
        <w:left w:val="none" w:sz="0" w:space="0" w:color="auto"/>
        <w:bottom w:val="none" w:sz="0" w:space="0" w:color="auto"/>
        <w:right w:val="none" w:sz="0" w:space="0" w:color="auto"/>
      </w:divBdr>
    </w:div>
    <w:div w:id="868491799">
      <w:bodyDiv w:val="1"/>
      <w:marLeft w:val="0"/>
      <w:marRight w:val="0"/>
      <w:marTop w:val="0"/>
      <w:marBottom w:val="0"/>
      <w:divBdr>
        <w:top w:val="none" w:sz="0" w:space="0" w:color="auto"/>
        <w:left w:val="none" w:sz="0" w:space="0" w:color="auto"/>
        <w:bottom w:val="none" w:sz="0" w:space="0" w:color="auto"/>
        <w:right w:val="none" w:sz="0" w:space="0" w:color="auto"/>
      </w:divBdr>
    </w:div>
    <w:div w:id="869756653">
      <w:bodyDiv w:val="1"/>
      <w:marLeft w:val="0"/>
      <w:marRight w:val="0"/>
      <w:marTop w:val="0"/>
      <w:marBottom w:val="0"/>
      <w:divBdr>
        <w:top w:val="none" w:sz="0" w:space="0" w:color="auto"/>
        <w:left w:val="none" w:sz="0" w:space="0" w:color="auto"/>
        <w:bottom w:val="none" w:sz="0" w:space="0" w:color="auto"/>
        <w:right w:val="none" w:sz="0" w:space="0" w:color="auto"/>
      </w:divBdr>
    </w:div>
    <w:div w:id="875118524">
      <w:bodyDiv w:val="1"/>
      <w:marLeft w:val="0"/>
      <w:marRight w:val="0"/>
      <w:marTop w:val="0"/>
      <w:marBottom w:val="0"/>
      <w:divBdr>
        <w:top w:val="none" w:sz="0" w:space="0" w:color="auto"/>
        <w:left w:val="none" w:sz="0" w:space="0" w:color="auto"/>
        <w:bottom w:val="none" w:sz="0" w:space="0" w:color="auto"/>
        <w:right w:val="none" w:sz="0" w:space="0" w:color="auto"/>
      </w:divBdr>
    </w:div>
    <w:div w:id="875123060">
      <w:bodyDiv w:val="1"/>
      <w:marLeft w:val="0"/>
      <w:marRight w:val="0"/>
      <w:marTop w:val="0"/>
      <w:marBottom w:val="0"/>
      <w:divBdr>
        <w:top w:val="none" w:sz="0" w:space="0" w:color="auto"/>
        <w:left w:val="none" w:sz="0" w:space="0" w:color="auto"/>
        <w:bottom w:val="none" w:sz="0" w:space="0" w:color="auto"/>
        <w:right w:val="none" w:sz="0" w:space="0" w:color="auto"/>
      </w:divBdr>
    </w:div>
    <w:div w:id="875197315">
      <w:bodyDiv w:val="1"/>
      <w:marLeft w:val="0"/>
      <w:marRight w:val="0"/>
      <w:marTop w:val="0"/>
      <w:marBottom w:val="0"/>
      <w:divBdr>
        <w:top w:val="none" w:sz="0" w:space="0" w:color="auto"/>
        <w:left w:val="none" w:sz="0" w:space="0" w:color="auto"/>
        <w:bottom w:val="none" w:sz="0" w:space="0" w:color="auto"/>
        <w:right w:val="none" w:sz="0" w:space="0" w:color="auto"/>
      </w:divBdr>
    </w:div>
    <w:div w:id="876166078">
      <w:bodyDiv w:val="1"/>
      <w:marLeft w:val="0"/>
      <w:marRight w:val="0"/>
      <w:marTop w:val="0"/>
      <w:marBottom w:val="0"/>
      <w:divBdr>
        <w:top w:val="none" w:sz="0" w:space="0" w:color="auto"/>
        <w:left w:val="none" w:sz="0" w:space="0" w:color="auto"/>
        <w:bottom w:val="none" w:sz="0" w:space="0" w:color="auto"/>
        <w:right w:val="none" w:sz="0" w:space="0" w:color="auto"/>
      </w:divBdr>
    </w:div>
    <w:div w:id="876241019">
      <w:bodyDiv w:val="1"/>
      <w:marLeft w:val="0"/>
      <w:marRight w:val="0"/>
      <w:marTop w:val="0"/>
      <w:marBottom w:val="0"/>
      <w:divBdr>
        <w:top w:val="none" w:sz="0" w:space="0" w:color="auto"/>
        <w:left w:val="none" w:sz="0" w:space="0" w:color="auto"/>
        <w:bottom w:val="none" w:sz="0" w:space="0" w:color="auto"/>
        <w:right w:val="none" w:sz="0" w:space="0" w:color="auto"/>
      </w:divBdr>
    </w:div>
    <w:div w:id="877475794">
      <w:bodyDiv w:val="1"/>
      <w:marLeft w:val="0"/>
      <w:marRight w:val="0"/>
      <w:marTop w:val="0"/>
      <w:marBottom w:val="0"/>
      <w:divBdr>
        <w:top w:val="none" w:sz="0" w:space="0" w:color="auto"/>
        <w:left w:val="none" w:sz="0" w:space="0" w:color="auto"/>
        <w:bottom w:val="none" w:sz="0" w:space="0" w:color="auto"/>
        <w:right w:val="none" w:sz="0" w:space="0" w:color="auto"/>
      </w:divBdr>
    </w:div>
    <w:div w:id="877816633">
      <w:bodyDiv w:val="1"/>
      <w:marLeft w:val="0"/>
      <w:marRight w:val="0"/>
      <w:marTop w:val="0"/>
      <w:marBottom w:val="0"/>
      <w:divBdr>
        <w:top w:val="none" w:sz="0" w:space="0" w:color="auto"/>
        <w:left w:val="none" w:sz="0" w:space="0" w:color="auto"/>
        <w:bottom w:val="none" w:sz="0" w:space="0" w:color="auto"/>
        <w:right w:val="none" w:sz="0" w:space="0" w:color="auto"/>
      </w:divBdr>
    </w:div>
    <w:div w:id="877933887">
      <w:bodyDiv w:val="1"/>
      <w:marLeft w:val="0"/>
      <w:marRight w:val="0"/>
      <w:marTop w:val="0"/>
      <w:marBottom w:val="0"/>
      <w:divBdr>
        <w:top w:val="none" w:sz="0" w:space="0" w:color="auto"/>
        <w:left w:val="none" w:sz="0" w:space="0" w:color="auto"/>
        <w:bottom w:val="none" w:sz="0" w:space="0" w:color="auto"/>
        <w:right w:val="none" w:sz="0" w:space="0" w:color="auto"/>
      </w:divBdr>
    </w:div>
    <w:div w:id="879048367">
      <w:bodyDiv w:val="1"/>
      <w:marLeft w:val="0"/>
      <w:marRight w:val="0"/>
      <w:marTop w:val="0"/>
      <w:marBottom w:val="0"/>
      <w:divBdr>
        <w:top w:val="none" w:sz="0" w:space="0" w:color="auto"/>
        <w:left w:val="none" w:sz="0" w:space="0" w:color="auto"/>
        <w:bottom w:val="none" w:sz="0" w:space="0" w:color="auto"/>
        <w:right w:val="none" w:sz="0" w:space="0" w:color="auto"/>
      </w:divBdr>
    </w:div>
    <w:div w:id="879782750">
      <w:bodyDiv w:val="1"/>
      <w:marLeft w:val="0"/>
      <w:marRight w:val="0"/>
      <w:marTop w:val="0"/>
      <w:marBottom w:val="0"/>
      <w:divBdr>
        <w:top w:val="none" w:sz="0" w:space="0" w:color="auto"/>
        <w:left w:val="none" w:sz="0" w:space="0" w:color="auto"/>
        <w:bottom w:val="none" w:sz="0" w:space="0" w:color="auto"/>
        <w:right w:val="none" w:sz="0" w:space="0" w:color="auto"/>
      </w:divBdr>
    </w:div>
    <w:div w:id="884410008">
      <w:bodyDiv w:val="1"/>
      <w:marLeft w:val="0"/>
      <w:marRight w:val="0"/>
      <w:marTop w:val="0"/>
      <w:marBottom w:val="0"/>
      <w:divBdr>
        <w:top w:val="none" w:sz="0" w:space="0" w:color="auto"/>
        <w:left w:val="none" w:sz="0" w:space="0" w:color="auto"/>
        <w:bottom w:val="none" w:sz="0" w:space="0" w:color="auto"/>
        <w:right w:val="none" w:sz="0" w:space="0" w:color="auto"/>
      </w:divBdr>
    </w:div>
    <w:div w:id="884563643">
      <w:bodyDiv w:val="1"/>
      <w:marLeft w:val="0"/>
      <w:marRight w:val="0"/>
      <w:marTop w:val="0"/>
      <w:marBottom w:val="0"/>
      <w:divBdr>
        <w:top w:val="none" w:sz="0" w:space="0" w:color="auto"/>
        <w:left w:val="none" w:sz="0" w:space="0" w:color="auto"/>
        <w:bottom w:val="none" w:sz="0" w:space="0" w:color="auto"/>
        <w:right w:val="none" w:sz="0" w:space="0" w:color="auto"/>
      </w:divBdr>
    </w:div>
    <w:div w:id="886525826">
      <w:bodyDiv w:val="1"/>
      <w:marLeft w:val="0"/>
      <w:marRight w:val="0"/>
      <w:marTop w:val="0"/>
      <w:marBottom w:val="0"/>
      <w:divBdr>
        <w:top w:val="none" w:sz="0" w:space="0" w:color="auto"/>
        <w:left w:val="none" w:sz="0" w:space="0" w:color="auto"/>
        <w:bottom w:val="none" w:sz="0" w:space="0" w:color="auto"/>
        <w:right w:val="none" w:sz="0" w:space="0" w:color="auto"/>
      </w:divBdr>
    </w:div>
    <w:div w:id="887375867">
      <w:bodyDiv w:val="1"/>
      <w:marLeft w:val="0"/>
      <w:marRight w:val="0"/>
      <w:marTop w:val="0"/>
      <w:marBottom w:val="0"/>
      <w:divBdr>
        <w:top w:val="none" w:sz="0" w:space="0" w:color="auto"/>
        <w:left w:val="none" w:sz="0" w:space="0" w:color="auto"/>
        <w:bottom w:val="none" w:sz="0" w:space="0" w:color="auto"/>
        <w:right w:val="none" w:sz="0" w:space="0" w:color="auto"/>
      </w:divBdr>
    </w:div>
    <w:div w:id="887380177">
      <w:bodyDiv w:val="1"/>
      <w:marLeft w:val="0"/>
      <w:marRight w:val="0"/>
      <w:marTop w:val="0"/>
      <w:marBottom w:val="0"/>
      <w:divBdr>
        <w:top w:val="none" w:sz="0" w:space="0" w:color="auto"/>
        <w:left w:val="none" w:sz="0" w:space="0" w:color="auto"/>
        <w:bottom w:val="none" w:sz="0" w:space="0" w:color="auto"/>
        <w:right w:val="none" w:sz="0" w:space="0" w:color="auto"/>
      </w:divBdr>
    </w:div>
    <w:div w:id="891044154">
      <w:bodyDiv w:val="1"/>
      <w:marLeft w:val="0"/>
      <w:marRight w:val="0"/>
      <w:marTop w:val="0"/>
      <w:marBottom w:val="0"/>
      <w:divBdr>
        <w:top w:val="none" w:sz="0" w:space="0" w:color="auto"/>
        <w:left w:val="none" w:sz="0" w:space="0" w:color="auto"/>
        <w:bottom w:val="none" w:sz="0" w:space="0" w:color="auto"/>
        <w:right w:val="none" w:sz="0" w:space="0" w:color="auto"/>
      </w:divBdr>
    </w:div>
    <w:div w:id="891890028">
      <w:bodyDiv w:val="1"/>
      <w:marLeft w:val="0"/>
      <w:marRight w:val="0"/>
      <w:marTop w:val="0"/>
      <w:marBottom w:val="0"/>
      <w:divBdr>
        <w:top w:val="none" w:sz="0" w:space="0" w:color="auto"/>
        <w:left w:val="none" w:sz="0" w:space="0" w:color="auto"/>
        <w:bottom w:val="none" w:sz="0" w:space="0" w:color="auto"/>
        <w:right w:val="none" w:sz="0" w:space="0" w:color="auto"/>
      </w:divBdr>
    </w:div>
    <w:div w:id="892273238">
      <w:bodyDiv w:val="1"/>
      <w:marLeft w:val="0"/>
      <w:marRight w:val="0"/>
      <w:marTop w:val="0"/>
      <w:marBottom w:val="0"/>
      <w:divBdr>
        <w:top w:val="none" w:sz="0" w:space="0" w:color="auto"/>
        <w:left w:val="none" w:sz="0" w:space="0" w:color="auto"/>
        <w:bottom w:val="none" w:sz="0" w:space="0" w:color="auto"/>
        <w:right w:val="none" w:sz="0" w:space="0" w:color="auto"/>
      </w:divBdr>
    </w:div>
    <w:div w:id="893858756">
      <w:bodyDiv w:val="1"/>
      <w:marLeft w:val="0"/>
      <w:marRight w:val="0"/>
      <w:marTop w:val="0"/>
      <w:marBottom w:val="0"/>
      <w:divBdr>
        <w:top w:val="none" w:sz="0" w:space="0" w:color="auto"/>
        <w:left w:val="none" w:sz="0" w:space="0" w:color="auto"/>
        <w:bottom w:val="none" w:sz="0" w:space="0" w:color="auto"/>
        <w:right w:val="none" w:sz="0" w:space="0" w:color="auto"/>
      </w:divBdr>
    </w:div>
    <w:div w:id="896086942">
      <w:bodyDiv w:val="1"/>
      <w:marLeft w:val="0"/>
      <w:marRight w:val="0"/>
      <w:marTop w:val="0"/>
      <w:marBottom w:val="0"/>
      <w:divBdr>
        <w:top w:val="none" w:sz="0" w:space="0" w:color="auto"/>
        <w:left w:val="none" w:sz="0" w:space="0" w:color="auto"/>
        <w:bottom w:val="none" w:sz="0" w:space="0" w:color="auto"/>
        <w:right w:val="none" w:sz="0" w:space="0" w:color="auto"/>
      </w:divBdr>
    </w:div>
    <w:div w:id="896555639">
      <w:bodyDiv w:val="1"/>
      <w:marLeft w:val="0"/>
      <w:marRight w:val="0"/>
      <w:marTop w:val="0"/>
      <w:marBottom w:val="0"/>
      <w:divBdr>
        <w:top w:val="none" w:sz="0" w:space="0" w:color="auto"/>
        <w:left w:val="none" w:sz="0" w:space="0" w:color="auto"/>
        <w:bottom w:val="none" w:sz="0" w:space="0" w:color="auto"/>
        <w:right w:val="none" w:sz="0" w:space="0" w:color="auto"/>
      </w:divBdr>
    </w:div>
    <w:div w:id="896817830">
      <w:bodyDiv w:val="1"/>
      <w:marLeft w:val="0"/>
      <w:marRight w:val="0"/>
      <w:marTop w:val="0"/>
      <w:marBottom w:val="0"/>
      <w:divBdr>
        <w:top w:val="none" w:sz="0" w:space="0" w:color="auto"/>
        <w:left w:val="none" w:sz="0" w:space="0" w:color="auto"/>
        <w:bottom w:val="none" w:sz="0" w:space="0" w:color="auto"/>
        <w:right w:val="none" w:sz="0" w:space="0" w:color="auto"/>
      </w:divBdr>
    </w:div>
    <w:div w:id="897088885">
      <w:bodyDiv w:val="1"/>
      <w:marLeft w:val="0"/>
      <w:marRight w:val="0"/>
      <w:marTop w:val="0"/>
      <w:marBottom w:val="0"/>
      <w:divBdr>
        <w:top w:val="none" w:sz="0" w:space="0" w:color="auto"/>
        <w:left w:val="none" w:sz="0" w:space="0" w:color="auto"/>
        <w:bottom w:val="none" w:sz="0" w:space="0" w:color="auto"/>
        <w:right w:val="none" w:sz="0" w:space="0" w:color="auto"/>
      </w:divBdr>
    </w:div>
    <w:div w:id="897284679">
      <w:bodyDiv w:val="1"/>
      <w:marLeft w:val="0"/>
      <w:marRight w:val="0"/>
      <w:marTop w:val="0"/>
      <w:marBottom w:val="0"/>
      <w:divBdr>
        <w:top w:val="none" w:sz="0" w:space="0" w:color="auto"/>
        <w:left w:val="none" w:sz="0" w:space="0" w:color="auto"/>
        <w:bottom w:val="none" w:sz="0" w:space="0" w:color="auto"/>
        <w:right w:val="none" w:sz="0" w:space="0" w:color="auto"/>
      </w:divBdr>
    </w:div>
    <w:div w:id="898590779">
      <w:bodyDiv w:val="1"/>
      <w:marLeft w:val="0"/>
      <w:marRight w:val="0"/>
      <w:marTop w:val="0"/>
      <w:marBottom w:val="0"/>
      <w:divBdr>
        <w:top w:val="none" w:sz="0" w:space="0" w:color="auto"/>
        <w:left w:val="none" w:sz="0" w:space="0" w:color="auto"/>
        <w:bottom w:val="none" w:sz="0" w:space="0" w:color="auto"/>
        <w:right w:val="none" w:sz="0" w:space="0" w:color="auto"/>
      </w:divBdr>
    </w:div>
    <w:div w:id="899749007">
      <w:bodyDiv w:val="1"/>
      <w:marLeft w:val="0"/>
      <w:marRight w:val="0"/>
      <w:marTop w:val="0"/>
      <w:marBottom w:val="0"/>
      <w:divBdr>
        <w:top w:val="none" w:sz="0" w:space="0" w:color="auto"/>
        <w:left w:val="none" w:sz="0" w:space="0" w:color="auto"/>
        <w:bottom w:val="none" w:sz="0" w:space="0" w:color="auto"/>
        <w:right w:val="none" w:sz="0" w:space="0" w:color="auto"/>
      </w:divBdr>
    </w:div>
    <w:div w:id="900557698">
      <w:bodyDiv w:val="1"/>
      <w:marLeft w:val="0"/>
      <w:marRight w:val="0"/>
      <w:marTop w:val="0"/>
      <w:marBottom w:val="0"/>
      <w:divBdr>
        <w:top w:val="none" w:sz="0" w:space="0" w:color="auto"/>
        <w:left w:val="none" w:sz="0" w:space="0" w:color="auto"/>
        <w:bottom w:val="none" w:sz="0" w:space="0" w:color="auto"/>
        <w:right w:val="none" w:sz="0" w:space="0" w:color="auto"/>
      </w:divBdr>
    </w:div>
    <w:div w:id="902183748">
      <w:bodyDiv w:val="1"/>
      <w:marLeft w:val="0"/>
      <w:marRight w:val="0"/>
      <w:marTop w:val="0"/>
      <w:marBottom w:val="0"/>
      <w:divBdr>
        <w:top w:val="none" w:sz="0" w:space="0" w:color="auto"/>
        <w:left w:val="none" w:sz="0" w:space="0" w:color="auto"/>
        <w:bottom w:val="none" w:sz="0" w:space="0" w:color="auto"/>
        <w:right w:val="none" w:sz="0" w:space="0" w:color="auto"/>
      </w:divBdr>
    </w:div>
    <w:div w:id="902836465">
      <w:bodyDiv w:val="1"/>
      <w:marLeft w:val="0"/>
      <w:marRight w:val="0"/>
      <w:marTop w:val="0"/>
      <w:marBottom w:val="0"/>
      <w:divBdr>
        <w:top w:val="none" w:sz="0" w:space="0" w:color="auto"/>
        <w:left w:val="none" w:sz="0" w:space="0" w:color="auto"/>
        <w:bottom w:val="none" w:sz="0" w:space="0" w:color="auto"/>
        <w:right w:val="none" w:sz="0" w:space="0" w:color="auto"/>
      </w:divBdr>
    </w:div>
    <w:div w:id="902836506">
      <w:bodyDiv w:val="1"/>
      <w:marLeft w:val="0"/>
      <w:marRight w:val="0"/>
      <w:marTop w:val="0"/>
      <w:marBottom w:val="0"/>
      <w:divBdr>
        <w:top w:val="none" w:sz="0" w:space="0" w:color="auto"/>
        <w:left w:val="none" w:sz="0" w:space="0" w:color="auto"/>
        <w:bottom w:val="none" w:sz="0" w:space="0" w:color="auto"/>
        <w:right w:val="none" w:sz="0" w:space="0" w:color="auto"/>
      </w:divBdr>
    </w:div>
    <w:div w:id="903636514">
      <w:bodyDiv w:val="1"/>
      <w:marLeft w:val="0"/>
      <w:marRight w:val="0"/>
      <w:marTop w:val="0"/>
      <w:marBottom w:val="0"/>
      <w:divBdr>
        <w:top w:val="none" w:sz="0" w:space="0" w:color="auto"/>
        <w:left w:val="none" w:sz="0" w:space="0" w:color="auto"/>
        <w:bottom w:val="none" w:sz="0" w:space="0" w:color="auto"/>
        <w:right w:val="none" w:sz="0" w:space="0" w:color="auto"/>
      </w:divBdr>
    </w:div>
    <w:div w:id="903879382">
      <w:bodyDiv w:val="1"/>
      <w:marLeft w:val="0"/>
      <w:marRight w:val="0"/>
      <w:marTop w:val="0"/>
      <w:marBottom w:val="0"/>
      <w:divBdr>
        <w:top w:val="none" w:sz="0" w:space="0" w:color="auto"/>
        <w:left w:val="none" w:sz="0" w:space="0" w:color="auto"/>
        <w:bottom w:val="none" w:sz="0" w:space="0" w:color="auto"/>
        <w:right w:val="none" w:sz="0" w:space="0" w:color="auto"/>
      </w:divBdr>
    </w:div>
    <w:div w:id="905067619">
      <w:bodyDiv w:val="1"/>
      <w:marLeft w:val="0"/>
      <w:marRight w:val="0"/>
      <w:marTop w:val="0"/>
      <w:marBottom w:val="0"/>
      <w:divBdr>
        <w:top w:val="none" w:sz="0" w:space="0" w:color="auto"/>
        <w:left w:val="none" w:sz="0" w:space="0" w:color="auto"/>
        <w:bottom w:val="none" w:sz="0" w:space="0" w:color="auto"/>
        <w:right w:val="none" w:sz="0" w:space="0" w:color="auto"/>
      </w:divBdr>
    </w:div>
    <w:div w:id="905719933">
      <w:bodyDiv w:val="1"/>
      <w:marLeft w:val="0"/>
      <w:marRight w:val="0"/>
      <w:marTop w:val="0"/>
      <w:marBottom w:val="0"/>
      <w:divBdr>
        <w:top w:val="none" w:sz="0" w:space="0" w:color="auto"/>
        <w:left w:val="none" w:sz="0" w:space="0" w:color="auto"/>
        <w:bottom w:val="none" w:sz="0" w:space="0" w:color="auto"/>
        <w:right w:val="none" w:sz="0" w:space="0" w:color="auto"/>
      </w:divBdr>
    </w:div>
    <w:div w:id="905916862">
      <w:bodyDiv w:val="1"/>
      <w:marLeft w:val="0"/>
      <w:marRight w:val="0"/>
      <w:marTop w:val="0"/>
      <w:marBottom w:val="0"/>
      <w:divBdr>
        <w:top w:val="none" w:sz="0" w:space="0" w:color="auto"/>
        <w:left w:val="none" w:sz="0" w:space="0" w:color="auto"/>
        <w:bottom w:val="none" w:sz="0" w:space="0" w:color="auto"/>
        <w:right w:val="none" w:sz="0" w:space="0" w:color="auto"/>
      </w:divBdr>
    </w:div>
    <w:div w:id="906035393">
      <w:bodyDiv w:val="1"/>
      <w:marLeft w:val="0"/>
      <w:marRight w:val="0"/>
      <w:marTop w:val="0"/>
      <w:marBottom w:val="0"/>
      <w:divBdr>
        <w:top w:val="none" w:sz="0" w:space="0" w:color="auto"/>
        <w:left w:val="none" w:sz="0" w:space="0" w:color="auto"/>
        <w:bottom w:val="none" w:sz="0" w:space="0" w:color="auto"/>
        <w:right w:val="none" w:sz="0" w:space="0" w:color="auto"/>
      </w:divBdr>
    </w:div>
    <w:div w:id="908534772">
      <w:bodyDiv w:val="1"/>
      <w:marLeft w:val="0"/>
      <w:marRight w:val="0"/>
      <w:marTop w:val="0"/>
      <w:marBottom w:val="0"/>
      <w:divBdr>
        <w:top w:val="none" w:sz="0" w:space="0" w:color="auto"/>
        <w:left w:val="none" w:sz="0" w:space="0" w:color="auto"/>
        <w:bottom w:val="none" w:sz="0" w:space="0" w:color="auto"/>
        <w:right w:val="none" w:sz="0" w:space="0" w:color="auto"/>
      </w:divBdr>
    </w:div>
    <w:div w:id="910625349">
      <w:bodyDiv w:val="1"/>
      <w:marLeft w:val="0"/>
      <w:marRight w:val="0"/>
      <w:marTop w:val="0"/>
      <w:marBottom w:val="0"/>
      <w:divBdr>
        <w:top w:val="none" w:sz="0" w:space="0" w:color="auto"/>
        <w:left w:val="none" w:sz="0" w:space="0" w:color="auto"/>
        <w:bottom w:val="none" w:sz="0" w:space="0" w:color="auto"/>
        <w:right w:val="none" w:sz="0" w:space="0" w:color="auto"/>
      </w:divBdr>
    </w:div>
    <w:div w:id="911893986">
      <w:bodyDiv w:val="1"/>
      <w:marLeft w:val="0"/>
      <w:marRight w:val="0"/>
      <w:marTop w:val="0"/>
      <w:marBottom w:val="0"/>
      <w:divBdr>
        <w:top w:val="none" w:sz="0" w:space="0" w:color="auto"/>
        <w:left w:val="none" w:sz="0" w:space="0" w:color="auto"/>
        <w:bottom w:val="none" w:sz="0" w:space="0" w:color="auto"/>
        <w:right w:val="none" w:sz="0" w:space="0" w:color="auto"/>
      </w:divBdr>
    </w:div>
    <w:div w:id="912011500">
      <w:bodyDiv w:val="1"/>
      <w:marLeft w:val="0"/>
      <w:marRight w:val="0"/>
      <w:marTop w:val="0"/>
      <w:marBottom w:val="0"/>
      <w:divBdr>
        <w:top w:val="none" w:sz="0" w:space="0" w:color="auto"/>
        <w:left w:val="none" w:sz="0" w:space="0" w:color="auto"/>
        <w:bottom w:val="none" w:sz="0" w:space="0" w:color="auto"/>
        <w:right w:val="none" w:sz="0" w:space="0" w:color="auto"/>
      </w:divBdr>
    </w:div>
    <w:div w:id="912353211">
      <w:bodyDiv w:val="1"/>
      <w:marLeft w:val="0"/>
      <w:marRight w:val="0"/>
      <w:marTop w:val="0"/>
      <w:marBottom w:val="0"/>
      <w:divBdr>
        <w:top w:val="none" w:sz="0" w:space="0" w:color="auto"/>
        <w:left w:val="none" w:sz="0" w:space="0" w:color="auto"/>
        <w:bottom w:val="none" w:sz="0" w:space="0" w:color="auto"/>
        <w:right w:val="none" w:sz="0" w:space="0" w:color="auto"/>
      </w:divBdr>
    </w:div>
    <w:div w:id="913276728">
      <w:bodyDiv w:val="1"/>
      <w:marLeft w:val="0"/>
      <w:marRight w:val="0"/>
      <w:marTop w:val="0"/>
      <w:marBottom w:val="0"/>
      <w:divBdr>
        <w:top w:val="none" w:sz="0" w:space="0" w:color="auto"/>
        <w:left w:val="none" w:sz="0" w:space="0" w:color="auto"/>
        <w:bottom w:val="none" w:sz="0" w:space="0" w:color="auto"/>
        <w:right w:val="none" w:sz="0" w:space="0" w:color="auto"/>
      </w:divBdr>
    </w:div>
    <w:div w:id="914321115">
      <w:bodyDiv w:val="1"/>
      <w:marLeft w:val="0"/>
      <w:marRight w:val="0"/>
      <w:marTop w:val="0"/>
      <w:marBottom w:val="0"/>
      <w:divBdr>
        <w:top w:val="none" w:sz="0" w:space="0" w:color="auto"/>
        <w:left w:val="none" w:sz="0" w:space="0" w:color="auto"/>
        <w:bottom w:val="none" w:sz="0" w:space="0" w:color="auto"/>
        <w:right w:val="none" w:sz="0" w:space="0" w:color="auto"/>
      </w:divBdr>
    </w:div>
    <w:div w:id="914629320">
      <w:bodyDiv w:val="1"/>
      <w:marLeft w:val="0"/>
      <w:marRight w:val="0"/>
      <w:marTop w:val="0"/>
      <w:marBottom w:val="0"/>
      <w:divBdr>
        <w:top w:val="none" w:sz="0" w:space="0" w:color="auto"/>
        <w:left w:val="none" w:sz="0" w:space="0" w:color="auto"/>
        <w:bottom w:val="none" w:sz="0" w:space="0" w:color="auto"/>
        <w:right w:val="none" w:sz="0" w:space="0" w:color="auto"/>
      </w:divBdr>
    </w:div>
    <w:div w:id="914975591">
      <w:bodyDiv w:val="1"/>
      <w:marLeft w:val="0"/>
      <w:marRight w:val="0"/>
      <w:marTop w:val="0"/>
      <w:marBottom w:val="0"/>
      <w:divBdr>
        <w:top w:val="none" w:sz="0" w:space="0" w:color="auto"/>
        <w:left w:val="none" w:sz="0" w:space="0" w:color="auto"/>
        <w:bottom w:val="none" w:sz="0" w:space="0" w:color="auto"/>
        <w:right w:val="none" w:sz="0" w:space="0" w:color="auto"/>
      </w:divBdr>
    </w:div>
    <w:div w:id="915044898">
      <w:bodyDiv w:val="1"/>
      <w:marLeft w:val="0"/>
      <w:marRight w:val="0"/>
      <w:marTop w:val="0"/>
      <w:marBottom w:val="0"/>
      <w:divBdr>
        <w:top w:val="none" w:sz="0" w:space="0" w:color="auto"/>
        <w:left w:val="none" w:sz="0" w:space="0" w:color="auto"/>
        <w:bottom w:val="none" w:sz="0" w:space="0" w:color="auto"/>
        <w:right w:val="none" w:sz="0" w:space="0" w:color="auto"/>
      </w:divBdr>
    </w:div>
    <w:div w:id="915474342">
      <w:bodyDiv w:val="1"/>
      <w:marLeft w:val="0"/>
      <w:marRight w:val="0"/>
      <w:marTop w:val="0"/>
      <w:marBottom w:val="0"/>
      <w:divBdr>
        <w:top w:val="none" w:sz="0" w:space="0" w:color="auto"/>
        <w:left w:val="none" w:sz="0" w:space="0" w:color="auto"/>
        <w:bottom w:val="none" w:sz="0" w:space="0" w:color="auto"/>
        <w:right w:val="none" w:sz="0" w:space="0" w:color="auto"/>
      </w:divBdr>
    </w:div>
    <w:div w:id="916093991">
      <w:bodyDiv w:val="1"/>
      <w:marLeft w:val="0"/>
      <w:marRight w:val="0"/>
      <w:marTop w:val="0"/>
      <w:marBottom w:val="0"/>
      <w:divBdr>
        <w:top w:val="none" w:sz="0" w:space="0" w:color="auto"/>
        <w:left w:val="none" w:sz="0" w:space="0" w:color="auto"/>
        <w:bottom w:val="none" w:sz="0" w:space="0" w:color="auto"/>
        <w:right w:val="none" w:sz="0" w:space="0" w:color="auto"/>
      </w:divBdr>
    </w:div>
    <w:div w:id="916135345">
      <w:bodyDiv w:val="1"/>
      <w:marLeft w:val="0"/>
      <w:marRight w:val="0"/>
      <w:marTop w:val="0"/>
      <w:marBottom w:val="0"/>
      <w:divBdr>
        <w:top w:val="none" w:sz="0" w:space="0" w:color="auto"/>
        <w:left w:val="none" w:sz="0" w:space="0" w:color="auto"/>
        <w:bottom w:val="none" w:sz="0" w:space="0" w:color="auto"/>
        <w:right w:val="none" w:sz="0" w:space="0" w:color="auto"/>
      </w:divBdr>
    </w:div>
    <w:div w:id="916599348">
      <w:bodyDiv w:val="1"/>
      <w:marLeft w:val="0"/>
      <w:marRight w:val="0"/>
      <w:marTop w:val="0"/>
      <w:marBottom w:val="0"/>
      <w:divBdr>
        <w:top w:val="none" w:sz="0" w:space="0" w:color="auto"/>
        <w:left w:val="none" w:sz="0" w:space="0" w:color="auto"/>
        <w:bottom w:val="none" w:sz="0" w:space="0" w:color="auto"/>
        <w:right w:val="none" w:sz="0" w:space="0" w:color="auto"/>
      </w:divBdr>
    </w:div>
    <w:div w:id="916937796">
      <w:bodyDiv w:val="1"/>
      <w:marLeft w:val="0"/>
      <w:marRight w:val="0"/>
      <w:marTop w:val="0"/>
      <w:marBottom w:val="0"/>
      <w:divBdr>
        <w:top w:val="none" w:sz="0" w:space="0" w:color="auto"/>
        <w:left w:val="none" w:sz="0" w:space="0" w:color="auto"/>
        <w:bottom w:val="none" w:sz="0" w:space="0" w:color="auto"/>
        <w:right w:val="none" w:sz="0" w:space="0" w:color="auto"/>
      </w:divBdr>
    </w:div>
    <w:div w:id="917523394">
      <w:bodyDiv w:val="1"/>
      <w:marLeft w:val="0"/>
      <w:marRight w:val="0"/>
      <w:marTop w:val="0"/>
      <w:marBottom w:val="0"/>
      <w:divBdr>
        <w:top w:val="none" w:sz="0" w:space="0" w:color="auto"/>
        <w:left w:val="none" w:sz="0" w:space="0" w:color="auto"/>
        <w:bottom w:val="none" w:sz="0" w:space="0" w:color="auto"/>
        <w:right w:val="none" w:sz="0" w:space="0" w:color="auto"/>
      </w:divBdr>
    </w:div>
    <w:div w:id="918558586">
      <w:bodyDiv w:val="1"/>
      <w:marLeft w:val="0"/>
      <w:marRight w:val="0"/>
      <w:marTop w:val="0"/>
      <w:marBottom w:val="0"/>
      <w:divBdr>
        <w:top w:val="none" w:sz="0" w:space="0" w:color="auto"/>
        <w:left w:val="none" w:sz="0" w:space="0" w:color="auto"/>
        <w:bottom w:val="none" w:sz="0" w:space="0" w:color="auto"/>
        <w:right w:val="none" w:sz="0" w:space="0" w:color="auto"/>
      </w:divBdr>
    </w:div>
    <w:div w:id="919020723">
      <w:bodyDiv w:val="1"/>
      <w:marLeft w:val="0"/>
      <w:marRight w:val="0"/>
      <w:marTop w:val="0"/>
      <w:marBottom w:val="0"/>
      <w:divBdr>
        <w:top w:val="none" w:sz="0" w:space="0" w:color="auto"/>
        <w:left w:val="none" w:sz="0" w:space="0" w:color="auto"/>
        <w:bottom w:val="none" w:sz="0" w:space="0" w:color="auto"/>
        <w:right w:val="none" w:sz="0" w:space="0" w:color="auto"/>
      </w:divBdr>
    </w:div>
    <w:div w:id="919296896">
      <w:bodyDiv w:val="1"/>
      <w:marLeft w:val="0"/>
      <w:marRight w:val="0"/>
      <w:marTop w:val="0"/>
      <w:marBottom w:val="0"/>
      <w:divBdr>
        <w:top w:val="none" w:sz="0" w:space="0" w:color="auto"/>
        <w:left w:val="none" w:sz="0" w:space="0" w:color="auto"/>
        <w:bottom w:val="none" w:sz="0" w:space="0" w:color="auto"/>
        <w:right w:val="none" w:sz="0" w:space="0" w:color="auto"/>
      </w:divBdr>
    </w:div>
    <w:div w:id="919676514">
      <w:bodyDiv w:val="1"/>
      <w:marLeft w:val="0"/>
      <w:marRight w:val="0"/>
      <w:marTop w:val="0"/>
      <w:marBottom w:val="0"/>
      <w:divBdr>
        <w:top w:val="none" w:sz="0" w:space="0" w:color="auto"/>
        <w:left w:val="none" w:sz="0" w:space="0" w:color="auto"/>
        <w:bottom w:val="none" w:sz="0" w:space="0" w:color="auto"/>
        <w:right w:val="none" w:sz="0" w:space="0" w:color="auto"/>
      </w:divBdr>
    </w:div>
    <w:div w:id="921138002">
      <w:bodyDiv w:val="1"/>
      <w:marLeft w:val="0"/>
      <w:marRight w:val="0"/>
      <w:marTop w:val="0"/>
      <w:marBottom w:val="0"/>
      <w:divBdr>
        <w:top w:val="none" w:sz="0" w:space="0" w:color="auto"/>
        <w:left w:val="none" w:sz="0" w:space="0" w:color="auto"/>
        <w:bottom w:val="none" w:sz="0" w:space="0" w:color="auto"/>
        <w:right w:val="none" w:sz="0" w:space="0" w:color="auto"/>
      </w:divBdr>
    </w:div>
    <w:div w:id="921573694">
      <w:bodyDiv w:val="1"/>
      <w:marLeft w:val="0"/>
      <w:marRight w:val="0"/>
      <w:marTop w:val="0"/>
      <w:marBottom w:val="0"/>
      <w:divBdr>
        <w:top w:val="none" w:sz="0" w:space="0" w:color="auto"/>
        <w:left w:val="none" w:sz="0" w:space="0" w:color="auto"/>
        <w:bottom w:val="none" w:sz="0" w:space="0" w:color="auto"/>
        <w:right w:val="none" w:sz="0" w:space="0" w:color="auto"/>
      </w:divBdr>
    </w:div>
    <w:div w:id="923337902">
      <w:bodyDiv w:val="1"/>
      <w:marLeft w:val="0"/>
      <w:marRight w:val="0"/>
      <w:marTop w:val="0"/>
      <w:marBottom w:val="0"/>
      <w:divBdr>
        <w:top w:val="none" w:sz="0" w:space="0" w:color="auto"/>
        <w:left w:val="none" w:sz="0" w:space="0" w:color="auto"/>
        <w:bottom w:val="none" w:sz="0" w:space="0" w:color="auto"/>
        <w:right w:val="none" w:sz="0" w:space="0" w:color="auto"/>
      </w:divBdr>
    </w:div>
    <w:div w:id="923684726">
      <w:bodyDiv w:val="1"/>
      <w:marLeft w:val="0"/>
      <w:marRight w:val="0"/>
      <w:marTop w:val="0"/>
      <w:marBottom w:val="0"/>
      <w:divBdr>
        <w:top w:val="none" w:sz="0" w:space="0" w:color="auto"/>
        <w:left w:val="none" w:sz="0" w:space="0" w:color="auto"/>
        <w:bottom w:val="none" w:sz="0" w:space="0" w:color="auto"/>
        <w:right w:val="none" w:sz="0" w:space="0" w:color="auto"/>
      </w:divBdr>
    </w:div>
    <w:div w:id="923802506">
      <w:bodyDiv w:val="1"/>
      <w:marLeft w:val="0"/>
      <w:marRight w:val="0"/>
      <w:marTop w:val="0"/>
      <w:marBottom w:val="0"/>
      <w:divBdr>
        <w:top w:val="none" w:sz="0" w:space="0" w:color="auto"/>
        <w:left w:val="none" w:sz="0" w:space="0" w:color="auto"/>
        <w:bottom w:val="none" w:sz="0" w:space="0" w:color="auto"/>
        <w:right w:val="none" w:sz="0" w:space="0" w:color="auto"/>
      </w:divBdr>
    </w:div>
    <w:div w:id="925111314">
      <w:bodyDiv w:val="1"/>
      <w:marLeft w:val="0"/>
      <w:marRight w:val="0"/>
      <w:marTop w:val="0"/>
      <w:marBottom w:val="0"/>
      <w:divBdr>
        <w:top w:val="none" w:sz="0" w:space="0" w:color="auto"/>
        <w:left w:val="none" w:sz="0" w:space="0" w:color="auto"/>
        <w:bottom w:val="none" w:sz="0" w:space="0" w:color="auto"/>
        <w:right w:val="none" w:sz="0" w:space="0" w:color="auto"/>
      </w:divBdr>
    </w:div>
    <w:div w:id="925650222">
      <w:bodyDiv w:val="1"/>
      <w:marLeft w:val="0"/>
      <w:marRight w:val="0"/>
      <w:marTop w:val="0"/>
      <w:marBottom w:val="0"/>
      <w:divBdr>
        <w:top w:val="none" w:sz="0" w:space="0" w:color="auto"/>
        <w:left w:val="none" w:sz="0" w:space="0" w:color="auto"/>
        <w:bottom w:val="none" w:sz="0" w:space="0" w:color="auto"/>
        <w:right w:val="none" w:sz="0" w:space="0" w:color="auto"/>
      </w:divBdr>
    </w:div>
    <w:div w:id="925964837">
      <w:bodyDiv w:val="1"/>
      <w:marLeft w:val="0"/>
      <w:marRight w:val="0"/>
      <w:marTop w:val="0"/>
      <w:marBottom w:val="0"/>
      <w:divBdr>
        <w:top w:val="none" w:sz="0" w:space="0" w:color="auto"/>
        <w:left w:val="none" w:sz="0" w:space="0" w:color="auto"/>
        <w:bottom w:val="none" w:sz="0" w:space="0" w:color="auto"/>
        <w:right w:val="none" w:sz="0" w:space="0" w:color="auto"/>
      </w:divBdr>
    </w:div>
    <w:div w:id="926310506">
      <w:bodyDiv w:val="1"/>
      <w:marLeft w:val="0"/>
      <w:marRight w:val="0"/>
      <w:marTop w:val="0"/>
      <w:marBottom w:val="0"/>
      <w:divBdr>
        <w:top w:val="none" w:sz="0" w:space="0" w:color="auto"/>
        <w:left w:val="none" w:sz="0" w:space="0" w:color="auto"/>
        <w:bottom w:val="none" w:sz="0" w:space="0" w:color="auto"/>
        <w:right w:val="none" w:sz="0" w:space="0" w:color="auto"/>
      </w:divBdr>
    </w:div>
    <w:div w:id="927231991">
      <w:bodyDiv w:val="1"/>
      <w:marLeft w:val="0"/>
      <w:marRight w:val="0"/>
      <w:marTop w:val="0"/>
      <w:marBottom w:val="0"/>
      <w:divBdr>
        <w:top w:val="none" w:sz="0" w:space="0" w:color="auto"/>
        <w:left w:val="none" w:sz="0" w:space="0" w:color="auto"/>
        <w:bottom w:val="none" w:sz="0" w:space="0" w:color="auto"/>
        <w:right w:val="none" w:sz="0" w:space="0" w:color="auto"/>
      </w:divBdr>
    </w:div>
    <w:div w:id="927882238">
      <w:bodyDiv w:val="1"/>
      <w:marLeft w:val="0"/>
      <w:marRight w:val="0"/>
      <w:marTop w:val="0"/>
      <w:marBottom w:val="0"/>
      <w:divBdr>
        <w:top w:val="none" w:sz="0" w:space="0" w:color="auto"/>
        <w:left w:val="none" w:sz="0" w:space="0" w:color="auto"/>
        <w:bottom w:val="none" w:sz="0" w:space="0" w:color="auto"/>
        <w:right w:val="none" w:sz="0" w:space="0" w:color="auto"/>
      </w:divBdr>
    </w:div>
    <w:div w:id="928124104">
      <w:bodyDiv w:val="1"/>
      <w:marLeft w:val="0"/>
      <w:marRight w:val="0"/>
      <w:marTop w:val="0"/>
      <w:marBottom w:val="0"/>
      <w:divBdr>
        <w:top w:val="none" w:sz="0" w:space="0" w:color="auto"/>
        <w:left w:val="none" w:sz="0" w:space="0" w:color="auto"/>
        <w:bottom w:val="none" w:sz="0" w:space="0" w:color="auto"/>
        <w:right w:val="none" w:sz="0" w:space="0" w:color="auto"/>
      </w:divBdr>
    </w:div>
    <w:div w:id="929629945">
      <w:bodyDiv w:val="1"/>
      <w:marLeft w:val="0"/>
      <w:marRight w:val="0"/>
      <w:marTop w:val="0"/>
      <w:marBottom w:val="0"/>
      <w:divBdr>
        <w:top w:val="none" w:sz="0" w:space="0" w:color="auto"/>
        <w:left w:val="none" w:sz="0" w:space="0" w:color="auto"/>
        <w:bottom w:val="none" w:sz="0" w:space="0" w:color="auto"/>
        <w:right w:val="none" w:sz="0" w:space="0" w:color="auto"/>
      </w:divBdr>
    </w:div>
    <w:div w:id="929775556">
      <w:bodyDiv w:val="1"/>
      <w:marLeft w:val="0"/>
      <w:marRight w:val="0"/>
      <w:marTop w:val="0"/>
      <w:marBottom w:val="0"/>
      <w:divBdr>
        <w:top w:val="none" w:sz="0" w:space="0" w:color="auto"/>
        <w:left w:val="none" w:sz="0" w:space="0" w:color="auto"/>
        <w:bottom w:val="none" w:sz="0" w:space="0" w:color="auto"/>
        <w:right w:val="none" w:sz="0" w:space="0" w:color="auto"/>
      </w:divBdr>
    </w:div>
    <w:div w:id="930044237">
      <w:bodyDiv w:val="1"/>
      <w:marLeft w:val="0"/>
      <w:marRight w:val="0"/>
      <w:marTop w:val="0"/>
      <w:marBottom w:val="0"/>
      <w:divBdr>
        <w:top w:val="none" w:sz="0" w:space="0" w:color="auto"/>
        <w:left w:val="none" w:sz="0" w:space="0" w:color="auto"/>
        <w:bottom w:val="none" w:sz="0" w:space="0" w:color="auto"/>
        <w:right w:val="none" w:sz="0" w:space="0" w:color="auto"/>
      </w:divBdr>
    </w:div>
    <w:div w:id="930890348">
      <w:bodyDiv w:val="1"/>
      <w:marLeft w:val="0"/>
      <w:marRight w:val="0"/>
      <w:marTop w:val="0"/>
      <w:marBottom w:val="0"/>
      <w:divBdr>
        <w:top w:val="none" w:sz="0" w:space="0" w:color="auto"/>
        <w:left w:val="none" w:sz="0" w:space="0" w:color="auto"/>
        <w:bottom w:val="none" w:sz="0" w:space="0" w:color="auto"/>
        <w:right w:val="none" w:sz="0" w:space="0" w:color="auto"/>
      </w:divBdr>
    </w:div>
    <w:div w:id="930893468">
      <w:bodyDiv w:val="1"/>
      <w:marLeft w:val="0"/>
      <w:marRight w:val="0"/>
      <w:marTop w:val="0"/>
      <w:marBottom w:val="0"/>
      <w:divBdr>
        <w:top w:val="none" w:sz="0" w:space="0" w:color="auto"/>
        <w:left w:val="none" w:sz="0" w:space="0" w:color="auto"/>
        <w:bottom w:val="none" w:sz="0" w:space="0" w:color="auto"/>
        <w:right w:val="none" w:sz="0" w:space="0" w:color="auto"/>
      </w:divBdr>
    </w:div>
    <w:div w:id="931208168">
      <w:bodyDiv w:val="1"/>
      <w:marLeft w:val="0"/>
      <w:marRight w:val="0"/>
      <w:marTop w:val="0"/>
      <w:marBottom w:val="0"/>
      <w:divBdr>
        <w:top w:val="none" w:sz="0" w:space="0" w:color="auto"/>
        <w:left w:val="none" w:sz="0" w:space="0" w:color="auto"/>
        <w:bottom w:val="none" w:sz="0" w:space="0" w:color="auto"/>
        <w:right w:val="none" w:sz="0" w:space="0" w:color="auto"/>
      </w:divBdr>
    </w:div>
    <w:div w:id="932662100">
      <w:bodyDiv w:val="1"/>
      <w:marLeft w:val="0"/>
      <w:marRight w:val="0"/>
      <w:marTop w:val="0"/>
      <w:marBottom w:val="0"/>
      <w:divBdr>
        <w:top w:val="none" w:sz="0" w:space="0" w:color="auto"/>
        <w:left w:val="none" w:sz="0" w:space="0" w:color="auto"/>
        <w:bottom w:val="none" w:sz="0" w:space="0" w:color="auto"/>
        <w:right w:val="none" w:sz="0" w:space="0" w:color="auto"/>
      </w:divBdr>
    </w:div>
    <w:div w:id="932935248">
      <w:bodyDiv w:val="1"/>
      <w:marLeft w:val="0"/>
      <w:marRight w:val="0"/>
      <w:marTop w:val="0"/>
      <w:marBottom w:val="0"/>
      <w:divBdr>
        <w:top w:val="none" w:sz="0" w:space="0" w:color="auto"/>
        <w:left w:val="none" w:sz="0" w:space="0" w:color="auto"/>
        <w:bottom w:val="none" w:sz="0" w:space="0" w:color="auto"/>
        <w:right w:val="none" w:sz="0" w:space="0" w:color="auto"/>
      </w:divBdr>
    </w:div>
    <w:div w:id="933124787">
      <w:bodyDiv w:val="1"/>
      <w:marLeft w:val="0"/>
      <w:marRight w:val="0"/>
      <w:marTop w:val="0"/>
      <w:marBottom w:val="0"/>
      <w:divBdr>
        <w:top w:val="none" w:sz="0" w:space="0" w:color="auto"/>
        <w:left w:val="none" w:sz="0" w:space="0" w:color="auto"/>
        <w:bottom w:val="none" w:sz="0" w:space="0" w:color="auto"/>
        <w:right w:val="none" w:sz="0" w:space="0" w:color="auto"/>
      </w:divBdr>
    </w:div>
    <w:div w:id="933628854">
      <w:bodyDiv w:val="1"/>
      <w:marLeft w:val="0"/>
      <w:marRight w:val="0"/>
      <w:marTop w:val="0"/>
      <w:marBottom w:val="0"/>
      <w:divBdr>
        <w:top w:val="none" w:sz="0" w:space="0" w:color="auto"/>
        <w:left w:val="none" w:sz="0" w:space="0" w:color="auto"/>
        <w:bottom w:val="none" w:sz="0" w:space="0" w:color="auto"/>
        <w:right w:val="none" w:sz="0" w:space="0" w:color="auto"/>
      </w:divBdr>
    </w:div>
    <w:div w:id="934440658">
      <w:bodyDiv w:val="1"/>
      <w:marLeft w:val="0"/>
      <w:marRight w:val="0"/>
      <w:marTop w:val="0"/>
      <w:marBottom w:val="0"/>
      <w:divBdr>
        <w:top w:val="none" w:sz="0" w:space="0" w:color="auto"/>
        <w:left w:val="none" w:sz="0" w:space="0" w:color="auto"/>
        <w:bottom w:val="none" w:sz="0" w:space="0" w:color="auto"/>
        <w:right w:val="none" w:sz="0" w:space="0" w:color="auto"/>
      </w:divBdr>
    </w:div>
    <w:div w:id="935334483">
      <w:bodyDiv w:val="1"/>
      <w:marLeft w:val="0"/>
      <w:marRight w:val="0"/>
      <w:marTop w:val="0"/>
      <w:marBottom w:val="0"/>
      <w:divBdr>
        <w:top w:val="none" w:sz="0" w:space="0" w:color="auto"/>
        <w:left w:val="none" w:sz="0" w:space="0" w:color="auto"/>
        <w:bottom w:val="none" w:sz="0" w:space="0" w:color="auto"/>
        <w:right w:val="none" w:sz="0" w:space="0" w:color="auto"/>
      </w:divBdr>
    </w:div>
    <w:div w:id="935406608">
      <w:bodyDiv w:val="1"/>
      <w:marLeft w:val="0"/>
      <w:marRight w:val="0"/>
      <w:marTop w:val="0"/>
      <w:marBottom w:val="0"/>
      <w:divBdr>
        <w:top w:val="none" w:sz="0" w:space="0" w:color="auto"/>
        <w:left w:val="none" w:sz="0" w:space="0" w:color="auto"/>
        <w:bottom w:val="none" w:sz="0" w:space="0" w:color="auto"/>
        <w:right w:val="none" w:sz="0" w:space="0" w:color="auto"/>
      </w:divBdr>
    </w:div>
    <w:div w:id="936987435">
      <w:bodyDiv w:val="1"/>
      <w:marLeft w:val="0"/>
      <w:marRight w:val="0"/>
      <w:marTop w:val="0"/>
      <w:marBottom w:val="0"/>
      <w:divBdr>
        <w:top w:val="none" w:sz="0" w:space="0" w:color="auto"/>
        <w:left w:val="none" w:sz="0" w:space="0" w:color="auto"/>
        <w:bottom w:val="none" w:sz="0" w:space="0" w:color="auto"/>
        <w:right w:val="none" w:sz="0" w:space="0" w:color="auto"/>
      </w:divBdr>
    </w:div>
    <w:div w:id="938686175">
      <w:bodyDiv w:val="1"/>
      <w:marLeft w:val="0"/>
      <w:marRight w:val="0"/>
      <w:marTop w:val="0"/>
      <w:marBottom w:val="0"/>
      <w:divBdr>
        <w:top w:val="none" w:sz="0" w:space="0" w:color="auto"/>
        <w:left w:val="none" w:sz="0" w:space="0" w:color="auto"/>
        <w:bottom w:val="none" w:sz="0" w:space="0" w:color="auto"/>
        <w:right w:val="none" w:sz="0" w:space="0" w:color="auto"/>
      </w:divBdr>
    </w:div>
    <w:div w:id="938873305">
      <w:bodyDiv w:val="1"/>
      <w:marLeft w:val="0"/>
      <w:marRight w:val="0"/>
      <w:marTop w:val="0"/>
      <w:marBottom w:val="0"/>
      <w:divBdr>
        <w:top w:val="none" w:sz="0" w:space="0" w:color="auto"/>
        <w:left w:val="none" w:sz="0" w:space="0" w:color="auto"/>
        <w:bottom w:val="none" w:sz="0" w:space="0" w:color="auto"/>
        <w:right w:val="none" w:sz="0" w:space="0" w:color="auto"/>
      </w:divBdr>
    </w:div>
    <w:div w:id="939097358">
      <w:bodyDiv w:val="1"/>
      <w:marLeft w:val="0"/>
      <w:marRight w:val="0"/>
      <w:marTop w:val="0"/>
      <w:marBottom w:val="0"/>
      <w:divBdr>
        <w:top w:val="none" w:sz="0" w:space="0" w:color="auto"/>
        <w:left w:val="none" w:sz="0" w:space="0" w:color="auto"/>
        <w:bottom w:val="none" w:sz="0" w:space="0" w:color="auto"/>
        <w:right w:val="none" w:sz="0" w:space="0" w:color="auto"/>
      </w:divBdr>
    </w:div>
    <w:div w:id="939722882">
      <w:bodyDiv w:val="1"/>
      <w:marLeft w:val="0"/>
      <w:marRight w:val="0"/>
      <w:marTop w:val="0"/>
      <w:marBottom w:val="0"/>
      <w:divBdr>
        <w:top w:val="none" w:sz="0" w:space="0" w:color="auto"/>
        <w:left w:val="none" w:sz="0" w:space="0" w:color="auto"/>
        <w:bottom w:val="none" w:sz="0" w:space="0" w:color="auto"/>
        <w:right w:val="none" w:sz="0" w:space="0" w:color="auto"/>
      </w:divBdr>
    </w:div>
    <w:div w:id="940338163">
      <w:bodyDiv w:val="1"/>
      <w:marLeft w:val="0"/>
      <w:marRight w:val="0"/>
      <w:marTop w:val="0"/>
      <w:marBottom w:val="0"/>
      <w:divBdr>
        <w:top w:val="none" w:sz="0" w:space="0" w:color="auto"/>
        <w:left w:val="none" w:sz="0" w:space="0" w:color="auto"/>
        <w:bottom w:val="none" w:sz="0" w:space="0" w:color="auto"/>
        <w:right w:val="none" w:sz="0" w:space="0" w:color="auto"/>
      </w:divBdr>
    </w:div>
    <w:div w:id="940646612">
      <w:bodyDiv w:val="1"/>
      <w:marLeft w:val="0"/>
      <w:marRight w:val="0"/>
      <w:marTop w:val="0"/>
      <w:marBottom w:val="0"/>
      <w:divBdr>
        <w:top w:val="none" w:sz="0" w:space="0" w:color="auto"/>
        <w:left w:val="none" w:sz="0" w:space="0" w:color="auto"/>
        <w:bottom w:val="none" w:sz="0" w:space="0" w:color="auto"/>
        <w:right w:val="none" w:sz="0" w:space="0" w:color="auto"/>
      </w:divBdr>
    </w:div>
    <w:div w:id="944656465">
      <w:bodyDiv w:val="1"/>
      <w:marLeft w:val="0"/>
      <w:marRight w:val="0"/>
      <w:marTop w:val="0"/>
      <w:marBottom w:val="0"/>
      <w:divBdr>
        <w:top w:val="none" w:sz="0" w:space="0" w:color="auto"/>
        <w:left w:val="none" w:sz="0" w:space="0" w:color="auto"/>
        <w:bottom w:val="none" w:sz="0" w:space="0" w:color="auto"/>
        <w:right w:val="none" w:sz="0" w:space="0" w:color="auto"/>
      </w:divBdr>
    </w:div>
    <w:div w:id="945425956">
      <w:bodyDiv w:val="1"/>
      <w:marLeft w:val="0"/>
      <w:marRight w:val="0"/>
      <w:marTop w:val="0"/>
      <w:marBottom w:val="0"/>
      <w:divBdr>
        <w:top w:val="none" w:sz="0" w:space="0" w:color="auto"/>
        <w:left w:val="none" w:sz="0" w:space="0" w:color="auto"/>
        <w:bottom w:val="none" w:sz="0" w:space="0" w:color="auto"/>
        <w:right w:val="none" w:sz="0" w:space="0" w:color="auto"/>
      </w:divBdr>
    </w:div>
    <w:div w:id="945966711">
      <w:bodyDiv w:val="1"/>
      <w:marLeft w:val="0"/>
      <w:marRight w:val="0"/>
      <w:marTop w:val="0"/>
      <w:marBottom w:val="0"/>
      <w:divBdr>
        <w:top w:val="none" w:sz="0" w:space="0" w:color="auto"/>
        <w:left w:val="none" w:sz="0" w:space="0" w:color="auto"/>
        <w:bottom w:val="none" w:sz="0" w:space="0" w:color="auto"/>
        <w:right w:val="none" w:sz="0" w:space="0" w:color="auto"/>
      </w:divBdr>
    </w:div>
    <w:div w:id="946159998">
      <w:bodyDiv w:val="1"/>
      <w:marLeft w:val="0"/>
      <w:marRight w:val="0"/>
      <w:marTop w:val="0"/>
      <w:marBottom w:val="0"/>
      <w:divBdr>
        <w:top w:val="none" w:sz="0" w:space="0" w:color="auto"/>
        <w:left w:val="none" w:sz="0" w:space="0" w:color="auto"/>
        <w:bottom w:val="none" w:sz="0" w:space="0" w:color="auto"/>
        <w:right w:val="none" w:sz="0" w:space="0" w:color="auto"/>
      </w:divBdr>
    </w:div>
    <w:div w:id="946623599">
      <w:bodyDiv w:val="1"/>
      <w:marLeft w:val="0"/>
      <w:marRight w:val="0"/>
      <w:marTop w:val="0"/>
      <w:marBottom w:val="0"/>
      <w:divBdr>
        <w:top w:val="none" w:sz="0" w:space="0" w:color="auto"/>
        <w:left w:val="none" w:sz="0" w:space="0" w:color="auto"/>
        <w:bottom w:val="none" w:sz="0" w:space="0" w:color="auto"/>
        <w:right w:val="none" w:sz="0" w:space="0" w:color="auto"/>
      </w:divBdr>
    </w:div>
    <w:div w:id="947085054">
      <w:bodyDiv w:val="1"/>
      <w:marLeft w:val="0"/>
      <w:marRight w:val="0"/>
      <w:marTop w:val="0"/>
      <w:marBottom w:val="0"/>
      <w:divBdr>
        <w:top w:val="none" w:sz="0" w:space="0" w:color="auto"/>
        <w:left w:val="none" w:sz="0" w:space="0" w:color="auto"/>
        <w:bottom w:val="none" w:sz="0" w:space="0" w:color="auto"/>
        <w:right w:val="none" w:sz="0" w:space="0" w:color="auto"/>
      </w:divBdr>
    </w:div>
    <w:div w:id="948897607">
      <w:bodyDiv w:val="1"/>
      <w:marLeft w:val="0"/>
      <w:marRight w:val="0"/>
      <w:marTop w:val="0"/>
      <w:marBottom w:val="0"/>
      <w:divBdr>
        <w:top w:val="none" w:sz="0" w:space="0" w:color="auto"/>
        <w:left w:val="none" w:sz="0" w:space="0" w:color="auto"/>
        <w:bottom w:val="none" w:sz="0" w:space="0" w:color="auto"/>
        <w:right w:val="none" w:sz="0" w:space="0" w:color="auto"/>
      </w:divBdr>
    </w:div>
    <w:div w:id="949509957">
      <w:bodyDiv w:val="1"/>
      <w:marLeft w:val="0"/>
      <w:marRight w:val="0"/>
      <w:marTop w:val="0"/>
      <w:marBottom w:val="0"/>
      <w:divBdr>
        <w:top w:val="none" w:sz="0" w:space="0" w:color="auto"/>
        <w:left w:val="none" w:sz="0" w:space="0" w:color="auto"/>
        <w:bottom w:val="none" w:sz="0" w:space="0" w:color="auto"/>
        <w:right w:val="none" w:sz="0" w:space="0" w:color="auto"/>
      </w:divBdr>
    </w:div>
    <w:div w:id="949894347">
      <w:bodyDiv w:val="1"/>
      <w:marLeft w:val="0"/>
      <w:marRight w:val="0"/>
      <w:marTop w:val="0"/>
      <w:marBottom w:val="0"/>
      <w:divBdr>
        <w:top w:val="none" w:sz="0" w:space="0" w:color="auto"/>
        <w:left w:val="none" w:sz="0" w:space="0" w:color="auto"/>
        <w:bottom w:val="none" w:sz="0" w:space="0" w:color="auto"/>
        <w:right w:val="none" w:sz="0" w:space="0" w:color="auto"/>
      </w:divBdr>
    </w:div>
    <w:div w:id="952320361">
      <w:bodyDiv w:val="1"/>
      <w:marLeft w:val="0"/>
      <w:marRight w:val="0"/>
      <w:marTop w:val="0"/>
      <w:marBottom w:val="0"/>
      <w:divBdr>
        <w:top w:val="none" w:sz="0" w:space="0" w:color="auto"/>
        <w:left w:val="none" w:sz="0" w:space="0" w:color="auto"/>
        <w:bottom w:val="none" w:sz="0" w:space="0" w:color="auto"/>
        <w:right w:val="none" w:sz="0" w:space="0" w:color="auto"/>
      </w:divBdr>
    </w:div>
    <w:div w:id="952901267">
      <w:bodyDiv w:val="1"/>
      <w:marLeft w:val="0"/>
      <w:marRight w:val="0"/>
      <w:marTop w:val="0"/>
      <w:marBottom w:val="0"/>
      <w:divBdr>
        <w:top w:val="none" w:sz="0" w:space="0" w:color="auto"/>
        <w:left w:val="none" w:sz="0" w:space="0" w:color="auto"/>
        <w:bottom w:val="none" w:sz="0" w:space="0" w:color="auto"/>
        <w:right w:val="none" w:sz="0" w:space="0" w:color="auto"/>
      </w:divBdr>
    </w:div>
    <w:div w:id="954411200">
      <w:bodyDiv w:val="1"/>
      <w:marLeft w:val="0"/>
      <w:marRight w:val="0"/>
      <w:marTop w:val="0"/>
      <w:marBottom w:val="0"/>
      <w:divBdr>
        <w:top w:val="none" w:sz="0" w:space="0" w:color="auto"/>
        <w:left w:val="none" w:sz="0" w:space="0" w:color="auto"/>
        <w:bottom w:val="none" w:sz="0" w:space="0" w:color="auto"/>
        <w:right w:val="none" w:sz="0" w:space="0" w:color="auto"/>
      </w:divBdr>
    </w:div>
    <w:div w:id="955017713">
      <w:bodyDiv w:val="1"/>
      <w:marLeft w:val="0"/>
      <w:marRight w:val="0"/>
      <w:marTop w:val="0"/>
      <w:marBottom w:val="0"/>
      <w:divBdr>
        <w:top w:val="none" w:sz="0" w:space="0" w:color="auto"/>
        <w:left w:val="none" w:sz="0" w:space="0" w:color="auto"/>
        <w:bottom w:val="none" w:sz="0" w:space="0" w:color="auto"/>
        <w:right w:val="none" w:sz="0" w:space="0" w:color="auto"/>
      </w:divBdr>
    </w:div>
    <w:div w:id="955212341">
      <w:bodyDiv w:val="1"/>
      <w:marLeft w:val="0"/>
      <w:marRight w:val="0"/>
      <w:marTop w:val="0"/>
      <w:marBottom w:val="0"/>
      <w:divBdr>
        <w:top w:val="none" w:sz="0" w:space="0" w:color="auto"/>
        <w:left w:val="none" w:sz="0" w:space="0" w:color="auto"/>
        <w:bottom w:val="none" w:sz="0" w:space="0" w:color="auto"/>
        <w:right w:val="none" w:sz="0" w:space="0" w:color="auto"/>
      </w:divBdr>
    </w:div>
    <w:div w:id="955794002">
      <w:bodyDiv w:val="1"/>
      <w:marLeft w:val="0"/>
      <w:marRight w:val="0"/>
      <w:marTop w:val="0"/>
      <w:marBottom w:val="0"/>
      <w:divBdr>
        <w:top w:val="none" w:sz="0" w:space="0" w:color="auto"/>
        <w:left w:val="none" w:sz="0" w:space="0" w:color="auto"/>
        <w:bottom w:val="none" w:sz="0" w:space="0" w:color="auto"/>
        <w:right w:val="none" w:sz="0" w:space="0" w:color="auto"/>
      </w:divBdr>
    </w:div>
    <w:div w:id="956528684">
      <w:bodyDiv w:val="1"/>
      <w:marLeft w:val="0"/>
      <w:marRight w:val="0"/>
      <w:marTop w:val="0"/>
      <w:marBottom w:val="0"/>
      <w:divBdr>
        <w:top w:val="none" w:sz="0" w:space="0" w:color="auto"/>
        <w:left w:val="none" w:sz="0" w:space="0" w:color="auto"/>
        <w:bottom w:val="none" w:sz="0" w:space="0" w:color="auto"/>
        <w:right w:val="none" w:sz="0" w:space="0" w:color="auto"/>
      </w:divBdr>
    </w:div>
    <w:div w:id="956986568">
      <w:bodyDiv w:val="1"/>
      <w:marLeft w:val="0"/>
      <w:marRight w:val="0"/>
      <w:marTop w:val="0"/>
      <w:marBottom w:val="0"/>
      <w:divBdr>
        <w:top w:val="none" w:sz="0" w:space="0" w:color="auto"/>
        <w:left w:val="none" w:sz="0" w:space="0" w:color="auto"/>
        <w:bottom w:val="none" w:sz="0" w:space="0" w:color="auto"/>
        <w:right w:val="none" w:sz="0" w:space="0" w:color="auto"/>
      </w:divBdr>
    </w:div>
    <w:div w:id="957492072">
      <w:bodyDiv w:val="1"/>
      <w:marLeft w:val="0"/>
      <w:marRight w:val="0"/>
      <w:marTop w:val="0"/>
      <w:marBottom w:val="0"/>
      <w:divBdr>
        <w:top w:val="none" w:sz="0" w:space="0" w:color="auto"/>
        <w:left w:val="none" w:sz="0" w:space="0" w:color="auto"/>
        <w:bottom w:val="none" w:sz="0" w:space="0" w:color="auto"/>
        <w:right w:val="none" w:sz="0" w:space="0" w:color="auto"/>
      </w:divBdr>
    </w:div>
    <w:div w:id="960185799">
      <w:bodyDiv w:val="1"/>
      <w:marLeft w:val="0"/>
      <w:marRight w:val="0"/>
      <w:marTop w:val="0"/>
      <w:marBottom w:val="0"/>
      <w:divBdr>
        <w:top w:val="none" w:sz="0" w:space="0" w:color="auto"/>
        <w:left w:val="none" w:sz="0" w:space="0" w:color="auto"/>
        <w:bottom w:val="none" w:sz="0" w:space="0" w:color="auto"/>
        <w:right w:val="none" w:sz="0" w:space="0" w:color="auto"/>
      </w:divBdr>
    </w:div>
    <w:div w:id="961038354">
      <w:bodyDiv w:val="1"/>
      <w:marLeft w:val="0"/>
      <w:marRight w:val="0"/>
      <w:marTop w:val="0"/>
      <w:marBottom w:val="0"/>
      <w:divBdr>
        <w:top w:val="none" w:sz="0" w:space="0" w:color="auto"/>
        <w:left w:val="none" w:sz="0" w:space="0" w:color="auto"/>
        <w:bottom w:val="none" w:sz="0" w:space="0" w:color="auto"/>
        <w:right w:val="none" w:sz="0" w:space="0" w:color="auto"/>
      </w:divBdr>
    </w:div>
    <w:div w:id="961694021">
      <w:bodyDiv w:val="1"/>
      <w:marLeft w:val="0"/>
      <w:marRight w:val="0"/>
      <w:marTop w:val="0"/>
      <w:marBottom w:val="0"/>
      <w:divBdr>
        <w:top w:val="none" w:sz="0" w:space="0" w:color="auto"/>
        <w:left w:val="none" w:sz="0" w:space="0" w:color="auto"/>
        <w:bottom w:val="none" w:sz="0" w:space="0" w:color="auto"/>
        <w:right w:val="none" w:sz="0" w:space="0" w:color="auto"/>
      </w:divBdr>
    </w:div>
    <w:div w:id="962078925">
      <w:bodyDiv w:val="1"/>
      <w:marLeft w:val="0"/>
      <w:marRight w:val="0"/>
      <w:marTop w:val="0"/>
      <w:marBottom w:val="0"/>
      <w:divBdr>
        <w:top w:val="none" w:sz="0" w:space="0" w:color="auto"/>
        <w:left w:val="none" w:sz="0" w:space="0" w:color="auto"/>
        <w:bottom w:val="none" w:sz="0" w:space="0" w:color="auto"/>
        <w:right w:val="none" w:sz="0" w:space="0" w:color="auto"/>
      </w:divBdr>
    </w:div>
    <w:div w:id="963534703">
      <w:bodyDiv w:val="1"/>
      <w:marLeft w:val="0"/>
      <w:marRight w:val="0"/>
      <w:marTop w:val="0"/>
      <w:marBottom w:val="0"/>
      <w:divBdr>
        <w:top w:val="none" w:sz="0" w:space="0" w:color="auto"/>
        <w:left w:val="none" w:sz="0" w:space="0" w:color="auto"/>
        <w:bottom w:val="none" w:sz="0" w:space="0" w:color="auto"/>
        <w:right w:val="none" w:sz="0" w:space="0" w:color="auto"/>
      </w:divBdr>
    </w:div>
    <w:div w:id="963577347">
      <w:bodyDiv w:val="1"/>
      <w:marLeft w:val="0"/>
      <w:marRight w:val="0"/>
      <w:marTop w:val="0"/>
      <w:marBottom w:val="0"/>
      <w:divBdr>
        <w:top w:val="none" w:sz="0" w:space="0" w:color="auto"/>
        <w:left w:val="none" w:sz="0" w:space="0" w:color="auto"/>
        <w:bottom w:val="none" w:sz="0" w:space="0" w:color="auto"/>
        <w:right w:val="none" w:sz="0" w:space="0" w:color="auto"/>
      </w:divBdr>
    </w:div>
    <w:div w:id="963735404">
      <w:bodyDiv w:val="1"/>
      <w:marLeft w:val="0"/>
      <w:marRight w:val="0"/>
      <w:marTop w:val="0"/>
      <w:marBottom w:val="0"/>
      <w:divBdr>
        <w:top w:val="none" w:sz="0" w:space="0" w:color="auto"/>
        <w:left w:val="none" w:sz="0" w:space="0" w:color="auto"/>
        <w:bottom w:val="none" w:sz="0" w:space="0" w:color="auto"/>
        <w:right w:val="none" w:sz="0" w:space="0" w:color="auto"/>
      </w:divBdr>
    </w:div>
    <w:div w:id="965352683">
      <w:bodyDiv w:val="1"/>
      <w:marLeft w:val="0"/>
      <w:marRight w:val="0"/>
      <w:marTop w:val="0"/>
      <w:marBottom w:val="0"/>
      <w:divBdr>
        <w:top w:val="none" w:sz="0" w:space="0" w:color="auto"/>
        <w:left w:val="none" w:sz="0" w:space="0" w:color="auto"/>
        <w:bottom w:val="none" w:sz="0" w:space="0" w:color="auto"/>
        <w:right w:val="none" w:sz="0" w:space="0" w:color="auto"/>
      </w:divBdr>
    </w:div>
    <w:div w:id="966742557">
      <w:bodyDiv w:val="1"/>
      <w:marLeft w:val="0"/>
      <w:marRight w:val="0"/>
      <w:marTop w:val="0"/>
      <w:marBottom w:val="0"/>
      <w:divBdr>
        <w:top w:val="none" w:sz="0" w:space="0" w:color="auto"/>
        <w:left w:val="none" w:sz="0" w:space="0" w:color="auto"/>
        <w:bottom w:val="none" w:sz="0" w:space="0" w:color="auto"/>
        <w:right w:val="none" w:sz="0" w:space="0" w:color="auto"/>
      </w:divBdr>
    </w:div>
    <w:div w:id="968164171">
      <w:bodyDiv w:val="1"/>
      <w:marLeft w:val="0"/>
      <w:marRight w:val="0"/>
      <w:marTop w:val="0"/>
      <w:marBottom w:val="0"/>
      <w:divBdr>
        <w:top w:val="none" w:sz="0" w:space="0" w:color="auto"/>
        <w:left w:val="none" w:sz="0" w:space="0" w:color="auto"/>
        <w:bottom w:val="none" w:sz="0" w:space="0" w:color="auto"/>
        <w:right w:val="none" w:sz="0" w:space="0" w:color="auto"/>
      </w:divBdr>
    </w:div>
    <w:div w:id="972100265">
      <w:bodyDiv w:val="1"/>
      <w:marLeft w:val="0"/>
      <w:marRight w:val="0"/>
      <w:marTop w:val="0"/>
      <w:marBottom w:val="0"/>
      <w:divBdr>
        <w:top w:val="none" w:sz="0" w:space="0" w:color="auto"/>
        <w:left w:val="none" w:sz="0" w:space="0" w:color="auto"/>
        <w:bottom w:val="none" w:sz="0" w:space="0" w:color="auto"/>
        <w:right w:val="none" w:sz="0" w:space="0" w:color="auto"/>
      </w:divBdr>
    </w:div>
    <w:div w:id="972297597">
      <w:bodyDiv w:val="1"/>
      <w:marLeft w:val="0"/>
      <w:marRight w:val="0"/>
      <w:marTop w:val="0"/>
      <w:marBottom w:val="0"/>
      <w:divBdr>
        <w:top w:val="none" w:sz="0" w:space="0" w:color="auto"/>
        <w:left w:val="none" w:sz="0" w:space="0" w:color="auto"/>
        <w:bottom w:val="none" w:sz="0" w:space="0" w:color="auto"/>
        <w:right w:val="none" w:sz="0" w:space="0" w:color="auto"/>
      </w:divBdr>
    </w:div>
    <w:div w:id="973564607">
      <w:bodyDiv w:val="1"/>
      <w:marLeft w:val="0"/>
      <w:marRight w:val="0"/>
      <w:marTop w:val="0"/>
      <w:marBottom w:val="0"/>
      <w:divBdr>
        <w:top w:val="none" w:sz="0" w:space="0" w:color="auto"/>
        <w:left w:val="none" w:sz="0" w:space="0" w:color="auto"/>
        <w:bottom w:val="none" w:sz="0" w:space="0" w:color="auto"/>
        <w:right w:val="none" w:sz="0" w:space="0" w:color="auto"/>
      </w:divBdr>
    </w:div>
    <w:div w:id="973604258">
      <w:bodyDiv w:val="1"/>
      <w:marLeft w:val="0"/>
      <w:marRight w:val="0"/>
      <w:marTop w:val="0"/>
      <w:marBottom w:val="0"/>
      <w:divBdr>
        <w:top w:val="none" w:sz="0" w:space="0" w:color="auto"/>
        <w:left w:val="none" w:sz="0" w:space="0" w:color="auto"/>
        <w:bottom w:val="none" w:sz="0" w:space="0" w:color="auto"/>
        <w:right w:val="none" w:sz="0" w:space="0" w:color="auto"/>
      </w:divBdr>
    </w:div>
    <w:div w:id="973876899">
      <w:bodyDiv w:val="1"/>
      <w:marLeft w:val="0"/>
      <w:marRight w:val="0"/>
      <w:marTop w:val="0"/>
      <w:marBottom w:val="0"/>
      <w:divBdr>
        <w:top w:val="none" w:sz="0" w:space="0" w:color="auto"/>
        <w:left w:val="none" w:sz="0" w:space="0" w:color="auto"/>
        <w:bottom w:val="none" w:sz="0" w:space="0" w:color="auto"/>
        <w:right w:val="none" w:sz="0" w:space="0" w:color="auto"/>
      </w:divBdr>
    </w:div>
    <w:div w:id="974145640">
      <w:bodyDiv w:val="1"/>
      <w:marLeft w:val="0"/>
      <w:marRight w:val="0"/>
      <w:marTop w:val="0"/>
      <w:marBottom w:val="0"/>
      <w:divBdr>
        <w:top w:val="none" w:sz="0" w:space="0" w:color="auto"/>
        <w:left w:val="none" w:sz="0" w:space="0" w:color="auto"/>
        <w:bottom w:val="none" w:sz="0" w:space="0" w:color="auto"/>
        <w:right w:val="none" w:sz="0" w:space="0" w:color="auto"/>
      </w:divBdr>
    </w:div>
    <w:div w:id="975571214">
      <w:bodyDiv w:val="1"/>
      <w:marLeft w:val="0"/>
      <w:marRight w:val="0"/>
      <w:marTop w:val="0"/>
      <w:marBottom w:val="0"/>
      <w:divBdr>
        <w:top w:val="none" w:sz="0" w:space="0" w:color="auto"/>
        <w:left w:val="none" w:sz="0" w:space="0" w:color="auto"/>
        <w:bottom w:val="none" w:sz="0" w:space="0" w:color="auto"/>
        <w:right w:val="none" w:sz="0" w:space="0" w:color="auto"/>
      </w:divBdr>
    </w:div>
    <w:div w:id="977413817">
      <w:bodyDiv w:val="1"/>
      <w:marLeft w:val="0"/>
      <w:marRight w:val="0"/>
      <w:marTop w:val="0"/>
      <w:marBottom w:val="0"/>
      <w:divBdr>
        <w:top w:val="none" w:sz="0" w:space="0" w:color="auto"/>
        <w:left w:val="none" w:sz="0" w:space="0" w:color="auto"/>
        <w:bottom w:val="none" w:sz="0" w:space="0" w:color="auto"/>
        <w:right w:val="none" w:sz="0" w:space="0" w:color="auto"/>
      </w:divBdr>
    </w:div>
    <w:div w:id="978144496">
      <w:bodyDiv w:val="1"/>
      <w:marLeft w:val="0"/>
      <w:marRight w:val="0"/>
      <w:marTop w:val="0"/>
      <w:marBottom w:val="0"/>
      <w:divBdr>
        <w:top w:val="none" w:sz="0" w:space="0" w:color="auto"/>
        <w:left w:val="none" w:sz="0" w:space="0" w:color="auto"/>
        <w:bottom w:val="none" w:sz="0" w:space="0" w:color="auto"/>
        <w:right w:val="none" w:sz="0" w:space="0" w:color="auto"/>
      </w:divBdr>
    </w:div>
    <w:div w:id="978150134">
      <w:bodyDiv w:val="1"/>
      <w:marLeft w:val="0"/>
      <w:marRight w:val="0"/>
      <w:marTop w:val="0"/>
      <w:marBottom w:val="0"/>
      <w:divBdr>
        <w:top w:val="none" w:sz="0" w:space="0" w:color="auto"/>
        <w:left w:val="none" w:sz="0" w:space="0" w:color="auto"/>
        <w:bottom w:val="none" w:sz="0" w:space="0" w:color="auto"/>
        <w:right w:val="none" w:sz="0" w:space="0" w:color="auto"/>
      </w:divBdr>
    </w:div>
    <w:div w:id="978992173">
      <w:bodyDiv w:val="1"/>
      <w:marLeft w:val="0"/>
      <w:marRight w:val="0"/>
      <w:marTop w:val="0"/>
      <w:marBottom w:val="0"/>
      <w:divBdr>
        <w:top w:val="none" w:sz="0" w:space="0" w:color="auto"/>
        <w:left w:val="none" w:sz="0" w:space="0" w:color="auto"/>
        <w:bottom w:val="none" w:sz="0" w:space="0" w:color="auto"/>
        <w:right w:val="none" w:sz="0" w:space="0" w:color="auto"/>
      </w:divBdr>
    </w:div>
    <w:div w:id="979385379">
      <w:bodyDiv w:val="1"/>
      <w:marLeft w:val="0"/>
      <w:marRight w:val="0"/>
      <w:marTop w:val="0"/>
      <w:marBottom w:val="0"/>
      <w:divBdr>
        <w:top w:val="none" w:sz="0" w:space="0" w:color="auto"/>
        <w:left w:val="none" w:sz="0" w:space="0" w:color="auto"/>
        <w:bottom w:val="none" w:sz="0" w:space="0" w:color="auto"/>
        <w:right w:val="none" w:sz="0" w:space="0" w:color="auto"/>
      </w:divBdr>
    </w:div>
    <w:div w:id="979653742">
      <w:bodyDiv w:val="1"/>
      <w:marLeft w:val="0"/>
      <w:marRight w:val="0"/>
      <w:marTop w:val="0"/>
      <w:marBottom w:val="0"/>
      <w:divBdr>
        <w:top w:val="none" w:sz="0" w:space="0" w:color="auto"/>
        <w:left w:val="none" w:sz="0" w:space="0" w:color="auto"/>
        <w:bottom w:val="none" w:sz="0" w:space="0" w:color="auto"/>
        <w:right w:val="none" w:sz="0" w:space="0" w:color="auto"/>
      </w:divBdr>
    </w:div>
    <w:div w:id="979991364">
      <w:bodyDiv w:val="1"/>
      <w:marLeft w:val="0"/>
      <w:marRight w:val="0"/>
      <w:marTop w:val="0"/>
      <w:marBottom w:val="0"/>
      <w:divBdr>
        <w:top w:val="none" w:sz="0" w:space="0" w:color="auto"/>
        <w:left w:val="none" w:sz="0" w:space="0" w:color="auto"/>
        <w:bottom w:val="none" w:sz="0" w:space="0" w:color="auto"/>
        <w:right w:val="none" w:sz="0" w:space="0" w:color="auto"/>
      </w:divBdr>
    </w:div>
    <w:div w:id="980303073">
      <w:bodyDiv w:val="1"/>
      <w:marLeft w:val="0"/>
      <w:marRight w:val="0"/>
      <w:marTop w:val="0"/>
      <w:marBottom w:val="0"/>
      <w:divBdr>
        <w:top w:val="none" w:sz="0" w:space="0" w:color="auto"/>
        <w:left w:val="none" w:sz="0" w:space="0" w:color="auto"/>
        <w:bottom w:val="none" w:sz="0" w:space="0" w:color="auto"/>
        <w:right w:val="none" w:sz="0" w:space="0" w:color="auto"/>
      </w:divBdr>
    </w:div>
    <w:div w:id="981157790">
      <w:bodyDiv w:val="1"/>
      <w:marLeft w:val="0"/>
      <w:marRight w:val="0"/>
      <w:marTop w:val="0"/>
      <w:marBottom w:val="0"/>
      <w:divBdr>
        <w:top w:val="none" w:sz="0" w:space="0" w:color="auto"/>
        <w:left w:val="none" w:sz="0" w:space="0" w:color="auto"/>
        <w:bottom w:val="none" w:sz="0" w:space="0" w:color="auto"/>
        <w:right w:val="none" w:sz="0" w:space="0" w:color="auto"/>
      </w:divBdr>
    </w:div>
    <w:div w:id="981927980">
      <w:bodyDiv w:val="1"/>
      <w:marLeft w:val="0"/>
      <w:marRight w:val="0"/>
      <w:marTop w:val="0"/>
      <w:marBottom w:val="0"/>
      <w:divBdr>
        <w:top w:val="none" w:sz="0" w:space="0" w:color="auto"/>
        <w:left w:val="none" w:sz="0" w:space="0" w:color="auto"/>
        <w:bottom w:val="none" w:sz="0" w:space="0" w:color="auto"/>
        <w:right w:val="none" w:sz="0" w:space="0" w:color="auto"/>
      </w:divBdr>
    </w:div>
    <w:div w:id="982196152">
      <w:bodyDiv w:val="1"/>
      <w:marLeft w:val="0"/>
      <w:marRight w:val="0"/>
      <w:marTop w:val="0"/>
      <w:marBottom w:val="0"/>
      <w:divBdr>
        <w:top w:val="none" w:sz="0" w:space="0" w:color="auto"/>
        <w:left w:val="none" w:sz="0" w:space="0" w:color="auto"/>
        <w:bottom w:val="none" w:sz="0" w:space="0" w:color="auto"/>
        <w:right w:val="none" w:sz="0" w:space="0" w:color="auto"/>
      </w:divBdr>
    </w:div>
    <w:div w:id="982588462">
      <w:bodyDiv w:val="1"/>
      <w:marLeft w:val="0"/>
      <w:marRight w:val="0"/>
      <w:marTop w:val="0"/>
      <w:marBottom w:val="0"/>
      <w:divBdr>
        <w:top w:val="none" w:sz="0" w:space="0" w:color="auto"/>
        <w:left w:val="none" w:sz="0" w:space="0" w:color="auto"/>
        <w:bottom w:val="none" w:sz="0" w:space="0" w:color="auto"/>
        <w:right w:val="none" w:sz="0" w:space="0" w:color="auto"/>
      </w:divBdr>
    </w:div>
    <w:div w:id="982663404">
      <w:bodyDiv w:val="1"/>
      <w:marLeft w:val="0"/>
      <w:marRight w:val="0"/>
      <w:marTop w:val="0"/>
      <w:marBottom w:val="0"/>
      <w:divBdr>
        <w:top w:val="none" w:sz="0" w:space="0" w:color="auto"/>
        <w:left w:val="none" w:sz="0" w:space="0" w:color="auto"/>
        <w:bottom w:val="none" w:sz="0" w:space="0" w:color="auto"/>
        <w:right w:val="none" w:sz="0" w:space="0" w:color="auto"/>
      </w:divBdr>
    </w:div>
    <w:div w:id="984968858">
      <w:bodyDiv w:val="1"/>
      <w:marLeft w:val="0"/>
      <w:marRight w:val="0"/>
      <w:marTop w:val="0"/>
      <w:marBottom w:val="0"/>
      <w:divBdr>
        <w:top w:val="none" w:sz="0" w:space="0" w:color="auto"/>
        <w:left w:val="none" w:sz="0" w:space="0" w:color="auto"/>
        <w:bottom w:val="none" w:sz="0" w:space="0" w:color="auto"/>
        <w:right w:val="none" w:sz="0" w:space="0" w:color="auto"/>
      </w:divBdr>
    </w:div>
    <w:div w:id="986277696">
      <w:bodyDiv w:val="1"/>
      <w:marLeft w:val="0"/>
      <w:marRight w:val="0"/>
      <w:marTop w:val="0"/>
      <w:marBottom w:val="0"/>
      <w:divBdr>
        <w:top w:val="none" w:sz="0" w:space="0" w:color="auto"/>
        <w:left w:val="none" w:sz="0" w:space="0" w:color="auto"/>
        <w:bottom w:val="none" w:sz="0" w:space="0" w:color="auto"/>
        <w:right w:val="none" w:sz="0" w:space="0" w:color="auto"/>
      </w:divBdr>
    </w:div>
    <w:div w:id="986592807">
      <w:bodyDiv w:val="1"/>
      <w:marLeft w:val="0"/>
      <w:marRight w:val="0"/>
      <w:marTop w:val="0"/>
      <w:marBottom w:val="0"/>
      <w:divBdr>
        <w:top w:val="none" w:sz="0" w:space="0" w:color="auto"/>
        <w:left w:val="none" w:sz="0" w:space="0" w:color="auto"/>
        <w:bottom w:val="none" w:sz="0" w:space="0" w:color="auto"/>
        <w:right w:val="none" w:sz="0" w:space="0" w:color="auto"/>
      </w:divBdr>
    </w:div>
    <w:div w:id="987132867">
      <w:bodyDiv w:val="1"/>
      <w:marLeft w:val="0"/>
      <w:marRight w:val="0"/>
      <w:marTop w:val="0"/>
      <w:marBottom w:val="0"/>
      <w:divBdr>
        <w:top w:val="none" w:sz="0" w:space="0" w:color="auto"/>
        <w:left w:val="none" w:sz="0" w:space="0" w:color="auto"/>
        <w:bottom w:val="none" w:sz="0" w:space="0" w:color="auto"/>
        <w:right w:val="none" w:sz="0" w:space="0" w:color="auto"/>
      </w:divBdr>
    </w:div>
    <w:div w:id="987247866">
      <w:bodyDiv w:val="1"/>
      <w:marLeft w:val="0"/>
      <w:marRight w:val="0"/>
      <w:marTop w:val="0"/>
      <w:marBottom w:val="0"/>
      <w:divBdr>
        <w:top w:val="none" w:sz="0" w:space="0" w:color="auto"/>
        <w:left w:val="none" w:sz="0" w:space="0" w:color="auto"/>
        <w:bottom w:val="none" w:sz="0" w:space="0" w:color="auto"/>
        <w:right w:val="none" w:sz="0" w:space="0" w:color="auto"/>
      </w:divBdr>
    </w:div>
    <w:div w:id="987633663">
      <w:bodyDiv w:val="1"/>
      <w:marLeft w:val="0"/>
      <w:marRight w:val="0"/>
      <w:marTop w:val="0"/>
      <w:marBottom w:val="0"/>
      <w:divBdr>
        <w:top w:val="none" w:sz="0" w:space="0" w:color="auto"/>
        <w:left w:val="none" w:sz="0" w:space="0" w:color="auto"/>
        <w:bottom w:val="none" w:sz="0" w:space="0" w:color="auto"/>
        <w:right w:val="none" w:sz="0" w:space="0" w:color="auto"/>
      </w:divBdr>
    </w:div>
    <w:div w:id="987779636">
      <w:bodyDiv w:val="1"/>
      <w:marLeft w:val="0"/>
      <w:marRight w:val="0"/>
      <w:marTop w:val="0"/>
      <w:marBottom w:val="0"/>
      <w:divBdr>
        <w:top w:val="none" w:sz="0" w:space="0" w:color="auto"/>
        <w:left w:val="none" w:sz="0" w:space="0" w:color="auto"/>
        <w:bottom w:val="none" w:sz="0" w:space="0" w:color="auto"/>
        <w:right w:val="none" w:sz="0" w:space="0" w:color="auto"/>
      </w:divBdr>
    </w:div>
    <w:div w:id="988166501">
      <w:bodyDiv w:val="1"/>
      <w:marLeft w:val="0"/>
      <w:marRight w:val="0"/>
      <w:marTop w:val="0"/>
      <w:marBottom w:val="0"/>
      <w:divBdr>
        <w:top w:val="none" w:sz="0" w:space="0" w:color="auto"/>
        <w:left w:val="none" w:sz="0" w:space="0" w:color="auto"/>
        <w:bottom w:val="none" w:sz="0" w:space="0" w:color="auto"/>
        <w:right w:val="none" w:sz="0" w:space="0" w:color="auto"/>
      </w:divBdr>
    </w:div>
    <w:div w:id="989866686">
      <w:bodyDiv w:val="1"/>
      <w:marLeft w:val="0"/>
      <w:marRight w:val="0"/>
      <w:marTop w:val="0"/>
      <w:marBottom w:val="0"/>
      <w:divBdr>
        <w:top w:val="none" w:sz="0" w:space="0" w:color="auto"/>
        <w:left w:val="none" w:sz="0" w:space="0" w:color="auto"/>
        <w:bottom w:val="none" w:sz="0" w:space="0" w:color="auto"/>
        <w:right w:val="none" w:sz="0" w:space="0" w:color="auto"/>
      </w:divBdr>
    </w:div>
    <w:div w:id="989947766">
      <w:bodyDiv w:val="1"/>
      <w:marLeft w:val="0"/>
      <w:marRight w:val="0"/>
      <w:marTop w:val="0"/>
      <w:marBottom w:val="0"/>
      <w:divBdr>
        <w:top w:val="none" w:sz="0" w:space="0" w:color="auto"/>
        <w:left w:val="none" w:sz="0" w:space="0" w:color="auto"/>
        <w:bottom w:val="none" w:sz="0" w:space="0" w:color="auto"/>
        <w:right w:val="none" w:sz="0" w:space="0" w:color="auto"/>
      </w:divBdr>
    </w:div>
    <w:div w:id="992877541">
      <w:bodyDiv w:val="1"/>
      <w:marLeft w:val="0"/>
      <w:marRight w:val="0"/>
      <w:marTop w:val="0"/>
      <w:marBottom w:val="0"/>
      <w:divBdr>
        <w:top w:val="none" w:sz="0" w:space="0" w:color="auto"/>
        <w:left w:val="none" w:sz="0" w:space="0" w:color="auto"/>
        <w:bottom w:val="none" w:sz="0" w:space="0" w:color="auto"/>
        <w:right w:val="none" w:sz="0" w:space="0" w:color="auto"/>
      </w:divBdr>
    </w:div>
    <w:div w:id="993141876">
      <w:bodyDiv w:val="1"/>
      <w:marLeft w:val="0"/>
      <w:marRight w:val="0"/>
      <w:marTop w:val="0"/>
      <w:marBottom w:val="0"/>
      <w:divBdr>
        <w:top w:val="none" w:sz="0" w:space="0" w:color="auto"/>
        <w:left w:val="none" w:sz="0" w:space="0" w:color="auto"/>
        <w:bottom w:val="none" w:sz="0" w:space="0" w:color="auto"/>
        <w:right w:val="none" w:sz="0" w:space="0" w:color="auto"/>
      </w:divBdr>
    </w:div>
    <w:div w:id="993147220">
      <w:bodyDiv w:val="1"/>
      <w:marLeft w:val="0"/>
      <w:marRight w:val="0"/>
      <w:marTop w:val="0"/>
      <w:marBottom w:val="0"/>
      <w:divBdr>
        <w:top w:val="none" w:sz="0" w:space="0" w:color="auto"/>
        <w:left w:val="none" w:sz="0" w:space="0" w:color="auto"/>
        <w:bottom w:val="none" w:sz="0" w:space="0" w:color="auto"/>
        <w:right w:val="none" w:sz="0" w:space="0" w:color="auto"/>
      </w:divBdr>
    </w:div>
    <w:div w:id="993801129">
      <w:bodyDiv w:val="1"/>
      <w:marLeft w:val="0"/>
      <w:marRight w:val="0"/>
      <w:marTop w:val="0"/>
      <w:marBottom w:val="0"/>
      <w:divBdr>
        <w:top w:val="none" w:sz="0" w:space="0" w:color="auto"/>
        <w:left w:val="none" w:sz="0" w:space="0" w:color="auto"/>
        <w:bottom w:val="none" w:sz="0" w:space="0" w:color="auto"/>
        <w:right w:val="none" w:sz="0" w:space="0" w:color="auto"/>
      </w:divBdr>
    </w:div>
    <w:div w:id="993801213">
      <w:bodyDiv w:val="1"/>
      <w:marLeft w:val="0"/>
      <w:marRight w:val="0"/>
      <w:marTop w:val="0"/>
      <w:marBottom w:val="0"/>
      <w:divBdr>
        <w:top w:val="none" w:sz="0" w:space="0" w:color="auto"/>
        <w:left w:val="none" w:sz="0" w:space="0" w:color="auto"/>
        <w:bottom w:val="none" w:sz="0" w:space="0" w:color="auto"/>
        <w:right w:val="none" w:sz="0" w:space="0" w:color="auto"/>
      </w:divBdr>
    </w:div>
    <w:div w:id="994992452">
      <w:bodyDiv w:val="1"/>
      <w:marLeft w:val="0"/>
      <w:marRight w:val="0"/>
      <w:marTop w:val="0"/>
      <w:marBottom w:val="0"/>
      <w:divBdr>
        <w:top w:val="none" w:sz="0" w:space="0" w:color="auto"/>
        <w:left w:val="none" w:sz="0" w:space="0" w:color="auto"/>
        <w:bottom w:val="none" w:sz="0" w:space="0" w:color="auto"/>
        <w:right w:val="none" w:sz="0" w:space="0" w:color="auto"/>
      </w:divBdr>
    </w:div>
    <w:div w:id="996036494">
      <w:bodyDiv w:val="1"/>
      <w:marLeft w:val="0"/>
      <w:marRight w:val="0"/>
      <w:marTop w:val="0"/>
      <w:marBottom w:val="0"/>
      <w:divBdr>
        <w:top w:val="none" w:sz="0" w:space="0" w:color="auto"/>
        <w:left w:val="none" w:sz="0" w:space="0" w:color="auto"/>
        <w:bottom w:val="none" w:sz="0" w:space="0" w:color="auto"/>
        <w:right w:val="none" w:sz="0" w:space="0" w:color="auto"/>
      </w:divBdr>
    </w:div>
    <w:div w:id="996419448">
      <w:bodyDiv w:val="1"/>
      <w:marLeft w:val="0"/>
      <w:marRight w:val="0"/>
      <w:marTop w:val="0"/>
      <w:marBottom w:val="0"/>
      <w:divBdr>
        <w:top w:val="none" w:sz="0" w:space="0" w:color="auto"/>
        <w:left w:val="none" w:sz="0" w:space="0" w:color="auto"/>
        <w:bottom w:val="none" w:sz="0" w:space="0" w:color="auto"/>
        <w:right w:val="none" w:sz="0" w:space="0" w:color="auto"/>
      </w:divBdr>
    </w:div>
    <w:div w:id="997341424">
      <w:bodyDiv w:val="1"/>
      <w:marLeft w:val="0"/>
      <w:marRight w:val="0"/>
      <w:marTop w:val="0"/>
      <w:marBottom w:val="0"/>
      <w:divBdr>
        <w:top w:val="none" w:sz="0" w:space="0" w:color="auto"/>
        <w:left w:val="none" w:sz="0" w:space="0" w:color="auto"/>
        <w:bottom w:val="none" w:sz="0" w:space="0" w:color="auto"/>
        <w:right w:val="none" w:sz="0" w:space="0" w:color="auto"/>
      </w:divBdr>
    </w:div>
    <w:div w:id="997806063">
      <w:bodyDiv w:val="1"/>
      <w:marLeft w:val="0"/>
      <w:marRight w:val="0"/>
      <w:marTop w:val="0"/>
      <w:marBottom w:val="0"/>
      <w:divBdr>
        <w:top w:val="none" w:sz="0" w:space="0" w:color="auto"/>
        <w:left w:val="none" w:sz="0" w:space="0" w:color="auto"/>
        <w:bottom w:val="none" w:sz="0" w:space="0" w:color="auto"/>
        <w:right w:val="none" w:sz="0" w:space="0" w:color="auto"/>
      </w:divBdr>
    </w:div>
    <w:div w:id="999774357">
      <w:bodyDiv w:val="1"/>
      <w:marLeft w:val="0"/>
      <w:marRight w:val="0"/>
      <w:marTop w:val="0"/>
      <w:marBottom w:val="0"/>
      <w:divBdr>
        <w:top w:val="none" w:sz="0" w:space="0" w:color="auto"/>
        <w:left w:val="none" w:sz="0" w:space="0" w:color="auto"/>
        <w:bottom w:val="none" w:sz="0" w:space="0" w:color="auto"/>
        <w:right w:val="none" w:sz="0" w:space="0" w:color="auto"/>
      </w:divBdr>
    </w:div>
    <w:div w:id="1003701227">
      <w:bodyDiv w:val="1"/>
      <w:marLeft w:val="0"/>
      <w:marRight w:val="0"/>
      <w:marTop w:val="0"/>
      <w:marBottom w:val="0"/>
      <w:divBdr>
        <w:top w:val="none" w:sz="0" w:space="0" w:color="auto"/>
        <w:left w:val="none" w:sz="0" w:space="0" w:color="auto"/>
        <w:bottom w:val="none" w:sz="0" w:space="0" w:color="auto"/>
        <w:right w:val="none" w:sz="0" w:space="0" w:color="auto"/>
      </w:divBdr>
    </w:div>
    <w:div w:id="1005281094">
      <w:bodyDiv w:val="1"/>
      <w:marLeft w:val="0"/>
      <w:marRight w:val="0"/>
      <w:marTop w:val="0"/>
      <w:marBottom w:val="0"/>
      <w:divBdr>
        <w:top w:val="none" w:sz="0" w:space="0" w:color="auto"/>
        <w:left w:val="none" w:sz="0" w:space="0" w:color="auto"/>
        <w:bottom w:val="none" w:sz="0" w:space="0" w:color="auto"/>
        <w:right w:val="none" w:sz="0" w:space="0" w:color="auto"/>
      </w:divBdr>
    </w:div>
    <w:div w:id="1006904570">
      <w:bodyDiv w:val="1"/>
      <w:marLeft w:val="0"/>
      <w:marRight w:val="0"/>
      <w:marTop w:val="0"/>
      <w:marBottom w:val="0"/>
      <w:divBdr>
        <w:top w:val="none" w:sz="0" w:space="0" w:color="auto"/>
        <w:left w:val="none" w:sz="0" w:space="0" w:color="auto"/>
        <w:bottom w:val="none" w:sz="0" w:space="0" w:color="auto"/>
        <w:right w:val="none" w:sz="0" w:space="0" w:color="auto"/>
      </w:divBdr>
    </w:div>
    <w:div w:id="1007175430">
      <w:bodyDiv w:val="1"/>
      <w:marLeft w:val="0"/>
      <w:marRight w:val="0"/>
      <w:marTop w:val="0"/>
      <w:marBottom w:val="0"/>
      <w:divBdr>
        <w:top w:val="none" w:sz="0" w:space="0" w:color="auto"/>
        <w:left w:val="none" w:sz="0" w:space="0" w:color="auto"/>
        <w:bottom w:val="none" w:sz="0" w:space="0" w:color="auto"/>
        <w:right w:val="none" w:sz="0" w:space="0" w:color="auto"/>
      </w:divBdr>
    </w:div>
    <w:div w:id="1008096115">
      <w:bodyDiv w:val="1"/>
      <w:marLeft w:val="0"/>
      <w:marRight w:val="0"/>
      <w:marTop w:val="0"/>
      <w:marBottom w:val="0"/>
      <w:divBdr>
        <w:top w:val="none" w:sz="0" w:space="0" w:color="auto"/>
        <w:left w:val="none" w:sz="0" w:space="0" w:color="auto"/>
        <w:bottom w:val="none" w:sz="0" w:space="0" w:color="auto"/>
        <w:right w:val="none" w:sz="0" w:space="0" w:color="auto"/>
      </w:divBdr>
    </w:div>
    <w:div w:id="1008143513">
      <w:bodyDiv w:val="1"/>
      <w:marLeft w:val="0"/>
      <w:marRight w:val="0"/>
      <w:marTop w:val="0"/>
      <w:marBottom w:val="0"/>
      <w:divBdr>
        <w:top w:val="none" w:sz="0" w:space="0" w:color="auto"/>
        <w:left w:val="none" w:sz="0" w:space="0" w:color="auto"/>
        <w:bottom w:val="none" w:sz="0" w:space="0" w:color="auto"/>
        <w:right w:val="none" w:sz="0" w:space="0" w:color="auto"/>
      </w:divBdr>
    </w:div>
    <w:div w:id="1008601859">
      <w:bodyDiv w:val="1"/>
      <w:marLeft w:val="0"/>
      <w:marRight w:val="0"/>
      <w:marTop w:val="0"/>
      <w:marBottom w:val="0"/>
      <w:divBdr>
        <w:top w:val="none" w:sz="0" w:space="0" w:color="auto"/>
        <w:left w:val="none" w:sz="0" w:space="0" w:color="auto"/>
        <w:bottom w:val="none" w:sz="0" w:space="0" w:color="auto"/>
        <w:right w:val="none" w:sz="0" w:space="0" w:color="auto"/>
      </w:divBdr>
    </w:div>
    <w:div w:id="1008630887">
      <w:bodyDiv w:val="1"/>
      <w:marLeft w:val="0"/>
      <w:marRight w:val="0"/>
      <w:marTop w:val="0"/>
      <w:marBottom w:val="0"/>
      <w:divBdr>
        <w:top w:val="none" w:sz="0" w:space="0" w:color="auto"/>
        <w:left w:val="none" w:sz="0" w:space="0" w:color="auto"/>
        <w:bottom w:val="none" w:sz="0" w:space="0" w:color="auto"/>
        <w:right w:val="none" w:sz="0" w:space="0" w:color="auto"/>
      </w:divBdr>
    </w:div>
    <w:div w:id="1009910525">
      <w:bodyDiv w:val="1"/>
      <w:marLeft w:val="0"/>
      <w:marRight w:val="0"/>
      <w:marTop w:val="0"/>
      <w:marBottom w:val="0"/>
      <w:divBdr>
        <w:top w:val="none" w:sz="0" w:space="0" w:color="auto"/>
        <w:left w:val="none" w:sz="0" w:space="0" w:color="auto"/>
        <w:bottom w:val="none" w:sz="0" w:space="0" w:color="auto"/>
        <w:right w:val="none" w:sz="0" w:space="0" w:color="auto"/>
      </w:divBdr>
    </w:div>
    <w:div w:id="1011613728">
      <w:bodyDiv w:val="1"/>
      <w:marLeft w:val="0"/>
      <w:marRight w:val="0"/>
      <w:marTop w:val="0"/>
      <w:marBottom w:val="0"/>
      <w:divBdr>
        <w:top w:val="none" w:sz="0" w:space="0" w:color="auto"/>
        <w:left w:val="none" w:sz="0" w:space="0" w:color="auto"/>
        <w:bottom w:val="none" w:sz="0" w:space="0" w:color="auto"/>
        <w:right w:val="none" w:sz="0" w:space="0" w:color="auto"/>
      </w:divBdr>
    </w:div>
    <w:div w:id="1011757230">
      <w:bodyDiv w:val="1"/>
      <w:marLeft w:val="0"/>
      <w:marRight w:val="0"/>
      <w:marTop w:val="0"/>
      <w:marBottom w:val="0"/>
      <w:divBdr>
        <w:top w:val="none" w:sz="0" w:space="0" w:color="auto"/>
        <w:left w:val="none" w:sz="0" w:space="0" w:color="auto"/>
        <w:bottom w:val="none" w:sz="0" w:space="0" w:color="auto"/>
        <w:right w:val="none" w:sz="0" w:space="0" w:color="auto"/>
      </w:divBdr>
    </w:div>
    <w:div w:id="1011761304">
      <w:bodyDiv w:val="1"/>
      <w:marLeft w:val="0"/>
      <w:marRight w:val="0"/>
      <w:marTop w:val="0"/>
      <w:marBottom w:val="0"/>
      <w:divBdr>
        <w:top w:val="none" w:sz="0" w:space="0" w:color="auto"/>
        <w:left w:val="none" w:sz="0" w:space="0" w:color="auto"/>
        <w:bottom w:val="none" w:sz="0" w:space="0" w:color="auto"/>
        <w:right w:val="none" w:sz="0" w:space="0" w:color="auto"/>
      </w:divBdr>
    </w:div>
    <w:div w:id="1016076177">
      <w:bodyDiv w:val="1"/>
      <w:marLeft w:val="0"/>
      <w:marRight w:val="0"/>
      <w:marTop w:val="0"/>
      <w:marBottom w:val="0"/>
      <w:divBdr>
        <w:top w:val="none" w:sz="0" w:space="0" w:color="auto"/>
        <w:left w:val="none" w:sz="0" w:space="0" w:color="auto"/>
        <w:bottom w:val="none" w:sz="0" w:space="0" w:color="auto"/>
        <w:right w:val="none" w:sz="0" w:space="0" w:color="auto"/>
      </w:divBdr>
    </w:div>
    <w:div w:id="1016153278">
      <w:bodyDiv w:val="1"/>
      <w:marLeft w:val="0"/>
      <w:marRight w:val="0"/>
      <w:marTop w:val="0"/>
      <w:marBottom w:val="0"/>
      <w:divBdr>
        <w:top w:val="none" w:sz="0" w:space="0" w:color="auto"/>
        <w:left w:val="none" w:sz="0" w:space="0" w:color="auto"/>
        <w:bottom w:val="none" w:sz="0" w:space="0" w:color="auto"/>
        <w:right w:val="none" w:sz="0" w:space="0" w:color="auto"/>
      </w:divBdr>
    </w:div>
    <w:div w:id="1017123886">
      <w:bodyDiv w:val="1"/>
      <w:marLeft w:val="0"/>
      <w:marRight w:val="0"/>
      <w:marTop w:val="0"/>
      <w:marBottom w:val="0"/>
      <w:divBdr>
        <w:top w:val="none" w:sz="0" w:space="0" w:color="auto"/>
        <w:left w:val="none" w:sz="0" w:space="0" w:color="auto"/>
        <w:bottom w:val="none" w:sz="0" w:space="0" w:color="auto"/>
        <w:right w:val="none" w:sz="0" w:space="0" w:color="auto"/>
      </w:divBdr>
    </w:div>
    <w:div w:id="1019308242">
      <w:bodyDiv w:val="1"/>
      <w:marLeft w:val="0"/>
      <w:marRight w:val="0"/>
      <w:marTop w:val="0"/>
      <w:marBottom w:val="0"/>
      <w:divBdr>
        <w:top w:val="none" w:sz="0" w:space="0" w:color="auto"/>
        <w:left w:val="none" w:sz="0" w:space="0" w:color="auto"/>
        <w:bottom w:val="none" w:sz="0" w:space="0" w:color="auto"/>
        <w:right w:val="none" w:sz="0" w:space="0" w:color="auto"/>
      </w:divBdr>
    </w:div>
    <w:div w:id="1020355555">
      <w:bodyDiv w:val="1"/>
      <w:marLeft w:val="0"/>
      <w:marRight w:val="0"/>
      <w:marTop w:val="0"/>
      <w:marBottom w:val="0"/>
      <w:divBdr>
        <w:top w:val="none" w:sz="0" w:space="0" w:color="auto"/>
        <w:left w:val="none" w:sz="0" w:space="0" w:color="auto"/>
        <w:bottom w:val="none" w:sz="0" w:space="0" w:color="auto"/>
        <w:right w:val="none" w:sz="0" w:space="0" w:color="auto"/>
      </w:divBdr>
    </w:div>
    <w:div w:id="1021593032">
      <w:bodyDiv w:val="1"/>
      <w:marLeft w:val="0"/>
      <w:marRight w:val="0"/>
      <w:marTop w:val="0"/>
      <w:marBottom w:val="0"/>
      <w:divBdr>
        <w:top w:val="none" w:sz="0" w:space="0" w:color="auto"/>
        <w:left w:val="none" w:sz="0" w:space="0" w:color="auto"/>
        <w:bottom w:val="none" w:sz="0" w:space="0" w:color="auto"/>
        <w:right w:val="none" w:sz="0" w:space="0" w:color="auto"/>
      </w:divBdr>
    </w:div>
    <w:div w:id="1022516314">
      <w:bodyDiv w:val="1"/>
      <w:marLeft w:val="0"/>
      <w:marRight w:val="0"/>
      <w:marTop w:val="0"/>
      <w:marBottom w:val="0"/>
      <w:divBdr>
        <w:top w:val="none" w:sz="0" w:space="0" w:color="auto"/>
        <w:left w:val="none" w:sz="0" w:space="0" w:color="auto"/>
        <w:bottom w:val="none" w:sz="0" w:space="0" w:color="auto"/>
        <w:right w:val="none" w:sz="0" w:space="0" w:color="auto"/>
      </w:divBdr>
    </w:div>
    <w:div w:id="1023215759">
      <w:bodyDiv w:val="1"/>
      <w:marLeft w:val="0"/>
      <w:marRight w:val="0"/>
      <w:marTop w:val="0"/>
      <w:marBottom w:val="0"/>
      <w:divBdr>
        <w:top w:val="none" w:sz="0" w:space="0" w:color="auto"/>
        <w:left w:val="none" w:sz="0" w:space="0" w:color="auto"/>
        <w:bottom w:val="none" w:sz="0" w:space="0" w:color="auto"/>
        <w:right w:val="none" w:sz="0" w:space="0" w:color="auto"/>
      </w:divBdr>
    </w:div>
    <w:div w:id="1023945793">
      <w:bodyDiv w:val="1"/>
      <w:marLeft w:val="0"/>
      <w:marRight w:val="0"/>
      <w:marTop w:val="0"/>
      <w:marBottom w:val="0"/>
      <w:divBdr>
        <w:top w:val="none" w:sz="0" w:space="0" w:color="auto"/>
        <w:left w:val="none" w:sz="0" w:space="0" w:color="auto"/>
        <w:bottom w:val="none" w:sz="0" w:space="0" w:color="auto"/>
        <w:right w:val="none" w:sz="0" w:space="0" w:color="auto"/>
      </w:divBdr>
    </w:div>
    <w:div w:id="1024290383">
      <w:bodyDiv w:val="1"/>
      <w:marLeft w:val="0"/>
      <w:marRight w:val="0"/>
      <w:marTop w:val="0"/>
      <w:marBottom w:val="0"/>
      <w:divBdr>
        <w:top w:val="none" w:sz="0" w:space="0" w:color="auto"/>
        <w:left w:val="none" w:sz="0" w:space="0" w:color="auto"/>
        <w:bottom w:val="none" w:sz="0" w:space="0" w:color="auto"/>
        <w:right w:val="none" w:sz="0" w:space="0" w:color="auto"/>
      </w:divBdr>
    </w:div>
    <w:div w:id="1025667432">
      <w:bodyDiv w:val="1"/>
      <w:marLeft w:val="0"/>
      <w:marRight w:val="0"/>
      <w:marTop w:val="0"/>
      <w:marBottom w:val="0"/>
      <w:divBdr>
        <w:top w:val="none" w:sz="0" w:space="0" w:color="auto"/>
        <w:left w:val="none" w:sz="0" w:space="0" w:color="auto"/>
        <w:bottom w:val="none" w:sz="0" w:space="0" w:color="auto"/>
        <w:right w:val="none" w:sz="0" w:space="0" w:color="auto"/>
      </w:divBdr>
    </w:div>
    <w:div w:id="1026100091">
      <w:bodyDiv w:val="1"/>
      <w:marLeft w:val="0"/>
      <w:marRight w:val="0"/>
      <w:marTop w:val="0"/>
      <w:marBottom w:val="0"/>
      <w:divBdr>
        <w:top w:val="none" w:sz="0" w:space="0" w:color="auto"/>
        <w:left w:val="none" w:sz="0" w:space="0" w:color="auto"/>
        <w:bottom w:val="none" w:sz="0" w:space="0" w:color="auto"/>
        <w:right w:val="none" w:sz="0" w:space="0" w:color="auto"/>
      </w:divBdr>
    </w:div>
    <w:div w:id="1026180910">
      <w:bodyDiv w:val="1"/>
      <w:marLeft w:val="0"/>
      <w:marRight w:val="0"/>
      <w:marTop w:val="0"/>
      <w:marBottom w:val="0"/>
      <w:divBdr>
        <w:top w:val="none" w:sz="0" w:space="0" w:color="auto"/>
        <w:left w:val="none" w:sz="0" w:space="0" w:color="auto"/>
        <w:bottom w:val="none" w:sz="0" w:space="0" w:color="auto"/>
        <w:right w:val="none" w:sz="0" w:space="0" w:color="auto"/>
      </w:divBdr>
    </w:div>
    <w:div w:id="1026785236">
      <w:bodyDiv w:val="1"/>
      <w:marLeft w:val="0"/>
      <w:marRight w:val="0"/>
      <w:marTop w:val="0"/>
      <w:marBottom w:val="0"/>
      <w:divBdr>
        <w:top w:val="none" w:sz="0" w:space="0" w:color="auto"/>
        <w:left w:val="none" w:sz="0" w:space="0" w:color="auto"/>
        <w:bottom w:val="none" w:sz="0" w:space="0" w:color="auto"/>
        <w:right w:val="none" w:sz="0" w:space="0" w:color="auto"/>
      </w:divBdr>
    </w:div>
    <w:div w:id="1028019751">
      <w:bodyDiv w:val="1"/>
      <w:marLeft w:val="0"/>
      <w:marRight w:val="0"/>
      <w:marTop w:val="0"/>
      <w:marBottom w:val="0"/>
      <w:divBdr>
        <w:top w:val="none" w:sz="0" w:space="0" w:color="auto"/>
        <w:left w:val="none" w:sz="0" w:space="0" w:color="auto"/>
        <w:bottom w:val="none" w:sz="0" w:space="0" w:color="auto"/>
        <w:right w:val="none" w:sz="0" w:space="0" w:color="auto"/>
      </w:divBdr>
    </w:div>
    <w:div w:id="1028212617">
      <w:bodyDiv w:val="1"/>
      <w:marLeft w:val="0"/>
      <w:marRight w:val="0"/>
      <w:marTop w:val="0"/>
      <w:marBottom w:val="0"/>
      <w:divBdr>
        <w:top w:val="none" w:sz="0" w:space="0" w:color="auto"/>
        <w:left w:val="none" w:sz="0" w:space="0" w:color="auto"/>
        <w:bottom w:val="none" w:sz="0" w:space="0" w:color="auto"/>
        <w:right w:val="none" w:sz="0" w:space="0" w:color="auto"/>
      </w:divBdr>
    </w:div>
    <w:div w:id="1028415304">
      <w:bodyDiv w:val="1"/>
      <w:marLeft w:val="0"/>
      <w:marRight w:val="0"/>
      <w:marTop w:val="0"/>
      <w:marBottom w:val="0"/>
      <w:divBdr>
        <w:top w:val="none" w:sz="0" w:space="0" w:color="auto"/>
        <w:left w:val="none" w:sz="0" w:space="0" w:color="auto"/>
        <w:bottom w:val="none" w:sz="0" w:space="0" w:color="auto"/>
        <w:right w:val="none" w:sz="0" w:space="0" w:color="auto"/>
      </w:divBdr>
    </w:div>
    <w:div w:id="1028794731">
      <w:bodyDiv w:val="1"/>
      <w:marLeft w:val="0"/>
      <w:marRight w:val="0"/>
      <w:marTop w:val="0"/>
      <w:marBottom w:val="0"/>
      <w:divBdr>
        <w:top w:val="none" w:sz="0" w:space="0" w:color="auto"/>
        <w:left w:val="none" w:sz="0" w:space="0" w:color="auto"/>
        <w:bottom w:val="none" w:sz="0" w:space="0" w:color="auto"/>
        <w:right w:val="none" w:sz="0" w:space="0" w:color="auto"/>
      </w:divBdr>
    </w:div>
    <w:div w:id="1029381727">
      <w:bodyDiv w:val="1"/>
      <w:marLeft w:val="0"/>
      <w:marRight w:val="0"/>
      <w:marTop w:val="0"/>
      <w:marBottom w:val="0"/>
      <w:divBdr>
        <w:top w:val="none" w:sz="0" w:space="0" w:color="auto"/>
        <w:left w:val="none" w:sz="0" w:space="0" w:color="auto"/>
        <w:bottom w:val="none" w:sz="0" w:space="0" w:color="auto"/>
        <w:right w:val="none" w:sz="0" w:space="0" w:color="auto"/>
      </w:divBdr>
    </w:div>
    <w:div w:id="1030453081">
      <w:bodyDiv w:val="1"/>
      <w:marLeft w:val="0"/>
      <w:marRight w:val="0"/>
      <w:marTop w:val="0"/>
      <w:marBottom w:val="0"/>
      <w:divBdr>
        <w:top w:val="none" w:sz="0" w:space="0" w:color="auto"/>
        <w:left w:val="none" w:sz="0" w:space="0" w:color="auto"/>
        <w:bottom w:val="none" w:sz="0" w:space="0" w:color="auto"/>
        <w:right w:val="none" w:sz="0" w:space="0" w:color="auto"/>
      </w:divBdr>
    </w:div>
    <w:div w:id="1030842367">
      <w:bodyDiv w:val="1"/>
      <w:marLeft w:val="0"/>
      <w:marRight w:val="0"/>
      <w:marTop w:val="0"/>
      <w:marBottom w:val="0"/>
      <w:divBdr>
        <w:top w:val="none" w:sz="0" w:space="0" w:color="auto"/>
        <w:left w:val="none" w:sz="0" w:space="0" w:color="auto"/>
        <w:bottom w:val="none" w:sz="0" w:space="0" w:color="auto"/>
        <w:right w:val="none" w:sz="0" w:space="0" w:color="auto"/>
      </w:divBdr>
    </w:div>
    <w:div w:id="1031344423">
      <w:bodyDiv w:val="1"/>
      <w:marLeft w:val="0"/>
      <w:marRight w:val="0"/>
      <w:marTop w:val="0"/>
      <w:marBottom w:val="0"/>
      <w:divBdr>
        <w:top w:val="none" w:sz="0" w:space="0" w:color="auto"/>
        <w:left w:val="none" w:sz="0" w:space="0" w:color="auto"/>
        <w:bottom w:val="none" w:sz="0" w:space="0" w:color="auto"/>
        <w:right w:val="none" w:sz="0" w:space="0" w:color="auto"/>
      </w:divBdr>
    </w:div>
    <w:div w:id="1031613954">
      <w:bodyDiv w:val="1"/>
      <w:marLeft w:val="0"/>
      <w:marRight w:val="0"/>
      <w:marTop w:val="0"/>
      <w:marBottom w:val="0"/>
      <w:divBdr>
        <w:top w:val="none" w:sz="0" w:space="0" w:color="auto"/>
        <w:left w:val="none" w:sz="0" w:space="0" w:color="auto"/>
        <w:bottom w:val="none" w:sz="0" w:space="0" w:color="auto"/>
        <w:right w:val="none" w:sz="0" w:space="0" w:color="auto"/>
      </w:divBdr>
    </w:div>
    <w:div w:id="1032996733">
      <w:bodyDiv w:val="1"/>
      <w:marLeft w:val="0"/>
      <w:marRight w:val="0"/>
      <w:marTop w:val="0"/>
      <w:marBottom w:val="0"/>
      <w:divBdr>
        <w:top w:val="none" w:sz="0" w:space="0" w:color="auto"/>
        <w:left w:val="none" w:sz="0" w:space="0" w:color="auto"/>
        <w:bottom w:val="none" w:sz="0" w:space="0" w:color="auto"/>
        <w:right w:val="none" w:sz="0" w:space="0" w:color="auto"/>
      </w:divBdr>
    </w:div>
    <w:div w:id="1033118217">
      <w:bodyDiv w:val="1"/>
      <w:marLeft w:val="0"/>
      <w:marRight w:val="0"/>
      <w:marTop w:val="0"/>
      <w:marBottom w:val="0"/>
      <w:divBdr>
        <w:top w:val="none" w:sz="0" w:space="0" w:color="auto"/>
        <w:left w:val="none" w:sz="0" w:space="0" w:color="auto"/>
        <w:bottom w:val="none" w:sz="0" w:space="0" w:color="auto"/>
        <w:right w:val="none" w:sz="0" w:space="0" w:color="auto"/>
      </w:divBdr>
    </w:div>
    <w:div w:id="1034113509">
      <w:bodyDiv w:val="1"/>
      <w:marLeft w:val="0"/>
      <w:marRight w:val="0"/>
      <w:marTop w:val="0"/>
      <w:marBottom w:val="0"/>
      <w:divBdr>
        <w:top w:val="none" w:sz="0" w:space="0" w:color="auto"/>
        <w:left w:val="none" w:sz="0" w:space="0" w:color="auto"/>
        <w:bottom w:val="none" w:sz="0" w:space="0" w:color="auto"/>
        <w:right w:val="none" w:sz="0" w:space="0" w:color="auto"/>
      </w:divBdr>
    </w:div>
    <w:div w:id="1036856245">
      <w:bodyDiv w:val="1"/>
      <w:marLeft w:val="0"/>
      <w:marRight w:val="0"/>
      <w:marTop w:val="0"/>
      <w:marBottom w:val="0"/>
      <w:divBdr>
        <w:top w:val="none" w:sz="0" w:space="0" w:color="auto"/>
        <w:left w:val="none" w:sz="0" w:space="0" w:color="auto"/>
        <w:bottom w:val="none" w:sz="0" w:space="0" w:color="auto"/>
        <w:right w:val="none" w:sz="0" w:space="0" w:color="auto"/>
      </w:divBdr>
    </w:div>
    <w:div w:id="1037198313">
      <w:bodyDiv w:val="1"/>
      <w:marLeft w:val="0"/>
      <w:marRight w:val="0"/>
      <w:marTop w:val="0"/>
      <w:marBottom w:val="0"/>
      <w:divBdr>
        <w:top w:val="none" w:sz="0" w:space="0" w:color="auto"/>
        <w:left w:val="none" w:sz="0" w:space="0" w:color="auto"/>
        <w:bottom w:val="none" w:sz="0" w:space="0" w:color="auto"/>
        <w:right w:val="none" w:sz="0" w:space="0" w:color="auto"/>
      </w:divBdr>
    </w:div>
    <w:div w:id="1037199112">
      <w:bodyDiv w:val="1"/>
      <w:marLeft w:val="0"/>
      <w:marRight w:val="0"/>
      <w:marTop w:val="0"/>
      <w:marBottom w:val="0"/>
      <w:divBdr>
        <w:top w:val="none" w:sz="0" w:space="0" w:color="auto"/>
        <w:left w:val="none" w:sz="0" w:space="0" w:color="auto"/>
        <w:bottom w:val="none" w:sz="0" w:space="0" w:color="auto"/>
        <w:right w:val="none" w:sz="0" w:space="0" w:color="auto"/>
      </w:divBdr>
    </w:div>
    <w:div w:id="1038554706">
      <w:bodyDiv w:val="1"/>
      <w:marLeft w:val="0"/>
      <w:marRight w:val="0"/>
      <w:marTop w:val="0"/>
      <w:marBottom w:val="0"/>
      <w:divBdr>
        <w:top w:val="none" w:sz="0" w:space="0" w:color="auto"/>
        <w:left w:val="none" w:sz="0" w:space="0" w:color="auto"/>
        <w:bottom w:val="none" w:sz="0" w:space="0" w:color="auto"/>
        <w:right w:val="none" w:sz="0" w:space="0" w:color="auto"/>
      </w:divBdr>
    </w:div>
    <w:div w:id="1038555591">
      <w:bodyDiv w:val="1"/>
      <w:marLeft w:val="0"/>
      <w:marRight w:val="0"/>
      <w:marTop w:val="0"/>
      <w:marBottom w:val="0"/>
      <w:divBdr>
        <w:top w:val="none" w:sz="0" w:space="0" w:color="auto"/>
        <w:left w:val="none" w:sz="0" w:space="0" w:color="auto"/>
        <w:bottom w:val="none" w:sz="0" w:space="0" w:color="auto"/>
        <w:right w:val="none" w:sz="0" w:space="0" w:color="auto"/>
      </w:divBdr>
    </w:div>
    <w:div w:id="1039473676">
      <w:bodyDiv w:val="1"/>
      <w:marLeft w:val="0"/>
      <w:marRight w:val="0"/>
      <w:marTop w:val="0"/>
      <w:marBottom w:val="0"/>
      <w:divBdr>
        <w:top w:val="none" w:sz="0" w:space="0" w:color="auto"/>
        <w:left w:val="none" w:sz="0" w:space="0" w:color="auto"/>
        <w:bottom w:val="none" w:sz="0" w:space="0" w:color="auto"/>
        <w:right w:val="none" w:sz="0" w:space="0" w:color="auto"/>
      </w:divBdr>
    </w:div>
    <w:div w:id="1039940390">
      <w:bodyDiv w:val="1"/>
      <w:marLeft w:val="0"/>
      <w:marRight w:val="0"/>
      <w:marTop w:val="0"/>
      <w:marBottom w:val="0"/>
      <w:divBdr>
        <w:top w:val="none" w:sz="0" w:space="0" w:color="auto"/>
        <w:left w:val="none" w:sz="0" w:space="0" w:color="auto"/>
        <w:bottom w:val="none" w:sz="0" w:space="0" w:color="auto"/>
        <w:right w:val="none" w:sz="0" w:space="0" w:color="auto"/>
      </w:divBdr>
    </w:div>
    <w:div w:id="1042437997">
      <w:bodyDiv w:val="1"/>
      <w:marLeft w:val="0"/>
      <w:marRight w:val="0"/>
      <w:marTop w:val="0"/>
      <w:marBottom w:val="0"/>
      <w:divBdr>
        <w:top w:val="none" w:sz="0" w:space="0" w:color="auto"/>
        <w:left w:val="none" w:sz="0" w:space="0" w:color="auto"/>
        <w:bottom w:val="none" w:sz="0" w:space="0" w:color="auto"/>
        <w:right w:val="none" w:sz="0" w:space="0" w:color="auto"/>
      </w:divBdr>
    </w:div>
    <w:div w:id="1042510590">
      <w:bodyDiv w:val="1"/>
      <w:marLeft w:val="0"/>
      <w:marRight w:val="0"/>
      <w:marTop w:val="0"/>
      <w:marBottom w:val="0"/>
      <w:divBdr>
        <w:top w:val="none" w:sz="0" w:space="0" w:color="auto"/>
        <w:left w:val="none" w:sz="0" w:space="0" w:color="auto"/>
        <w:bottom w:val="none" w:sz="0" w:space="0" w:color="auto"/>
        <w:right w:val="none" w:sz="0" w:space="0" w:color="auto"/>
      </w:divBdr>
    </w:div>
    <w:div w:id="1042828631">
      <w:bodyDiv w:val="1"/>
      <w:marLeft w:val="0"/>
      <w:marRight w:val="0"/>
      <w:marTop w:val="0"/>
      <w:marBottom w:val="0"/>
      <w:divBdr>
        <w:top w:val="none" w:sz="0" w:space="0" w:color="auto"/>
        <w:left w:val="none" w:sz="0" w:space="0" w:color="auto"/>
        <w:bottom w:val="none" w:sz="0" w:space="0" w:color="auto"/>
        <w:right w:val="none" w:sz="0" w:space="0" w:color="auto"/>
      </w:divBdr>
    </w:div>
    <w:div w:id="1044017975">
      <w:bodyDiv w:val="1"/>
      <w:marLeft w:val="0"/>
      <w:marRight w:val="0"/>
      <w:marTop w:val="0"/>
      <w:marBottom w:val="0"/>
      <w:divBdr>
        <w:top w:val="none" w:sz="0" w:space="0" w:color="auto"/>
        <w:left w:val="none" w:sz="0" w:space="0" w:color="auto"/>
        <w:bottom w:val="none" w:sz="0" w:space="0" w:color="auto"/>
        <w:right w:val="none" w:sz="0" w:space="0" w:color="auto"/>
      </w:divBdr>
    </w:div>
    <w:div w:id="1044477249">
      <w:bodyDiv w:val="1"/>
      <w:marLeft w:val="0"/>
      <w:marRight w:val="0"/>
      <w:marTop w:val="0"/>
      <w:marBottom w:val="0"/>
      <w:divBdr>
        <w:top w:val="none" w:sz="0" w:space="0" w:color="auto"/>
        <w:left w:val="none" w:sz="0" w:space="0" w:color="auto"/>
        <w:bottom w:val="none" w:sz="0" w:space="0" w:color="auto"/>
        <w:right w:val="none" w:sz="0" w:space="0" w:color="auto"/>
      </w:divBdr>
    </w:div>
    <w:div w:id="1044984970">
      <w:bodyDiv w:val="1"/>
      <w:marLeft w:val="0"/>
      <w:marRight w:val="0"/>
      <w:marTop w:val="0"/>
      <w:marBottom w:val="0"/>
      <w:divBdr>
        <w:top w:val="none" w:sz="0" w:space="0" w:color="auto"/>
        <w:left w:val="none" w:sz="0" w:space="0" w:color="auto"/>
        <w:bottom w:val="none" w:sz="0" w:space="0" w:color="auto"/>
        <w:right w:val="none" w:sz="0" w:space="0" w:color="auto"/>
      </w:divBdr>
    </w:div>
    <w:div w:id="1045566286">
      <w:bodyDiv w:val="1"/>
      <w:marLeft w:val="0"/>
      <w:marRight w:val="0"/>
      <w:marTop w:val="0"/>
      <w:marBottom w:val="0"/>
      <w:divBdr>
        <w:top w:val="none" w:sz="0" w:space="0" w:color="auto"/>
        <w:left w:val="none" w:sz="0" w:space="0" w:color="auto"/>
        <w:bottom w:val="none" w:sz="0" w:space="0" w:color="auto"/>
        <w:right w:val="none" w:sz="0" w:space="0" w:color="auto"/>
      </w:divBdr>
    </w:div>
    <w:div w:id="1045986005">
      <w:bodyDiv w:val="1"/>
      <w:marLeft w:val="0"/>
      <w:marRight w:val="0"/>
      <w:marTop w:val="0"/>
      <w:marBottom w:val="0"/>
      <w:divBdr>
        <w:top w:val="none" w:sz="0" w:space="0" w:color="auto"/>
        <w:left w:val="none" w:sz="0" w:space="0" w:color="auto"/>
        <w:bottom w:val="none" w:sz="0" w:space="0" w:color="auto"/>
        <w:right w:val="none" w:sz="0" w:space="0" w:color="auto"/>
      </w:divBdr>
    </w:div>
    <w:div w:id="1046295139">
      <w:bodyDiv w:val="1"/>
      <w:marLeft w:val="0"/>
      <w:marRight w:val="0"/>
      <w:marTop w:val="0"/>
      <w:marBottom w:val="0"/>
      <w:divBdr>
        <w:top w:val="none" w:sz="0" w:space="0" w:color="auto"/>
        <w:left w:val="none" w:sz="0" w:space="0" w:color="auto"/>
        <w:bottom w:val="none" w:sz="0" w:space="0" w:color="auto"/>
        <w:right w:val="none" w:sz="0" w:space="0" w:color="auto"/>
      </w:divBdr>
    </w:div>
    <w:div w:id="1046760825">
      <w:bodyDiv w:val="1"/>
      <w:marLeft w:val="0"/>
      <w:marRight w:val="0"/>
      <w:marTop w:val="0"/>
      <w:marBottom w:val="0"/>
      <w:divBdr>
        <w:top w:val="none" w:sz="0" w:space="0" w:color="auto"/>
        <w:left w:val="none" w:sz="0" w:space="0" w:color="auto"/>
        <w:bottom w:val="none" w:sz="0" w:space="0" w:color="auto"/>
        <w:right w:val="none" w:sz="0" w:space="0" w:color="auto"/>
      </w:divBdr>
    </w:div>
    <w:div w:id="1047871864">
      <w:bodyDiv w:val="1"/>
      <w:marLeft w:val="0"/>
      <w:marRight w:val="0"/>
      <w:marTop w:val="0"/>
      <w:marBottom w:val="0"/>
      <w:divBdr>
        <w:top w:val="none" w:sz="0" w:space="0" w:color="auto"/>
        <w:left w:val="none" w:sz="0" w:space="0" w:color="auto"/>
        <w:bottom w:val="none" w:sz="0" w:space="0" w:color="auto"/>
        <w:right w:val="none" w:sz="0" w:space="0" w:color="auto"/>
      </w:divBdr>
    </w:div>
    <w:div w:id="1048601353">
      <w:bodyDiv w:val="1"/>
      <w:marLeft w:val="0"/>
      <w:marRight w:val="0"/>
      <w:marTop w:val="0"/>
      <w:marBottom w:val="0"/>
      <w:divBdr>
        <w:top w:val="none" w:sz="0" w:space="0" w:color="auto"/>
        <w:left w:val="none" w:sz="0" w:space="0" w:color="auto"/>
        <w:bottom w:val="none" w:sz="0" w:space="0" w:color="auto"/>
        <w:right w:val="none" w:sz="0" w:space="0" w:color="auto"/>
      </w:divBdr>
    </w:div>
    <w:div w:id="1049453345">
      <w:bodyDiv w:val="1"/>
      <w:marLeft w:val="0"/>
      <w:marRight w:val="0"/>
      <w:marTop w:val="0"/>
      <w:marBottom w:val="0"/>
      <w:divBdr>
        <w:top w:val="none" w:sz="0" w:space="0" w:color="auto"/>
        <w:left w:val="none" w:sz="0" w:space="0" w:color="auto"/>
        <w:bottom w:val="none" w:sz="0" w:space="0" w:color="auto"/>
        <w:right w:val="none" w:sz="0" w:space="0" w:color="auto"/>
      </w:divBdr>
    </w:div>
    <w:div w:id="1049959625">
      <w:bodyDiv w:val="1"/>
      <w:marLeft w:val="0"/>
      <w:marRight w:val="0"/>
      <w:marTop w:val="0"/>
      <w:marBottom w:val="0"/>
      <w:divBdr>
        <w:top w:val="none" w:sz="0" w:space="0" w:color="auto"/>
        <w:left w:val="none" w:sz="0" w:space="0" w:color="auto"/>
        <w:bottom w:val="none" w:sz="0" w:space="0" w:color="auto"/>
        <w:right w:val="none" w:sz="0" w:space="0" w:color="auto"/>
      </w:divBdr>
    </w:div>
    <w:div w:id="1051148505">
      <w:bodyDiv w:val="1"/>
      <w:marLeft w:val="0"/>
      <w:marRight w:val="0"/>
      <w:marTop w:val="0"/>
      <w:marBottom w:val="0"/>
      <w:divBdr>
        <w:top w:val="none" w:sz="0" w:space="0" w:color="auto"/>
        <w:left w:val="none" w:sz="0" w:space="0" w:color="auto"/>
        <w:bottom w:val="none" w:sz="0" w:space="0" w:color="auto"/>
        <w:right w:val="none" w:sz="0" w:space="0" w:color="auto"/>
      </w:divBdr>
    </w:div>
    <w:div w:id="1052730574">
      <w:bodyDiv w:val="1"/>
      <w:marLeft w:val="0"/>
      <w:marRight w:val="0"/>
      <w:marTop w:val="0"/>
      <w:marBottom w:val="0"/>
      <w:divBdr>
        <w:top w:val="none" w:sz="0" w:space="0" w:color="auto"/>
        <w:left w:val="none" w:sz="0" w:space="0" w:color="auto"/>
        <w:bottom w:val="none" w:sz="0" w:space="0" w:color="auto"/>
        <w:right w:val="none" w:sz="0" w:space="0" w:color="auto"/>
      </w:divBdr>
    </w:div>
    <w:div w:id="1058671244">
      <w:bodyDiv w:val="1"/>
      <w:marLeft w:val="0"/>
      <w:marRight w:val="0"/>
      <w:marTop w:val="0"/>
      <w:marBottom w:val="0"/>
      <w:divBdr>
        <w:top w:val="none" w:sz="0" w:space="0" w:color="auto"/>
        <w:left w:val="none" w:sz="0" w:space="0" w:color="auto"/>
        <w:bottom w:val="none" w:sz="0" w:space="0" w:color="auto"/>
        <w:right w:val="none" w:sz="0" w:space="0" w:color="auto"/>
      </w:divBdr>
    </w:div>
    <w:div w:id="1058821715">
      <w:bodyDiv w:val="1"/>
      <w:marLeft w:val="0"/>
      <w:marRight w:val="0"/>
      <w:marTop w:val="0"/>
      <w:marBottom w:val="0"/>
      <w:divBdr>
        <w:top w:val="none" w:sz="0" w:space="0" w:color="auto"/>
        <w:left w:val="none" w:sz="0" w:space="0" w:color="auto"/>
        <w:bottom w:val="none" w:sz="0" w:space="0" w:color="auto"/>
        <w:right w:val="none" w:sz="0" w:space="0" w:color="auto"/>
      </w:divBdr>
    </w:div>
    <w:div w:id="1059329662">
      <w:bodyDiv w:val="1"/>
      <w:marLeft w:val="0"/>
      <w:marRight w:val="0"/>
      <w:marTop w:val="0"/>
      <w:marBottom w:val="0"/>
      <w:divBdr>
        <w:top w:val="none" w:sz="0" w:space="0" w:color="auto"/>
        <w:left w:val="none" w:sz="0" w:space="0" w:color="auto"/>
        <w:bottom w:val="none" w:sz="0" w:space="0" w:color="auto"/>
        <w:right w:val="none" w:sz="0" w:space="0" w:color="auto"/>
      </w:divBdr>
    </w:div>
    <w:div w:id="1060205653">
      <w:bodyDiv w:val="1"/>
      <w:marLeft w:val="0"/>
      <w:marRight w:val="0"/>
      <w:marTop w:val="0"/>
      <w:marBottom w:val="0"/>
      <w:divBdr>
        <w:top w:val="none" w:sz="0" w:space="0" w:color="auto"/>
        <w:left w:val="none" w:sz="0" w:space="0" w:color="auto"/>
        <w:bottom w:val="none" w:sz="0" w:space="0" w:color="auto"/>
        <w:right w:val="none" w:sz="0" w:space="0" w:color="auto"/>
      </w:divBdr>
    </w:div>
    <w:div w:id="1060637891">
      <w:bodyDiv w:val="1"/>
      <w:marLeft w:val="0"/>
      <w:marRight w:val="0"/>
      <w:marTop w:val="0"/>
      <w:marBottom w:val="0"/>
      <w:divBdr>
        <w:top w:val="none" w:sz="0" w:space="0" w:color="auto"/>
        <w:left w:val="none" w:sz="0" w:space="0" w:color="auto"/>
        <w:bottom w:val="none" w:sz="0" w:space="0" w:color="auto"/>
        <w:right w:val="none" w:sz="0" w:space="0" w:color="auto"/>
      </w:divBdr>
    </w:div>
    <w:div w:id="1060791154">
      <w:bodyDiv w:val="1"/>
      <w:marLeft w:val="0"/>
      <w:marRight w:val="0"/>
      <w:marTop w:val="0"/>
      <w:marBottom w:val="0"/>
      <w:divBdr>
        <w:top w:val="none" w:sz="0" w:space="0" w:color="auto"/>
        <w:left w:val="none" w:sz="0" w:space="0" w:color="auto"/>
        <w:bottom w:val="none" w:sz="0" w:space="0" w:color="auto"/>
        <w:right w:val="none" w:sz="0" w:space="0" w:color="auto"/>
      </w:divBdr>
      <w:divsChild>
        <w:div w:id="215513925">
          <w:marLeft w:val="1166"/>
          <w:marRight w:val="0"/>
          <w:marTop w:val="96"/>
          <w:marBottom w:val="0"/>
          <w:divBdr>
            <w:top w:val="none" w:sz="0" w:space="0" w:color="auto"/>
            <w:left w:val="none" w:sz="0" w:space="0" w:color="auto"/>
            <w:bottom w:val="none" w:sz="0" w:space="0" w:color="auto"/>
            <w:right w:val="none" w:sz="0" w:space="0" w:color="auto"/>
          </w:divBdr>
        </w:div>
        <w:div w:id="258297923">
          <w:marLeft w:val="547"/>
          <w:marRight w:val="0"/>
          <w:marTop w:val="134"/>
          <w:marBottom w:val="0"/>
          <w:divBdr>
            <w:top w:val="none" w:sz="0" w:space="0" w:color="auto"/>
            <w:left w:val="none" w:sz="0" w:space="0" w:color="auto"/>
            <w:bottom w:val="none" w:sz="0" w:space="0" w:color="auto"/>
            <w:right w:val="none" w:sz="0" w:space="0" w:color="auto"/>
          </w:divBdr>
        </w:div>
        <w:div w:id="1381132773">
          <w:marLeft w:val="1800"/>
          <w:marRight w:val="0"/>
          <w:marTop w:val="96"/>
          <w:marBottom w:val="0"/>
          <w:divBdr>
            <w:top w:val="none" w:sz="0" w:space="0" w:color="auto"/>
            <w:left w:val="none" w:sz="0" w:space="0" w:color="auto"/>
            <w:bottom w:val="none" w:sz="0" w:space="0" w:color="auto"/>
            <w:right w:val="none" w:sz="0" w:space="0" w:color="auto"/>
          </w:divBdr>
        </w:div>
        <w:div w:id="2094743815">
          <w:marLeft w:val="547"/>
          <w:marRight w:val="0"/>
          <w:marTop w:val="134"/>
          <w:marBottom w:val="0"/>
          <w:divBdr>
            <w:top w:val="none" w:sz="0" w:space="0" w:color="auto"/>
            <w:left w:val="none" w:sz="0" w:space="0" w:color="auto"/>
            <w:bottom w:val="none" w:sz="0" w:space="0" w:color="auto"/>
            <w:right w:val="none" w:sz="0" w:space="0" w:color="auto"/>
          </w:divBdr>
        </w:div>
      </w:divsChild>
    </w:div>
    <w:div w:id="1060833377">
      <w:bodyDiv w:val="1"/>
      <w:marLeft w:val="0"/>
      <w:marRight w:val="0"/>
      <w:marTop w:val="0"/>
      <w:marBottom w:val="0"/>
      <w:divBdr>
        <w:top w:val="none" w:sz="0" w:space="0" w:color="auto"/>
        <w:left w:val="none" w:sz="0" w:space="0" w:color="auto"/>
        <w:bottom w:val="none" w:sz="0" w:space="0" w:color="auto"/>
        <w:right w:val="none" w:sz="0" w:space="0" w:color="auto"/>
      </w:divBdr>
    </w:div>
    <w:div w:id="1062173452">
      <w:bodyDiv w:val="1"/>
      <w:marLeft w:val="0"/>
      <w:marRight w:val="0"/>
      <w:marTop w:val="0"/>
      <w:marBottom w:val="0"/>
      <w:divBdr>
        <w:top w:val="none" w:sz="0" w:space="0" w:color="auto"/>
        <w:left w:val="none" w:sz="0" w:space="0" w:color="auto"/>
        <w:bottom w:val="none" w:sz="0" w:space="0" w:color="auto"/>
        <w:right w:val="none" w:sz="0" w:space="0" w:color="auto"/>
      </w:divBdr>
    </w:div>
    <w:div w:id="1065032396">
      <w:bodyDiv w:val="1"/>
      <w:marLeft w:val="0"/>
      <w:marRight w:val="0"/>
      <w:marTop w:val="0"/>
      <w:marBottom w:val="0"/>
      <w:divBdr>
        <w:top w:val="none" w:sz="0" w:space="0" w:color="auto"/>
        <w:left w:val="none" w:sz="0" w:space="0" w:color="auto"/>
        <w:bottom w:val="none" w:sz="0" w:space="0" w:color="auto"/>
        <w:right w:val="none" w:sz="0" w:space="0" w:color="auto"/>
      </w:divBdr>
    </w:div>
    <w:div w:id="1065490862">
      <w:bodyDiv w:val="1"/>
      <w:marLeft w:val="0"/>
      <w:marRight w:val="0"/>
      <w:marTop w:val="0"/>
      <w:marBottom w:val="0"/>
      <w:divBdr>
        <w:top w:val="none" w:sz="0" w:space="0" w:color="auto"/>
        <w:left w:val="none" w:sz="0" w:space="0" w:color="auto"/>
        <w:bottom w:val="none" w:sz="0" w:space="0" w:color="auto"/>
        <w:right w:val="none" w:sz="0" w:space="0" w:color="auto"/>
      </w:divBdr>
    </w:div>
    <w:div w:id="1066950603">
      <w:bodyDiv w:val="1"/>
      <w:marLeft w:val="0"/>
      <w:marRight w:val="0"/>
      <w:marTop w:val="0"/>
      <w:marBottom w:val="0"/>
      <w:divBdr>
        <w:top w:val="none" w:sz="0" w:space="0" w:color="auto"/>
        <w:left w:val="none" w:sz="0" w:space="0" w:color="auto"/>
        <w:bottom w:val="none" w:sz="0" w:space="0" w:color="auto"/>
        <w:right w:val="none" w:sz="0" w:space="0" w:color="auto"/>
      </w:divBdr>
    </w:div>
    <w:div w:id="1067385187">
      <w:bodyDiv w:val="1"/>
      <w:marLeft w:val="0"/>
      <w:marRight w:val="0"/>
      <w:marTop w:val="0"/>
      <w:marBottom w:val="0"/>
      <w:divBdr>
        <w:top w:val="none" w:sz="0" w:space="0" w:color="auto"/>
        <w:left w:val="none" w:sz="0" w:space="0" w:color="auto"/>
        <w:bottom w:val="none" w:sz="0" w:space="0" w:color="auto"/>
        <w:right w:val="none" w:sz="0" w:space="0" w:color="auto"/>
      </w:divBdr>
    </w:div>
    <w:div w:id="1067537304">
      <w:bodyDiv w:val="1"/>
      <w:marLeft w:val="0"/>
      <w:marRight w:val="0"/>
      <w:marTop w:val="0"/>
      <w:marBottom w:val="0"/>
      <w:divBdr>
        <w:top w:val="none" w:sz="0" w:space="0" w:color="auto"/>
        <w:left w:val="none" w:sz="0" w:space="0" w:color="auto"/>
        <w:bottom w:val="none" w:sz="0" w:space="0" w:color="auto"/>
        <w:right w:val="none" w:sz="0" w:space="0" w:color="auto"/>
      </w:divBdr>
    </w:div>
    <w:div w:id="1068697262">
      <w:bodyDiv w:val="1"/>
      <w:marLeft w:val="0"/>
      <w:marRight w:val="0"/>
      <w:marTop w:val="0"/>
      <w:marBottom w:val="0"/>
      <w:divBdr>
        <w:top w:val="none" w:sz="0" w:space="0" w:color="auto"/>
        <w:left w:val="none" w:sz="0" w:space="0" w:color="auto"/>
        <w:bottom w:val="none" w:sz="0" w:space="0" w:color="auto"/>
        <w:right w:val="none" w:sz="0" w:space="0" w:color="auto"/>
      </w:divBdr>
    </w:div>
    <w:div w:id="1068728082">
      <w:bodyDiv w:val="1"/>
      <w:marLeft w:val="0"/>
      <w:marRight w:val="0"/>
      <w:marTop w:val="0"/>
      <w:marBottom w:val="0"/>
      <w:divBdr>
        <w:top w:val="none" w:sz="0" w:space="0" w:color="auto"/>
        <w:left w:val="none" w:sz="0" w:space="0" w:color="auto"/>
        <w:bottom w:val="none" w:sz="0" w:space="0" w:color="auto"/>
        <w:right w:val="none" w:sz="0" w:space="0" w:color="auto"/>
      </w:divBdr>
    </w:div>
    <w:div w:id="1069426408">
      <w:bodyDiv w:val="1"/>
      <w:marLeft w:val="0"/>
      <w:marRight w:val="0"/>
      <w:marTop w:val="0"/>
      <w:marBottom w:val="0"/>
      <w:divBdr>
        <w:top w:val="none" w:sz="0" w:space="0" w:color="auto"/>
        <w:left w:val="none" w:sz="0" w:space="0" w:color="auto"/>
        <w:bottom w:val="none" w:sz="0" w:space="0" w:color="auto"/>
        <w:right w:val="none" w:sz="0" w:space="0" w:color="auto"/>
      </w:divBdr>
    </w:div>
    <w:div w:id="1071149684">
      <w:bodyDiv w:val="1"/>
      <w:marLeft w:val="0"/>
      <w:marRight w:val="0"/>
      <w:marTop w:val="0"/>
      <w:marBottom w:val="0"/>
      <w:divBdr>
        <w:top w:val="none" w:sz="0" w:space="0" w:color="auto"/>
        <w:left w:val="none" w:sz="0" w:space="0" w:color="auto"/>
        <w:bottom w:val="none" w:sz="0" w:space="0" w:color="auto"/>
        <w:right w:val="none" w:sz="0" w:space="0" w:color="auto"/>
      </w:divBdr>
    </w:div>
    <w:div w:id="1073088199">
      <w:bodyDiv w:val="1"/>
      <w:marLeft w:val="0"/>
      <w:marRight w:val="0"/>
      <w:marTop w:val="0"/>
      <w:marBottom w:val="0"/>
      <w:divBdr>
        <w:top w:val="none" w:sz="0" w:space="0" w:color="auto"/>
        <w:left w:val="none" w:sz="0" w:space="0" w:color="auto"/>
        <w:bottom w:val="none" w:sz="0" w:space="0" w:color="auto"/>
        <w:right w:val="none" w:sz="0" w:space="0" w:color="auto"/>
      </w:divBdr>
    </w:div>
    <w:div w:id="1073621255">
      <w:bodyDiv w:val="1"/>
      <w:marLeft w:val="0"/>
      <w:marRight w:val="0"/>
      <w:marTop w:val="0"/>
      <w:marBottom w:val="0"/>
      <w:divBdr>
        <w:top w:val="none" w:sz="0" w:space="0" w:color="auto"/>
        <w:left w:val="none" w:sz="0" w:space="0" w:color="auto"/>
        <w:bottom w:val="none" w:sz="0" w:space="0" w:color="auto"/>
        <w:right w:val="none" w:sz="0" w:space="0" w:color="auto"/>
      </w:divBdr>
    </w:div>
    <w:div w:id="1073624735">
      <w:bodyDiv w:val="1"/>
      <w:marLeft w:val="0"/>
      <w:marRight w:val="0"/>
      <w:marTop w:val="0"/>
      <w:marBottom w:val="0"/>
      <w:divBdr>
        <w:top w:val="none" w:sz="0" w:space="0" w:color="auto"/>
        <w:left w:val="none" w:sz="0" w:space="0" w:color="auto"/>
        <w:bottom w:val="none" w:sz="0" w:space="0" w:color="auto"/>
        <w:right w:val="none" w:sz="0" w:space="0" w:color="auto"/>
      </w:divBdr>
    </w:div>
    <w:div w:id="1073940371">
      <w:bodyDiv w:val="1"/>
      <w:marLeft w:val="0"/>
      <w:marRight w:val="0"/>
      <w:marTop w:val="0"/>
      <w:marBottom w:val="0"/>
      <w:divBdr>
        <w:top w:val="none" w:sz="0" w:space="0" w:color="auto"/>
        <w:left w:val="none" w:sz="0" w:space="0" w:color="auto"/>
        <w:bottom w:val="none" w:sz="0" w:space="0" w:color="auto"/>
        <w:right w:val="none" w:sz="0" w:space="0" w:color="auto"/>
      </w:divBdr>
    </w:div>
    <w:div w:id="1074084786">
      <w:bodyDiv w:val="1"/>
      <w:marLeft w:val="0"/>
      <w:marRight w:val="0"/>
      <w:marTop w:val="0"/>
      <w:marBottom w:val="0"/>
      <w:divBdr>
        <w:top w:val="none" w:sz="0" w:space="0" w:color="auto"/>
        <w:left w:val="none" w:sz="0" w:space="0" w:color="auto"/>
        <w:bottom w:val="none" w:sz="0" w:space="0" w:color="auto"/>
        <w:right w:val="none" w:sz="0" w:space="0" w:color="auto"/>
      </w:divBdr>
    </w:div>
    <w:div w:id="1074278622">
      <w:bodyDiv w:val="1"/>
      <w:marLeft w:val="0"/>
      <w:marRight w:val="0"/>
      <w:marTop w:val="0"/>
      <w:marBottom w:val="0"/>
      <w:divBdr>
        <w:top w:val="none" w:sz="0" w:space="0" w:color="auto"/>
        <w:left w:val="none" w:sz="0" w:space="0" w:color="auto"/>
        <w:bottom w:val="none" w:sz="0" w:space="0" w:color="auto"/>
        <w:right w:val="none" w:sz="0" w:space="0" w:color="auto"/>
      </w:divBdr>
    </w:div>
    <w:div w:id="1075594804">
      <w:bodyDiv w:val="1"/>
      <w:marLeft w:val="0"/>
      <w:marRight w:val="0"/>
      <w:marTop w:val="0"/>
      <w:marBottom w:val="0"/>
      <w:divBdr>
        <w:top w:val="none" w:sz="0" w:space="0" w:color="auto"/>
        <w:left w:val="none" w:sz="0" w:space="0" w:color="auto"/>
        <w:bottom w:val="none" w:sz="0" w:space="0" w:color="auto"/>
        <w:right w:val="none" w:sz="0" w:space="0" w:color="auto"/>
      </w:divBdr>
    </w:div>
    <w:div w:id="1076317989">
      <w:bodyDiv w:val="1"/>
      <w:marLeft w:val="0"/>
      <w:marRight w:val="0"/>
      <w:marTop w:val="0"/>
      <w:marBottom w:val="0"/>
      <w:divBdr>
        <w:top w:val="none" w:sz="0" w:space="0" w:color="auto"/>
        <w:left w:val="none" w:sz="0" w:space="0" w:color="auto"/>
        <w:bottom w:val="none" w:sz="0" w:space="0" w:color="auto"/>
        <w:right w:val="none" w:sz="0" w:space="0" w:color="auto"/>
      </w:divBdr>
    </w:div>
    <w:div w:id="1076782909">
      <w:bodyDiv w:val="1"/>
      <w:marLeft w:val="0"/>
      <w:marRight w:val="0"/>
      <w:marTop w:val="0"/>
      <w:marBottom w:val="0"/>
      <w:divBdr>
        <w:top w:val="none" w:sz="0" w:space="0" w:color="auto"/>
        <w:left w:val="none" w:sz="0" w:space="0" w:color="auto"/>
        <w:bottom w:val="none" w:sz="0" w:space="0" w:color="auto"/>
        <w:right w:val="none" w:sz="0" w:space="0" w:color="auto"/>
      </w:divBdr>
    </w:div>
    <w:div w:id="1076853960">
      <w:bodyDiv w:val="1"/>
      <w:marLeft w:val="0"/>
      <w:marRight w:val="0"/>
      <w:marTop w:val="0"/>
      <w:marBottom w:val="0"/>
      <w:divBdr>
        <w:top w:val="none" w:sz="0" w:space="0" w:color="auto"/>
        <w:left w:val="none" w:sz="0" w:space="0" w:color="auto"/>
        <w:bottom w:val="none" w:sz="0" w:space="0" w:color="auto"/>
        <w:right w:val="none" w:sz="0" w:space="0" w:color="auto"/>
      </w:divBdr>
    </w:div>
    <w:div w:id="1076897851">
      <w:bodyDiv w:val="1"/>
      <w:marLeft w:val="0"/>
      <w:marRight w:val="0"/>
      <w:marTop w:val="0"/>
      <w:marBottom w:val="0"/>
      <w:divBdr>
        <w:top w:val="none" w:sz="0" w:space="0" w:color="auto"/>
        <w:left w:val="none" w:sz="0" w:space="0" w:color="auto"/>
        <w:bottom w:val="none" w:sz="0" w:space="0" w:color="auto"/>
        <w:right w:val="none" w:sz="0" w:space="0" w:color="auto"/>
      </w:divBdr>
    </w:div>
    <w:div w:id="1077556593">
      <w:bodyDiv w:val="1"/>
      <w:marLeft w:val="0"/>
      <w:marRight w:val="0"/>
      <w:marTop w:val="0"/>
      <w:marBottom w:val="0"/>
      <w:divBdr>
        <w:top w:val="none" w:sz="0" w:space="0" w:color="auto"/>
        <w:left w:val="none" w:sz="0" w:space="0" w:color="auto"/>
        <w:bottom w:val="none" w:sz="0" w:space="0" w:color="auto"/>
        <w:right w:val="none" w:sz="0" w:space="0" w:color="auto"/>
      </w:divBdr>
    </w:div>
    <w:div w:id="1077946041">
      <w:bodyDiv w:val="1"/>
      <w:marLeft w:val="0"/>
      <w:marRight w:val="0"/>
      <w:marTop w:val="0"/>
      <w:marBottom w:val="0"/>
      <w:divBdr>
        <w:top w:val="none" w:sz="0" w:space="0" w:color="auto"/>
        <w:left w:val="none" w:sz="0" w:space="0" w:color="auto"/>
        <w:bottom w:val="none" w:sz="0" w:space="0" w:color="auto"/>
        <w:right w:val="none" w:sz="0" w:space="0" w:color="auto"/>
      </w:divBdr>
    </w:div>
    <w:div w:id="1078329518">
      <w:bodyDiv w:val="1"/>
      <w:marLeft w:val="0"/>
      <w:marRight w:val="0"/>
      <w:marTop w:val="0"/>
      <w:marBottom w:val="0"/>
      <w:divBdr>
        <w:top w:val="none" w:sz="0" w:space="0" w:color="auto"/>
        <w:left w:val="none" w:sz="0" w:space="0" w:color="auto"/>
        <w:bottom w:val="none" w:sz="0" w:space="0" w:color="auto"/>
        <w:right w:val="none" w:sz="0" w:space="0" w:color="auto"/>
      </w:divBdr>
    </w:div>
    <w:div w:id="1079475144">
      <w:bodyDiv w:val="1"/>
      <w:marLeft w:val="0"/>
      <w:marRight w:val="0"/>
      <w:marTop w:val="0"/>
      <w:marBottom w:val="0"/>
      <w:divBdr>
        <w:top w:val="none" w:sz="0" w:space="0" w:color="auto"/>
        <w:left w:val="none" w:sz="0" w:space="0" w:color="auto"/>
        <w:bottom w:val="none" w:sz="0" w:space="0" w:color="auto"/>
        <w:right w:val="none" w:sz="0" w:space="0" w:color="auto"/>
      </w:divBdr>
    </w:div>
    <w:div w:id="1080522594">
      <w:bodyDiv w:val="1"/>
      <w:marLeft w:val="0"/>
      <w:marRight w:val="0"/>
      <w:marTop w:val="0"/>
      <w:marBottom w:val="0"/>
      <w:divBdr>
        <w:top w:val="none" w:sz="0" w:space="0" w:color="auto"/>
        <w:left w:val="none" w:sz="0" w:space="0" w:color="auto"/>
        <w:bottom w:val="none" w:sz="0" w:space="0" w:color="auto"/>
        <w:right w:val="none" w:sz="0" w:space="0" w:color="auto"/>
      </w:divBdr>
    </w:div>
    <w:div w:id="1080562733">
      <w:bodyDiv w:val="1"/>
      <w:marLeft w:val="0"/>
      <w:marRight w:val="0"/>
      <w:marTop w:val="0"/>
      <w:marBottom w:val="0"/>
      <w:divBdr>
        <w:top w:val="none" w:sz="0" w:space="0" w:color="auto"/>
        <w:left w:val="none" w:sz="0" w:space="0" w:color="auto"/>
        <w:bottom w:val="none" w:sz="0" w:space="0" w:color="auto"/>
        <w:right w:val="none" w:sz="0" w:space="0" w:color="auto"/>
      </w:divBdr>
    </w:div>
    <w:div w:id="1081098982">
      <w:bodyDiv w:val="1"/>
      <w:marLeft w:val="0"/>
      <w:marRight w:val="0"/>
      <w:marTop w:val="0"/>
      <w:marBottom w:val="0"/>
      <w:divBdr>
        <w:top w:val="none" w:sz="0" w:space="0" w:color="auto"/>
        <w:left w:val="none" w:sz="0" w:space="0" w:color="auto"/>
        <w:bottom w:val="none" w:sz="0" w:space="0" w:color="auto"/>
        <w:right w:val="none" w:sz="0" w:space="0" w:color="auto"/>
      </w:divBdr>
    </w:div>
    <w:div w:id="1081220036">
      <w:bodyDiv w:val="1"/>
      <w:marLeft w:val="0"/>
      <w:marRight w:val="0"/>
      <w:marTop w:val="0"/>
      <w:marBottom w:val="0"/>
      <w:divBdr>
        <w:top w:val="none" w:sz="0" w:space="0" w:color="auto"/>
        <w:left w:val="none" w:sz="0" w:space="0" w:color="auto"/>
        <w:bottom w:val="none" w:sz="0" w:space="0" w:color="auto"/>
        <w:right w:val="none" w:sz="0" w:space="0" w:color="auto"/>
      </w:divBdr>
    </w:div>
    <w:div w:id="1081486852">
      <w:bodyDiv w:val="1"/>
      <w:marLeft w:val="0"/>
      <w:marRight w:val="0"/>
      <w:marTop w:val="0"/>
      <w:marBottom w:val="0"/>
      <w:divBdr>
        <w:top w:val="none" w:sz="0" w:space="0" w:color="auto"/>
        <w:left w:val="none" w:sz="0" w:space="0" w:color="auto"/>
        <w:bottom w:val="none" w:sz="0" w:space="0" w:color="auto"/>
        <w:right w:val="none" w:sz="0" w:space="0" w:color="auto"/>
      </w:divBdr>
    </w:div>
    <w:div w:id="1081559763">
      <w:bodyDiv w:val="1"/>
      <w:marLeft w:val="0"/>
      <w:marRight w:val="0"/>
      <w:marTop w:val="0"/>
      <w:marBottom w:val="0"/>
      <w:divBdr>
        <w:top w:val="none" w:sz="0" w:space="0" w:color="auto"/>
        <w:left w:val="none" w:sz="0" w:space="0" w:color="auto"/>
        <w:bottom w:val="none" w:sz="0" w:space="0" w:color="auto"/>
        <w:right w:val="none" w:sz="0" w:space="0" w:color="auto"/>
      </w:divBdr>
    </w:div>
    <w:div w:id="1082607580">
      <w:bodyDiv w:val="1"/>
      <w:marLeft w:val="0"/>
      <w:marRight w:val="0"/>
      <w:marTop w:val="0"/>
      <w:marBottom w:val="0"/>
      <w:divBdr>
        <w:top w:val="none" w:sz="0" w:space="0" w:color="auto"/>
        <w:left w:val="none" w:sz="0" w:space="0" w:color="auto"/>
        <w:bottom w:val="none" w:sz="0" w:space="0" w:color="auto"/>
        <w:right w:val="none" w:sz="0" w:space="0" w:color="auto"/>
      </w:divBdr>
    </w:div>
    <w:div w:id="1082947567">
      <w:bodyDiv w:val="1"/>
      <w:marLeft w:val="0"/>
      <w:marRight w:val="0"/>
      <w:marTop w:val="0"/>
      <w:marBottom w:val="0"/>
      <w:divBdr>
        <w:top w:val="none" w:sz="0" w:space="0" w:color="auto"/>
        <w:left w:val="none" w:sz="0" w:space="0" w:color="auto"/>
        <w:bottom w:val="none" w:sz="0" w:space="0" w:color="auto"/>
        <w:right w:val="none" w:sz="0" w:space="0" w:color="auto"/>
      </w:divBdr>
    </w:div>
    <w:div w:id="1082986650">
      <w:bodyDiv w:val="1"/>
      <w:marLeft w:val="0"/>
      <w:marRight w:val="0"/>
      <w:marTop w:val="0"/>
      <w:marBottom w:val="0"/>
      <w:divBdr>
        <w:top w:val="none" w:sz="0" w:space="0" w:color="auto"/>
        <w:left w:val="none" w:sz="0" w:space="0" w:color="auto"/>
        <w:bottom w:val="none" w:sz="0" w:space="0" w:color="auto"/>
        <w:right w:val="none" w:sz="0" w:space="0" w:color="auto"/>
      </w:divBdr>
    </w:div>
    <w:div w:id="1084377077">
      <w:bodyDiv w:val="1"/>
      <w:marLeft w:val="0"/>
      <w:marRight w:val="0"/>
      <w:marTop w:val="0"/>
      <w:marBottom w:val="0"/>
      <w:divBdr>
        <w:top w:val="none" w:sz="0" w:space="0" w:color="auto"/>
        <w:left w:val="none" w:sz="0" w:space="0" w:color="auto"/>
        <w:bottom w:val="none" w:sz="0" w:space="0" w:color="auto"/>
        <w:right w:val="none" w:sz="0" w:space="0" w:color="auto"/>
      </w:divBdr>
    </w:div>
    <w:div w:id="1084494774">
      <w:bodyDiv w:val="1"/>
      <w:marLeft w:val="0"/>
      <w:marRight w:val="0"/>
      <w:marTop w:val="0"/>
      <w:marBottom w:val="0"/>
      <w:divBdr>
        <w:top w:val="none" w:sz="0" w:space="0" w:color="auto"/>
        <w:left w:val="none" w:sz="0" w:space="0" w:color="auto"/>
        <w:bottom w:val="none" w:sz="0" w:space="0" w:color="auto"/>
        <w:right w:val="none" w:sz="0" w:space="0" w:color="auto"/>
      </w:divBdr>
    </w:div>
    <w:div w:id="1084498688">
      <w:bodyDiv w:val="1"/>
      <w:marLeft w:val="0"/>
      <w:marRight w:val="0"/>
      <w:marTop w:val="0"/>
      <w:marBottom w:val="0"/>
      <w:divBdr>
        <w:top w:val="none" w:sz="0" w:space="0" w:color="auto"/>
        <w:left w:val="none" w:sz="0" w:space="0" w:color="auto"/>
        <w:bottom w:val="none" w:sz="0" w:space="0" w:color="auto"/>
        <w:right w:val="none" w:sz="0" w:space="0" w:color="auto"/>
      </w:divBdr>
    </w:div>
    <w:div w:id="1085228964">
      <w:bodyDiv w:val="1"/>
      <w:marLeft w:val="0"/>
      <w:marRight w:val="0"/>
      <w:marTop w:val="0"/>
      <w:marBottom w:val="0"/>
      <w:divBdr>
        <w:top w:val="none" w:sz="0" w:space="0" w:color="auto"/>
        <w:left w:val="none" w:sz="0" w:space="0" w:color="auto"/>
        <w:bottom w:val="none" w:sz="0" w:space="0" w:color="auto"/>
        <w:right w:val="none" w:sz="0" w:space="0" w:color="auto"/>
      </w:divBdr>
    </w:div>
    <w:div w:id="1085806279">
      <w:bodyDiv w:val="1"/>
      <w:marLeft w:val="0"/>
      <w:marRight w:val="0"/>
      <w:marTop w:val="0"/>
      <w:marBottom w:val="0"/>
      <w:divBdr>
        <w:top w:val="none" w:sz="0" w:space="0" w:color="auto"/>
        <w:left w:val="none" w:sz="0" w:space="0" w:color="auto"/>
        <w:bottom w:val="none" w:sz="0" w:space="0" w:color="auto"/>
        <w:right w:val="none" w:sz="0" w:space="0" w:color="auto"/>
      </w:divBdr>
    </w:div>
    <w:div w:id="1087577013">
      <w:bodyDiv w:val="1"/>
      <w:marLeft w:val="0"/>
      <w:marRight w:val="0"/>
      <w:marTop w:val="0"/>
      <w:marBottom w:val="0"/>
      <w:divBdr>
        <w:top w:val="none" w:sz="0" w:space="0" w:color="auto"/>
        <w:left w:val="none" w:sz="0" w:space="0" w:color="auto"/>
        <w:bottom w:val="none" w:sz="0" w:space="0" w:color="auto"/>
        <w:right w:val="none" w:sz="0" w:space="0" w:color="auto"/>
      </w:divBdr>
    </w:div>
    <w:div w:id="1087653665">
      <w:bodyDiv w:val="1"/>
      <w:marLeft w:val="0"/>
      <w:marRight w:val="0"/>
      <w:marTop w:val="0"/>
      <w:marBottom w:val="0"/>
      <w:divBdr>
        <w:top w:val="none" w:sz="0" w:space="0" w:color="auto"/>
        <w:left w:val="none" w:sz="0" w:space="0" w:color="auto"/>
        <w:bottom w:val="none" w:sz="0" w:space="0" w:color="auto"/>
        <w:right w:val="none" w:sz="0" w:space="0" w:color="auto"/>
      </w:divBdr>
    </w:div>
    <w:div w:id="1088699991">
      <w:bodyDiv w:val="1"/>
      <w:marLeft w:val="0"/>
      <w:marRight w:val="0"/>
      <w:marTop w:val="0"/>
      <w:marBottom w:val="0"/>
      <w:divBdr>
        <w:top w:val="none" w:sz="0" w:space="0" w:color="auto"/>
        <w:left w:val="none" w:sz="0" w:space="0" w:color="auto"/>
        <w:bottom w:val="none" w:sz="0" w:space="0" w:color="auto"/>
        <w:right w:val="none" w:sz="0" w:space="0" w:color="auto"/>
      </w:divBdr>
    </w:div>
    <w:div w:id="1088845856">
      <w:bodyDiv w:val="1"/>
      <w:marLeft w:val="0"/>
      <w:marRight w:val="0"/>
      <w:marTop w:val="0"/>
      <w:marBottom w:val="0"/>
      <w:divBdr>
        <w:top w:val="none" w:sz="0" w:space="0" w:color="auto"/>
        <w:left w:val="none" w:sz="0" w:space="0" w:color="auto"/>
        <w:bottom w:val="none" w:sz="0" w:space="0" w:color="auto"/>
        <w:right w:val="none" w:sz="0" w:space="0" w:color="auto"/>
      </w:divBdr>
    </w:div>
    <w:div w:id="1090615392">
      <w:bodyDiv w:val="1"/>
      <w:marLeft w:val="0"/>
      <w:marRight w:val="0"/>
      <w:marTop w:val="0"/>
      <w:marBottom w:val="0"/>
      <w:divBdr>
        <w:top w:val="none" w:sz="0" w:space="0" w:color="auto"/>
        <w:left w:val="none" w:sz="0" w:space="0" w:color="auto"/>
        <w:bottom w:val="none" w:sz="0" w:space="0" w:color="auto"/>
        <w:right w:val="none" w:sz="0" w:space="0" w:color="auto"/>
      </w:divBdr>
    </w:div>
    <w:div w:id="1090656738">
      <w:bodyDiv w:val="1"/>
      <w:marLeft w:val="0"/>
      <w:marRight w:val="0"/>
      <w:marTop w:val="0"/>
      <w:marBottom w:val="0"/>
      <w:divBdr>
        <w:top w:val="none" w:sz="0" w:space="0" w:color="auto"/>
        <w:left w:val="none" w:sz="0" w:space="0" w:color="auto"/>
        <w:bottom w:val="none" w:sz="0" w:space="0" w:color="auto"/>
        <w:right w:val="none" w:sz="0" w:space="0" w:color="auto"/>
      </w:divBdr>
    </w:div>
    <w:div w:id="1091124208">
      <w:bodyDiv w:val="1"/>
      <w:marLeft w:val="0"/>
      <w:marRight w:val="0"/>
      <w:marTop w:val="0"/>
      <w:marBottom w:val="0"/>
      <w:divBdr>
        <w:top w:val="none" w:sz="0" w:space="0" w:color="auto"/>
        <w:left w:val="none" w:sz="0" w:space="0" w:color="auto"/>
        <w:bottom w:val="none" w:sz="0" w:space="0" w:color="auto"/>
        <w:right w:val="none" w:sz="0" w:space="0" w:color="auto"/>
      </w:divBdr>
    </w:div>
    <w:div w:id="1091125204">
      <w:bodyDiv w:val="1"/>
      <w:marLeft w:val="0"/>
      <w:marRight w:val="0"/>
      <w:marTop w:val="0"/>
      <w:marBottom w:val="0"/>
      <w:divBdr>
        <w:top w:val="none" w:sz="0" w:space="0" w:color="auto"/>
        <w:left w:val="none" w:sz="0" w:space="0" w:color="auto"/>
        <w:bottom w:val="none" w:sz="0" w:space="0" w:color="auto"/>
        <w:right w:val="none" w:sz="0" w:space="0" w:color="auto"/>
      </w:divBdr>
    </w:div>
    <w:div w:id="1092051928">
      <w:bodyDiv w:val="1"/>
      <w:marLeft w:val="0"/>
      <w:marRight w:val="0"/>
      <w:marTop w:val="0"/>
      <w:marBottom w:val="0"/>
      <w:divBdr>
        <w:top w:val="none" w:sz="0" w:space="0" w:color="auto"/>
        <w:left w:val="none" w:sz="0" w:space="0" w:color="auto"/>
        <w:bottom w:val="none" w:sz="0" w:space="0" w:color="auto"/>
        <w:right w:val="none" w:sz="0" w:space="0" w:color="auto"/>
      </w:divBdr>
    </w:div>
    <w:div w:id="1092511178">
      <w:bodyDiv w:val="1"/>
      <w:marLeft w:val="0"/>
      <w:marRight w:val="0"/>
      <w:marTop w:val="0"/>
      <w:marBottom w:val="0"/>
      <w:divBdr>
        <w:top w:val="none" w:sz="0" w:space="0" w:color="auto"/>
        <w:left w:val="none" w:sz="0" w:space="0" w:color="auto"/>
        <w:bottom w:val="none" w:sz="0" w:space="0" w:color="auto"/>
        <w:right w:val="none" w:sz="0" w:space="0" w:color="auto"/>
      </w:divBdr>
    </w:div>
    <w:div w:id="1092512082">
      <w:bodyDiv w:val="1"/>
      <w:marLeft w:val="0"/>
      <w:marRight w:val="0"/>
      <w:marTop w:val="0"/>
      <w:marBottom w:val="0"/>
      <w:divBdr>
        <w:top w:val="none" w:sz="0" w:space="0" w:color="auto"/>
        <w:left w:val="none" w:sz="0" w:space="0" w:color="auto"/>
        <w:bottom w:val="none" w:sz="0" w:space="0" w:color="auto"/>
        <w:right w:val="none" w:sz="0" w:space="0" w:color="auto"/>
      </w:divBdr>
    </w:div>
    <w:div w:id="1094865957">
      <w:bodyDiv w:val="1"/>
      <w:marLeft w:val="0"/>
      <w:marRight w:val="0"/>
      <w:marTop w:val="0"/>
      <w:marBottom w:val="0"/>
      <w:divBdr>
        <w:top w:val="none" w:sz="0" w:space="0" w:color="auto"/>
        <w:left w:val="none" w:sz="0" w:space="0" w:color="auto"/>
        <w:bottom w:val="none" w:sz="0" w:space="0" w:color="auto"/>
        <w:right w:val="none" w:sz="0" w:space="0" w:color="auto"/>
      </w:divBdr>
    </w:div>
    <w:div w:id="1096052817">
      <w:bodyDiv w:val="1"/>
      <w:marLeft w:val="0"/>
      <w:marRight w:val="0"/>
      <w:marTop w:val="0"/>
      <w:marBottom w:val="0"/>
      <w:divBdr>
        <w:top w:val="none" w:sz="0" w:space="0" w:color="auto"/>
        <w:left w:val="none" w:sz="0" w:space="0" w:color="auto"/>
        <w:bottom w:val="none" w:sz="0" w:space="0" w:color="auto"/>
        <w:right w:val="none" w:sz="0" w:space="0" w:color="auto"/>
      </w:divBdr>
    </w:div>
    <w:div w:id="1096948317">
      <w:bodyDiv w:val="1"/>
      <w:marLeft w:val="0"/>
      <w:marRight w:val="0"/>
      <w:marTop w:val="0"/>
      <w:marBottom w:val="0"/>
      <w:divBdr>
        <w:top w:val="none" w:sz="0" w:space="0" w:color="auto"/>
        <w:left w:val="none" w:sz="0" w:space="0" w:color="auto"/>
        <w:bottom w:val="none" w:sz="0" w:space="0" w:color="auto"/>
        <w:right w:val="none" w:sz="0" w:space="0" w:color="auto"/>
      </w:divBdr>
    </w:div>
    <w:div w:id="1097217079">
      <w:bodyDiv w:val="1"/>
      <w:marLeft w:val="0"/>
      <w:marRight w:val="0"/>
      <w:marTop w:val="0"/>
      <w:marBottom w:val="0"/>
      <w:divBdr>
        <w:top w:val="none" w:sz="0" w:space="0" w:color="auto"/>
        <w:left w:val="none" w:sz="0" w:space="0" w:color="auto"/>
        <w:bottom w:val="none" w:sz="0" w:space="0" w:color="auto"/>
        <w:right w:val="none" w:sz="0" w:space="0" w:color="auto"/>
      </w:divBdr>
    </w:div>
    <w:div w:id="1097481037">
      <w:bodyDiv w:val="1"/>
      <w:marLeft w:val="0"/>
      <w:marRight w:val="0"/>
      <w:marTop w:val="0"/>
      <w:marBottom w:val="0"/>
      <w:divBdr>
        <w:top w:val="none" w:sz="0" w:space="0" w:color="auto"/>
        <w:left w:val="none" w:sz="0" w:space="0" w:color="auto"/>
        <w:bottom w:val="none" w:sz="0" w:space="0" w:color="auto"/>
        <w:right w:val="none" w:sz="0" w:space="0" w:color="auto"/>
      </w:divBdr>
    </w:div>
    <w:div w:id="1098405548">
      <w:bodyDiv w:val="1"/>
      <w:marLeft w:val="0"/>
      <w:marRight w:val="0"/>
      <w:marTop w:val="0"/>
      <w:marBottom w:val="0"/>
      <w:divBdr>
        <w:top w:val="none" w:sz="0" w:space="0" w:color="auto"/>
        <w:left w:val="none" w:sz="0" w:space="0" w:color="auto"/>
        <w:bottom w:val="none" w:sz="0" w:space="0" w:color="auto"/>
        <w:right w:val="none" w:sz="0" w:space="0" w:color="auto"/>
      </w:divBdr>
    </w:div>
    <w:div w:id="1098913421">
      <w:bodyDiv w:val="1"/>
      <w:marLeft w:val="0"/>
      <w:marRight w:val="0"/>
      <w:marTop w:val="0"/>
      <w:marBottom w:val="0"/>
      <w:divBdr>
        <w:top w:val="none" w:sz="0" w:space="0" w:color="auto"/>
        <w:left w:val="none" w:sz="0" w:space="0" w:color="auto"/>
        <w:bottom w:val="none" w:sz="0" w:space="0" w:color="auto"/>
        <w:right w:val="none" w:sz="0" w:space="0" w:color="auto"/>
      </w:divBdr>
    </w:div>
    <w:div w:id="1099331226">
      <w:bodyDiv w:val="1"/>
      <w:marLeft w:val="0"/>
      <w:marRight w:val="0"/>
      <w:marTop w:val="0"/>
      <w:marBottom w:val="0"/>
      <w:divBdr>
        <w:top w:val="none" w:sz="0" w:space="0" w:color="auto"/>
        <w:left w:val="none" w:sz="0" w:space="0" w:color="auto"/>
        <w:bottom w:val="none" w:sz="0" w:space="0" w:color="auto"/>
        <w:right w:val="none" w:sz="0" w:space="0" w:color="auto"/>
      </w:divBdr>
    </w:div>
    <w:div w:id="1099645536">
      <w:bodyDiv w:val="1"/>
      <w:marLeft w:val="0"/>
      <w:marRight w:val="0"/>
      <w:marTop w:val="0"/>
      <w:marBottom w:val="0"/>
      <w:divBdr>
        <w:top w:val="none" w:sz="0" w:space="0" w:color="auto"/>
        <w:left w:val="none" w:sz="0" w:space="0" w:color="auto"/>
        <w:bottom w:val="none" w:sz="0" w:space="0" w:color="auto"/>
        <w:right w:val="none" w:sz="0" w:space="0" w:color="auto"/>
      </w:divBdr>
    </w:div>
    <w:div w:id="1100293418">
      <w:bodyDiv w:val="1"/>
      <w:marLeft w:val="0"/>
      <w:marRight w:val="0"/>
      <w:marTop w:val="0"/>
      <w:marBottom w:val="0"/>
      <w:divBdr>
        <w:top w:val="none" w:sz="0" w:space="0" w:color="auto"/>
        <w:left w:val="none" w:sz="0" w:space="0" w:color="auto"/>
        <w:bottom w:val="none" w:sz="0" w:space="0" w:color="auto"/>
        <w:right w:val="none" w:sz="0" w:space="0" w:color="auto"/>
      </w:divBdr>
    </w:div>
    <w:div w:id="1101873407">
      <w:bodyDiv w:val="1"/>
      <w:marLeft w:val="0"/>
      <w:marRight w:val="0"/>
      <w:marTop w:val="0"/>
      <w:marBottom w:val="0"/>
      <w:divBdr>
        <w:top w:val="none" w:sz="0" w:space="0" w:color="auto"/>
        <w:left w:val="none" w:sz="0" w:space="0" w:color="auto"/>
        <w:bottom w:val="none" w:sz="0" w:space="0" w:color="auto"/>
        <w:right w:val="none" w:sz="0" w:space="0" w:color="auto"/>
      </w:divBdr>
    </w:div>
    <w:div w:id="1102335687">
      <w:bodyDiv w:val="1"/>
      <w:marLeft w:val="0"/>
      <w:marRight w:val="0"/>
      <w:marTop w:val="0"/>
      <w:marBottom w:val="0"/>
      <w:divBdr>
        <w:top w:val="none" w:sz="0" w:space="0" w:color="auto"/>
        <w:left w:val="none" w:sz="0" w:space="0" w:color="auto"/>
        <w:bottom w:val="none" w:sz="0" w:space="0" w:color="auto"/>
        <w:right w:val="none" w:sz="0" w:space="0" w:color="auto"/>
      </w:divBdr>
    </w:div>
    <w:div w:id="1103459828">
      <w:bodyDiv w:val="1"/>
      <w:marLeft w:val="0"/>
      <w:marRight w:val="0"/>
      <w:marTop w:val="0"/>
      <w:marBottom w:val="0"/>
      <w:divBdr>
        <w:top w:val="none" w:sz="0" w:space="0" w:color="auto"/>
        <w:left w:val="none" w:sz="0" w:space="0" w:color="auto"/>
        <w:bottom w:val="none" w:sz="0" w:space="0" w:color="auto"/>
        <w:right w:val="none" w:sz="0" w:space="0" w:color="auto"/>
      </w:divBdr>
    </w:div>
    <w:div w:id="1104183292">
      <w:bodyDiv w:val="1"/>
      <w:marLeft w:val="0"/>
      <w:marRight w:val="0"/>
      <w:marTop w:val="0"/>
      <w:marBottom w:val="0"/>
      <w:divBdr>
        <w:top w:val="none" w:sz="0" w:space="0" w:color="auto"/>
        <w:left w:val="none" w:sz="0" w:space="0" w:color="auto"/>
        <w:bottom w:val="none" w:sz="0" w:space="0" w:color="auto"/>
        <w:right w:val="none" w:sz="0" w:space="0" w:color="auto"/>
      </w:divBdr>
    </w:div>
    <w:div w:id="1104769863">
      <w:bodyDiv w:val="1"/>
      <w:marLeft w:val="0"/>
      <w:marRight w:val="0"/>
      <w:marTop w:val="0"/>
      <w:marBottom w:val="0"/>
      <w:divBdr>
        <w:top w:val="none" w:sz="0" w:space="0" w:color="auto"/>
        <w:left w:val="none" w:sz="0" w:space="0" w:color="auto"/>
        <w:bottom w:val="none" w:sz="0" w:space="0" w:color="auto"/>
        <w:right w:val="none" w:sz="0" w:space="0" w:color="auto"/>
      </w:divBdr>
    </w:div>
    <w:div w:id="1104955304">
      <w:bodyDiv w:val="1"/>
      <w:marLeft w:val="0"/>
      <w:marRight w:val="0"/>
      <w:marTop w:val="0"/>
      <w:marBottom w:val="0"/>
      <w:divBdr>
        <w:top w:val="none" w:sz="0" w:space="0" w:color="auto"/>
        <w:left w:val="none" w:sz="0" w:space="0" w:color="auto"/>
        <w:bottom w:val="none" w:sz="0" w:space="0" w:color="auto"/>
        <w:right w:val="none" w:sz="0" w:space="0" w:color="auto"/>
      </w:divBdr>
    </w:div>
    <w:div w:id="1106081292">
      <w:bodyDiv w:val="1"/>
      <w:marLeft w:val="0"/>
      <w:marRight w:val="0"/>
      <w:marTop w:val="0"/>
      <w:marBottom w:val="0"/>
      <w:divBdr>
        <w:top w:val="none" w:sz="0" w:space="0" w:color="auto"/>
        <w:left w:val="none" w:sz="0" w:space="0" w:color="auto"/>
        <w:bottom w:val="none" w:sz="0" w:space="0" w:color="auto"/>
        <w:right w:val="none" w:sz="0" w:space="0" w:color="auto"/>
      </w:divBdr>
    </w:div>
    <w:div w:id="1106659476">
      <w:bodyDiv w:val="1"/>
      <w:marLeft w:val="0"/>
      <w:marRight w:val="0"/>
      <w:marTop w:val="0"/>
      <w:marBottom w:val="0"/>
      <w:divBdr>
        <w:top w:val="none" w:sz="0" w:space="0" w:color="auto"/>
        <w:left w:val="none" w:sz="0" w:space="0" w:color="auto"/>
        <w:bottom w:val="none" w:sz="0" w:space="0" w:color="auto"/>
        <w:right w:val="none" w:sz="0" w:space="0" w:color="auto"/>
      </w:divBdr>
    </w:div>
    <w:div w:id="1107308000">
      <w:bodyDiv w:val="1"/>
      <w:marLeft w:val="0"/>
      <w:marRight w:val="0"/>
      <w:marTop w:val="0"/>
      <w:marBottom w:val="0"/>
      <w:divBdr>
        <w:top w:val="none" w:sz="0" w:space="0" w:color="auto"/>
        <w:left w:val="none" w:sz="0" w:space="0" w:color="auto"/>
        <w:bottom w:val="none" w:sz="0" w:space="0" w:color="auto"/>
        <w:right w:val="none" w:sz="0" w:space="0" w:color="auto"/>
      </w:divBdr>
    </w:div>
    <w:div w:id="1108083006">
      <w:bodyDiv w:val="1"/>
      <w:marLeft w:val="0"/>
      <w:marRight w:val="0"/>
      <w:marTop w:val="0"/>
      <w:marBottom w:val="0"/>
      <w:divBdr>
        <w:top w:val="none" w:sz="0" w:space="0" w:color="auto"/>
        <w:left w:val="none" w:sz="0" w:space="0" w:color="auto"/>
        <w:bottom w:val="none" w:sz="0" w:space="0" w:color="auto"/>
        <w:right w:val="none" w:sz="0" w:space="0" w:color="auto"/>
      </w:divBdr>
    </w:div>
    <w:div w:id="1111315987">
      <w:bodyDiv w:val="1"/>
      <w:marLeft w:val="0"/>
      <w:marRight w:val="0"/>
      <w:marTop w:val="0"/>
      <w:marBottom w:val="0"/>
      <w:divBdr>
        <w:top w:val="none" w:sz="0" w:space="0" w:color="auto"/>
        <w:left w:val="none" w:sz="0" w:space="0" w:color="auto"/>
        <w:bottom w:val="none" w:sz="0" w:space="0" w:color="auto"/>
        <w:right w:val="none" w:sz="0" w:space="0" w:color="auto"/>
      </w:divBdr>
    </w:div>
    <w:div w:id="1111782550">
      <w:bodyDiv w:val="1"/>
      <w:marLeft w:val="0"/>
      <w:marRight w:val="0"/>
      <w:marTop w:val="0"/>
      <w:marBottom w:val="0"/>
      <w:divBdr>
        <w:top w:val="none" w:sz="0" w:space="0" w:color="auto"/>
        <w:left w:val="none" w:sz="0" w:space="0" w:color="auto"/>
        <w:bottom w:val="none" w:sz="0" w:space="0" w:color="auto"/>
        <w:right w:val="none" w:sz="0" w:space="0" w:color="auto"/>
      </w:divBdr>
    </w:div>
    <w:div w:id="1112355647">
      <w:bodyDiv w:val="1"/>
      <w:marLeft w:val="0"/>
      <w:marRight w:val="0"/>
      <w:marTop w:val="0"/>
      <w:marBottom w:val="0"/>
      <w:divBdr>
        <w:top w:val="none" w:sz="0" w:space="0" w:color="auto"/>
        <w:left w:val="none" w:sz="0" w:space="0" w:color="auto"/>
        <w:bottom w:val="none" w:sz="0" w:space="0" w:color="auto"/>
        <w:right w:val="none" w:sz="0" w:space="0" w:color="auto"/>
      </w:divBdr>
    </w:div>
    <w:div w:id="1113477791">
      <w:bodyDiv w:val="1"/>
      <w:marLeft w:val="0"/>
      <w:marRight w:val="0"/>
      <w:marTop w:val="0"/>
      <w:marBottom w:val="0"/>
      <w:divBdr>
        <w:top w:val="none" w:sz="0" w:space="0" w:color="auto"/>
        <w:left w:val="none" w:sz="0" w:space="0" w:color="auto"/>
        <w:bottom w:val="none" w:sz="0" w:space="0" w:color="auto"/>
        <w:right w:val="none" w:sz="0" w:space="0" w:color="auto"/>
      </w:divBdr>
    </w:div>
    <w:div w:id="1117336638">
      <w:bodyDiv w:val="1"/>
      <w:marLeft w:val="0"/>
      <w:marRight w:val="0"/>
      <w:marTop w:val="0"/>
      <w:marBottom w:val="0"/>
      <w:divBdr>
        <w:top w:val="none" w:sz="0" w:space="0" w:color="auto"/>
        <w:left w:val="none" w:sz="0" w:space="0" w:color="auto"/>
        <w:bottom w:val="none" w:sz="0" w:space="0" w:color="auto"/>
        <w:right w:val="none" w:sz="0" w:space="0" w:color="auto"/>
      </w:divBdr>
    </w:div>
    <w:div w:id="1117674678">
      <w:bodyDiv w:val="1"/>
      <w:marLeft w:val="0"/>
      <w:marRight w:val="0"/>
      <w:marTop w:val="0"/>
      <w:marBottom w:val="0"/>
      <w:divBdr>
        <w:top w:val="none" w:sz="0" w:space="0" w:color="auto"/>
        <w:left w:val="none" w:sz="0" w:space="0" w:color="auto"/>
        <w:bottom w:val="none" w:sz="0" w:space="0" w:color="auto"/>
        <w:right w:val="none" w:sz="0" w:space="0" w:color="auto"/>
      </w:divBdr>
    </w:div>
    <w:div w:id="1117725018">
      <w:bodyDiv w:val="1"/>
      <w:marLeft w:val="0"/>
      <w:marRight w:val="0"/>
      <w:marTop w:val="0"/>
      <w:marBottom w:val="0"/>
      <w:divBdr>
        <w:top w:val="none" w:sz="0" w:space="0" w:color="auto"/>
        <w:left w:val="none" w:sz="0" w:space="0" w:color="auto"/>
        <w:bottom w:val="none" w:sz="0" w:space="0" w:color="auto"/>
        <w:right w:val="none" w:sz="0" w:space="0" w:color="auto"/>
      </w:divBdr>
    </w:div>
    <w:div w:id="1118333838">
      <w:bodyDiv w:val="1"/>
      <w:marLeft w:val="0"/>
      <w:marRight w:val="0"/>
      <w:marTop w:val="0"/>
      <w:marBottom w:val="0"/>
      <w:divBdr>
        <w:top w:val="none" w:sz="0" w:space="0" w:color="auto"/>
        <w:left w:val="none" w:sz="0" w:space="0" w:color="auto"/>
        <w:bottom w:val="none" w:sz="0" w:space="0" w:color="auto"/>
        <w:right w:val="none" w:sz="0" w:space="0" w:color="auto"/>
      </w:divBdr>
    </w:div>
    <w:div w:id="1119030525">
      <w:bodyDiv w:val="1"/>
      <w:marLeft w:val="0"/>
      <w:marRight w:val="0"/>
      <w:marTop w:val="0"/>
      <w:marBottom w:val="0"/>
      <w:divBdr>
        <w:top w:val="none" w:sz="0" w:space="0" w:color="auto"/>
        <w:left w:val="none" w:sz="0" w:space="0" w:color="auto"/>
        <w:bottom w:val="none" w:sz="0" w:space="0" w:color="auto"/>
        <w:right w:val="none" w:sz="0" w:space="0" w:color="auto"/>
      </w:divBdr>
    </w:div>
    <w:div w:id="1120034785">
      <w:bodyDiv w:val="1"/>
      <w:marLeft w:val="0"/>
      <w:marRight w:val="0"/>
      <w:marTop w:val="0"/>
      <w:marBottom w:val="0"/>
      <w:divBdr>
        <w:top w:val="none" w:sz="0" w:space="0" w:color="auto"/>
        <w:left w:val="none" w:sz="0" w:space="0" w:color="auto"/>
        <w:bottom w:val="none" w:sz="0" w:space="0" w:color="auto"/>
        <w:right w:val="none" w:sz="0" w:space="0" w:color="auto"/>
      </w:divBdr>
    </w:div>
    <w:div w:id="1121992166">
      <w:bodyDiv w:val="1"/>
      <w:marLeft w:val="0"/>
      <w:marRight w:val="0"/>
      <w:marTop w:val="0"/>
      <w:marBottom w:val="0"/>
      <w:divBdr>
        <w:top w:val="none" w:sz="0" w:space="0" w:color="auto"/>
        <w:left w:val="none" w:sz="0" w:space="0" w:color="auto"/>
        <w:bottom w:val="none" w:sz="0" w:space="0" w:color="auto"/>
        <w:right w:val="none" w:sz="0" w:space="0" w:color="auto"/>
      </w:divBdr>
    </w:div>
    <w:div w:id="1122304479">
      <w:bodyDiv w:val="1"/>
      <w:marLeft w:val="0"/>
      <w:marRight w:val="0"/>
      <w:marTop w:val="0"/>
      <w:marBottom w:val="0"/>
      <w:divBdr>
        <w:top w:val="none" w:sz="0" w:space="0" w:color="auto"/>
        <w:left w:val="none" w:sz="0" w:space="0" w:color="auto"/>
        <w:bottom w:val="none" w:sz="0" w:space="0" w:color="auto"/>
        <w:right w:val="none" w:sz="0" w:space="0" w:color="auto"/>
      </w:divBdr>
    </w:div>
    <w:div w:id="1122382705">
      <w:bodyDiv w:val="1"/>
      <w:marLeft w:val="0"/>
      <w:marRight w:val="0"/>
      <w:marTop w:val="0"/>
      <w:marBottom w:val="0"/>
      <w:divBdr>
        <w:top w:val="none" w:sz="0" w:space="0" w:color="auto"/>
        <w:left w:val="none" w:sz="0" w:space="0" w:color="auto"/>
        <w:bottom w:val="none" w:sz="0" w:space="0" w:color="auto"/>
        <w:right w:val="none" w:sz="0" w:space="0" w:color="auto"/>
      </w:divBdr>
    </w:div>
    <w:div w:id="1122769797">
      <w:bodyDiv w:val="1"/>
      <w:marLeft w:val="0"/>
      <w:marRight w:val="0"/>
      <w:marTop w:val="0"/>
      <w:marBottom w:val="0"/>
      <w:divBdr>
        <w:top w:val="none" w:sz="0" w:space="0" w:color="auto"/>
        <w:left w:val="none" w:sz="0" w:space="0" w:color="auto"/>
        <w:bottom w:val="none" w:sz="0" w:space="0" w:color="auto"/>
        <w:right w:val="none" w:sz="0" w:space="0" w:color="auto"/>
      </w:divBdr>
    </w:div>
    <w:div w:id="1123110734">
      <w:bodyDiv w:val="1"/>
      <w:marLeft w:val="0"/>
      <w:marRight w:val="0"/>
      <w:marTop w:val="0"/>
      <w:marBottom w:val="0"/>
      <w:divBdr>
        <w:top w:val="none" w:sz="0" w:space="0" w:color="auto"/>
        <w:left w:val="none" w:sz="0" w:space="0" w:color="auto"/>
        <w:bottom w:val="none" w:sz="0" w:space="0" w:color="auto"/>
        <w:right w:val="none" w:sz="0" w:space="0" w:color="auto"/>
      </w:divBdr>
    </w:div>
    <w:div w:id="1126970851">
      <w:bodyDiv w:val="1"/>
      <w:marLeft w:val="0"/>
      <w:marRight w:val="0"/>
      <w:marTop w:val="0"/>
      <w:marBottom w:val="0"/>
      <w:divBdr>
        <w:top w:val="none" w:sz="0" w:space="0" w:color="auto"/>
        <w:left w:val="none" w:sz="0" w:space="0" w:color="auto"/>
        <w:bottom w:val="none" w:sz="0" w:space="0" w:color="auto"/>
        <w:right w:val="none" w:sz="0" w:space="0" w:color="auto"/>
      </w:divBdr>
      <w:divsChild>
        <w:div w:id="300233922">
          <w:marLeft w:val="1080"/>
          <w:marRight w:val="0"/>
          <w:marTop w:val="100"/>
          <w:marBottom w:val="0"/>
          <w:divBdr>
            <w:top w:val="none" w:sz="0" w:space="0" w:color="auto"/>
            <w:left w:val="none" w:sz="0" w:space="0" w:color="auto"/>
            <w:bottom w:val="none" w:sz="0" w:space="0" w:color="auto"/>
            <w:right w:val="none" w:sz="0" w:space="0" w:color="auto"/>
          </w:divBdr>
        </w:div>
        <w:div w:id="316148900">
          <w:marLeft w:val="1080"/>
          <w:marRight w:val="0"/>
          <w:marTop w:val="100"/>
          <w:marBottom w:val="0"/>
          <w:divBdr>
            <w:top w:val="none" w:sz="0" w:space="0" w:color="auto"/>
            <w:left w:val="none" w:sz="0" w:space="0" w:color="auto"/>
            <w:bottom w:val="none" w:sz="0" w:space="0" w:color="auto"/>
            <w:right w:val="none" w:sz="0" w:space="0" w:color="auto"/>
          </w:divBdr>
        </w:div>
        <w:div w:id="522059990">
          <w:marLeft w:val="1080"/>
          <w:marRight w:val="0"/>
          <w:marTop w:val="100"/>
          <w:marBottom w:val="0"/>
          <w:divBdr>
            <w:top w:val="none" w:sz="0" w:space="0" w:color="auto"/>
            <w:left w:val="none" w:sz="0" w:space="0" w:color="auto"/>
            <w:bottom w:val="none" w:sz="0" w:space="0" w:color="auto"/>
            <w:right w:val="none" w:sz="0" w:space="0" w:color="auto"/>
          </w:divBdr>
        </w:div>
        <w:div w:id="1099331828">
          <w:marLeft w:val="1080"/>
          <w:marRight w:val="0"/>
          <w:marTop w:val="100"/>
          <w:marBottom w:val="0"/>
          <w:divBdr>
            <w:top w:val="none" w:sz="0" w:space="0" w:color="auto"/>
            <w:left w:val="none" w:sz="0" w:space="0" w:color="auto"/>
            <w:bottom w:val="none" w:sz="0" w:space="0" w:color="auto"/>
            <w:right w:val="none" w:sz="0" w:space="0" w:color="auto"/>
          </w:divBdr>
        </w:div>
        <w:div w:id="1839078943">
          <w:marLeft w:val="1080"/>
          <w:marRight w:val="0"/>
          <w:marTop w:val="100"/>
          <w:marBottom w:val="0"/>
          <w:divBdr>
            <w:top w:val="none" w:sz="0" w:space="0" w:color="auto"/>
            <w:left w:val="none" w:sz="0" w:space="0" w:color="auto"/>
            <w:bottom w:val="none" w:sz="0" w:space="0" w:color="auto"/>
            <w:right w:val="none" w:sz="0" w:space="0" w:color="auto"/>
          </w:divBdr>
        </w:div>
      </w:divsChild>
    </w:div>
    <w:div w:id="1128014924">
      <w:bodyDiv w:val="1"/>
      <w:marLeft w:val="0"/>
      <w:marRight w:val="0"/>
      <w:marTop w:val="0"/>
      <w:marBottom w:val="0"/>
      <w:divBdr>
        <w:top w:val="none" w:sz="0" w:space="0" w:color="auto"/>
        <w:left w:val="none" w:sz="0" w:space="0" w:color="auto"/>
        <w:bottom w:val="none" w:sz="0" w:space="0" w:color="auto"/>
        <w:right w:val="none" w:sz="0" w:space="0" w:color="auto"/>
      </w:divBdr>
    </w:div>
    <w:div w:id="1129663607">
      <w:bodyDiv w:val="1"/>
      <w:marLeft w:val="0"/>
      <w:marRight w:val="0"/>
      <w:marTop w:val="0"/>
      <w:marBottom w:val="0"/>
      <w:divBdr>
        <w:top w:val="none" w:sz="0" w:space="0" w:color="auto"/>
        <w:left w:val="none" w:sz="0" w:space="0" w:color="auto"/>
        <w:bottom w:val="none" w:sz="0" w:space="0" w:color="auto"/>
        <w:right w:val="none" w:sz="0" w:space="0" w:color="auto"/>
      </w:divBdr>
    </w:div>
    <w:div w:id="1131173266">
      <w:bodyDiv w:val="1"/>
      <w:marLeft w:val="0"/>
      <w:marRight w:val="0"/>
      <w:marTop w:val="0"/>
      <w:marBottom w:val="0"/>
      <w:divBdr>
        <w:top w:val="none" w:sz="0" w:space="0" w:color="auto"/>
        <w:left w:val="none" w:sz="0" w:space="0" w:color="auto"/>
        <w:bottom w:val="none" w:sz="0" w:space="0" w:color="auto"/>
        <w:right w:val="none" w:sz="0" w:space="0" w:color="auto"/>
      </w:divBdr>
    </w:div>
    <w:div w:id="1131552801">
      <w:bodyDiv w:val="1"/>
      <w:marLeft w:val="0"/>
      <w:marRight w:val="0"/>
      <w:marTop w:val="0"/>
      <w:marBottom w:val="0"/>
      <w:divBdr>
        <w:top w:val="none" w:sz="0" w:space="0" w:color="auto"/>
        <w:left w:val="none" w:sz="0" w:space="0" w:color="auto"/>
        <w:bottom w:val="none" w:sz="0" w:space="0" w:color="auto"/>
        <w:right w:val="none" w:sz="0" w:space="0" w:color="auto"/>
      </w:divBdr>
    </w:div>
    <w:div w:id="1131679368">
      <w:bodyDiv w:val="1"/>
      <w:marLeft w:val="0"/>
      <w:marRight w:val="0"/>
      <w:marTop w:val="0"/>
      <w:marBottom w:val="0"/>
      <w:divBdr>
        <w:top w:val="none" w:sz="0" w:space="0" w:color="auto"/>
        <w:left w:val="none" w:sz="0" w:space="0" w:color="auto"/>
        <w:bottom w:val="none" w:sz="0" w:space="0" w:color="auto"/>
        <w:right w:val="none" w:sz="0" w:space="0" w:color="auto"/>
      </w:divBdr>
    </w:div>
    <w:div w:id="1132558287">
      <w:bodyDiv w:val="1"/>
      <w:marLeft w:val="0"/>
      <w:marRight w:val="0"/>
      <w:marTop w:val="0"/>
      <w:marBottom w:val="0"/>
      <w:divBdr>
        <w:top w:val="none" w:sz="0" w:space="0" w:color="auto"/>
        <w:left w:val="none" w:sz="0" w:space="0" w:color="auto"/>
        <w:bottom w:val="none" w:sz="0" w:space="0" w:color="auto"/>
        <w:right w:val="none" w:sz="0" w:space="0" w:color="auto"/>
      </w:divBdr>
    </w:div>
    <w:div w:id="1132601388">
      <w:bodyDiv w:val="1"/>
      <w:marLeft w:val="0"/>
      <w:marRight w:val="0"/>
      <w:marTop w:val="0"/>
      <w:marBottom w:val="0"/>
      <w:divBdr>
        <w:top w:val="none" w:sz="0" w:space="0" w:color="auto"/>
        <w:left w:val="none" w:sz="0" w:space="0" w:color="auto"/>
        <w:bottom w:val="none" w:sz="0" w:space="0" w:color="auto"/>
        <w:right w:val="none" w:sz="0" w:space="0" w:color="auto"/>
      </w:divBdr>
    </w:div>
    <w:div w:id="1132937765">
      <w:bodyDiv w:val="1"/>
      <w:marLeft w:val="0"/>
      <w:marRight w:val="0"/>
      <w:marTop w:val="0"/>
      <w:marBottom w:val="0"/>
      <w:divBdr>
        <w:top w:val="none" w:sz="0" w:space="0" w:color="auto"/>
        <w:left w:val="none" w:sz="0" w:space="0" w:color="auto"/>
        <w:bottom w:val="none" w:sz="0" w:space="0" w:color="auto"/>
        <w:right w:val="none" w:sz="0" w:space="0" w:color="auto"/>
      </w:divBdr>
    </w:div>
    <w:div w:id="1133140485">
      <w:bodyDiv w:val="1"/>
      <w:marLeft w:val="0"/>
      <w:marRight w:val="0"/>
      <w:marTop w:val="0"/>
      <w:marBottom w:val="0"/>
      <w:divBdr>
        <w:top w:val="none" w:sz="0" w:space="0" w:color="auto"/>
        <w:left w:val="none" w:sz="0" w:space="0" w:color="auto"/>
        <w:bottom w:val="none" w:sz="0" w:space="0" w:color="auto"/>
        <w:right w:val="none" w:sz="0" w:space="0" w:color="auto"/>
      </w:divBdr>
    </w:div>
    <w:div w:id="1134064156">
      <w:bodyDiv w:val="1"/>
      <w:marLeft w:val="0"/>
      <w:marRight w:val="0"/>
      <w:marTop w:val="0"/>
      <w:marBottom w:val="0"/>
      <w:divBdr>
        <w:top w:val="none" w:sz="0" w:space="0" w:color="auto"/>
        <w:left w:val="none" w:sz="0" w:space="0" w:color="auto"/>
        <w:bottom w:val="none" w:sz="0" w:space="0" w:color="auto"/>
        <w:right w:val="none" w:sz="0" w:space="0" w:color="auto"/>
      </w:divBdr>
    </w:div>
    <w:div w:id="1134559835">
      <w:bodyDiv w:val="1"/>
      <w:marLeft w:val="0"/>
      <w:marRight w:val="0"/>
      <w:marTop w:val="0"/>
      <w:marBottom w:val="0"/>
      <w:divBdr>
        <w:top w:val="none" w:sz="0" w:space="0" w:color="auto"/>
        <w:left w:val="none" w:sz="0" w:space="0" w:color="auto"/>
        <w:bottom w:val="none" w:sz="0" w:space="0" w:color="auto"/>
        <w:right w:val="none" w:sz="0" w:space="0" w:color="auto"/>
      </w:divBdr>
    </w:div>
    <w:div w:id="1136223390">
      <w:bodyDiv w:val="1"/>
      <w:marLeft w:val="0"/>
      <w:marRight w:val="0"/>
      <w:marTop w:val="0"/>
      <w:marBottom w:val="0"/>
      <w:divBdr>
        <w:top w:val="none" w:sz="0" w:space="0" w:color="auto"/>
        <w:left w:val="none" w:sz="0" w:space="0" w:color="auto"/>
        <w:bottom w:val="none" w:sz="0" w:space="0" w:color="auto"/>
        <w:right w:val="none" w:sz="0" w:space="0" w:color="auto"/>
      </w:divBdr>
    </w:div>
    <w:div w:id="1137381239">
      <w:bodyDiv w:val="1"/>
      <w:marLeft w:val="0"/>
      <w:marRight w:val="0"/>
      <w:marTop w:val="0"/>
      <w:marBottom w:val="0"/>
      <w:divBdr>
        <w:top w:val="none" w:sz="0" w:space="0" w:color="auto"/>
        <w:left w:val="none" w:sz="0" w:space="0" w:color="auto"/>
        <w:bottom w:val="none" w:sz="0" w:space="0" w:color="auto"/>
        <w:right w:val="none" w:sz="0" w:space="0" w:color="auto"/>
      </w:divBdr>
    </w:div>
    <w:div w:id="1137603951">
      <w:bodyDiv w:val="1"/>
      <w:marLeft w:val="0"/>
      <w:marRight w:val="0"/>
      <w:marTop w:val="0"/>
      <w:marBottom w:val="0"/>
      <w:divBdr>
        <w:top w:val="none" w:sz="0" w:space="0" w:color="auto"/>
        <w:left w:val="none" w:sz="0" w:space="0" w:color="auto"/>
        <w:bottom w:val="none" w:sz="0" w:space="0" w:color="auto"/>
        <w:right w:val="none" w:sz="0" w:space="0" w:color="auto"/>
      </w:divBdr>
    </w:div>
    <w:div w:id="1138761424">
      <w:bodyDiv w:val="1"/>
      <w:marLeft w:val="0"/>
      <w:marRight w:val="0"/>
      <w:marTop w:val="0"/>
      <w:marBottom w:val="0"/>
      <w:divBdr>
        <w:top w:val="none" w:sz="0" w:space="0" w:color="auto"/>
        <w:left w:val="none" w:sz="0" w:space="0" w:color="auto"/>
        <w:bottom w:val="none" w:sz="0" w:space="0" w:color="auto"/>
        <w:right w:val="none" w:sz="0" w:space="0" w:color="auto"/>
      </w:divBdr>
    </w:div>
    <w:div w:id="1138768536">
      <w:bodyDiv w:val="1"/>
      <w:marLeft w:val="0"/>
      <w:marRight w:val="0"/>
      <w:marTop w:val="0"/>
      <w:marBottom w:val="0"/>
      <w:divBdr>
        <w:top w:val="none" w:sz="0" w:space="0" w:color="auto"/>
        <w:left w:val="none" w:sz="0" w:space="0" w:color="auto"/>
        <w:bottom w:val="none" w:sz="0" w:space="0" w:color="auto"/>
        <w:right w:val="none" w:sz="0" w:space="0" w:color="auto"/>
      </w:divBdr>
    </w:div>
    <w:div w:id="1138914838">
      <w:bodyDiv w:val="1"/>
      <w:marLeft w:val="0"/>
      <w:marRight w:val="0"/>
      <w:marTop w:val="0"/>
      <w:marBottom w:val="0"/>
      <w:divBdr>
        <w:top w:val="none" w:sz="0" w:space="0" w:color="auto"/>
        <w:left w:val="none" w:sz="0" w:space="0" w:color="auto"/>
        <w:bottom w:val="none" w:sz="0" w:space="0" w:color="auto"/>
        <w:right w:val="none" w:sz="0" w:space="0" w:color="auto"/>
      </w:divBdr>
    </w:div>
    <w:div w:id="1139107876">
      <w:bodyDiv w:val="1"/>
      <w:marLeft w:val="0"/>
      <w:marRight w:val="0"/>
      <w:marTop w:val="0"/>
      <w:marBottom w:val="0"/>
      <w:divBdr>
        <w:top w:val="none" w:sz="0" w:space="0" w:color="auto"/>
        <w:left w:val="none" w:sz="0" w:space="0" w:color="auto"/>
        <w:bottom w:val="none" w:sz="0" w:space="0" w:color="auto"/>
        <w:right w:val="none" w:sz="0" w:space="0" w:color="auto"/>
      </w:divBdr>
    </w:div>
    <w:div w:id="1140344276">
      <w:bodyDiv w:val="1"/>
      <w:marLeft w:val="0"/>
      <w:marRight w:val="0"/>
      <w:marTop w:val="0"/>
      <w:marBottom w:val="0"/>
      <w:divBdr>
        <w:top w:val="none" w:sz="0" w:space="0" w:color="auto"/>
        <w:left w:val="none" w:sz="0" w:space="0" w:color="auto"/>
        <w:bottom w:val="none" w:sz="0" w:space="0" w:color="auto"/>
        <w:right w:val="none" w:sz="0" w:space="0" w:color="auto"/>
      </w:divBdr>
    </w:div>
    <w:div w:id="1140996270">
      <w:bodyDiv w:val="1"/>
      <w:marLeft w:val="0"/>
      <w:marRight w:val="0"/>
      <w:marTop w:val="0"/>
      <w:marBottom w:val="0"/>
      <w:divBdr>
        <w:top w:val="none" w:sz="0" w:space="0" w:color="auto"/>
        <w:left w:val="none" w:sz="0" w:space="0" w:color="auto"/>
        <w:bottom w:val="none" w:sz="0" w:space="0" w:color="auto"/>
        <w:right w:val="none" w:sz="0" w:space="0" w:color="auto"/>
      </w:divBdr>
    </w:div>
    <w:div w:id="1141654062">
      <w:bodyDiv w:val="1"/>
      <w:marLeft w:val="0"/>
      <w:marRight w:val="0"/>
      <w:marTop w:val="0"/>
      <w:marBottom w:val="0"/>
      <w:divBdr>
        <w:top w:val="none" w:sz="0" w:space="0" w:color="auto"/>
        <w:left w:val="none" w:sz="0" w:space="0" w:color="auto"/>
        <w:bottom w:val="none" w:sz="0" w:space="0" w:color="auto"/>
        <w:right w:val="none" w:sz="0" w:space="0" w:color="auto"/>
      </w:divBdr>
    </w:div>
    <w:div w:id="1143547123">
      <w:bodyDiv w:val="1"/>
      <w:marLeft w:val="0"/>
      <w:marRight w:val="0"/>
      <w:marTop w:val="0"/>
      <w:marBottom w:val="0"/>
      <w:divBdr>
        <w:top w:val="none" w:sz="0" w:space="0" w:color="auto"/>
        <w:left w:val="none" w:sz="0" w:space="0" w:color="auto"/>
        <w:bottom w:val="none" w:sz="0" w:space="0" w:color="auto"/>
        <w:right w:val="none" w:sz="0" w:space="0" w:color="auto"/>
      </w:divBdr>
    </w:div>
    <w:div w:id="1143740132">
      <w:bodyDiv w:val="1"/>
      <w:marLeft w:val="0"/>
      <w:marRight w:val="0"/>
      <w:marTop w:val="0"/>
      <w:marBottom w:val="0"/>
      <w:divBdr>
        <w:top w:val="none" w:sz="0" w:space="0" w:color="auto"/>
        <w:left w:val="none" w:sz="0" w:space="0" w:color="auto"/>
        <w:bottom w:val="none" w:sz="0" w:space="0" w:color="auto"/>
        <w:right w:val="none" w:sz="0" w:space="0" w:color="auto"/>
      </w:divBdr>
    </w:div>
    <w:div w:id="1143809892">
      <w:bodyDiv w:val="1"/>
      <w:marLeft w:val="0"/>
      <w:marRight w:val="0"/>
      <w:marTop w:val="0"/>
      <w:marBottom w:val="0"/>
      <w:divBdr>
        <w:top w:val="none" w:sz="0" w:space="0" w:color="auto"/>
        <w:left w:val="none" w:sz="0" w:space="0" w:color="auto"/>
        <w:bottom w:val="none" w:sz="0" w:space="0" w:color="auto"/>
        <w:right w:val="none" w:sz="0" w:space="0" w:color="auto"/>
      </w:divBdr>
    </w:div>
    <w:div w:id="1143887665">
      <w:bodyDiv w:val="1"/>
      <w:marLeft w:val="0"/>
      <w:marRight w:val="0"/>
      <w:marTop w:val="0"/>
      <w:marBottom w:val="0"/>
      <w:divBdr>
        <w:top w:val="none" w:sz="0" w:space="0" w:color="auto"/>
        <w:left w:val="none" w:sz="0" w:space="0" w:color="auto"/>
        <w:bottom w:val="none" w:sz="0" w:space="0" w:color="auto"/>
        <w:right w:val="none" w:sz="0" w:space="0" w:color="auto"/>
      </w:divBdr>
    </w:div>
    <w:div w:id="1144737475">
      <w:bodyDiv w:val="1"/>
      <w:marLeft w:val="0"/>
      <w:marRight w:val="0"/>
      <w:marTop w:val="0"/>
      <w:marBottom w:val="0"/>
      <w:divBdr>
        <w:top w:val="none" w:sz="0" w:space="0" w:color="auto"/>
        <w:left w:val="none" w:sz="0" w:space="0" w:color="auto"/>
        <w:bottom w:val="none" w:sz="0" w:space="0" w:color="auto"/>
        <w:right w:val="none" w:sz="0" w:space="0" w:color="auto"/>
      </w:divBdr>
    </w:div>
    <w:div w:id="1145776433">
      <w:bodyDiv w:val="1"/>
      <w:marLeft w:val="0"/>
      <w:marRight w:val="0"/>
      <w:marTop w:val="0"/>
      <w:marBottom w:val="0"/>
      <w:divBdr>
        <w:top w:val="none" w:sz="0" w:space="0" w:color="auto"/>
        <w:left w:val="none" w:sz="0" w:space="0" w:color="auto"/>
        <w:bottom w:val="none" w:sz="0" w:space="0" w:color="auto"/>
        <w:right w:val="none" w:sz="0" w:space="0" w:color="auto"/>
      </w:divBdr>
    </w:div>
    <w:div w:id="1146970404">
      <w:bodyDiv w:val="1"/>
      <w:marLeft w:val="0"/>
      <w:marRight w:val="0"/>
      <w:marTop w:val="0"/>
      <w:marBottom w:val="0"/>
      <w:divBdr>
        <w:top w:val="none" w:sz="0" w:space="0" w:color="auto"/>
        <w:left w:val="none" w:sz="0" w:space="0" w:color="auto"/>
        <w:bottom w:val="none" w:sz="0" w:space="0" w:color="auto"/>
        <w:right w:val="none" w:sz="0" w:space="0" w:color="auto"/>
      </w:divBdr>
    </w:div>
    <w:div w:id="1148017120">
      <w:bodyDiv w:val="1"/>
      <w:marLeft w:val="0"/>
      <w:marRight w:val="0"/>
      <w:marTop w:val="0"/>
      <w:marBottom w:val="0"/>
      <w:divBdr>
        <w:top w:val="none" w:sz="0" w:space="0" w:color="auto"/>
        <w:left w:val="none" w:sz="0" w:space="0" w:color="auto"/>
        <w:bottom w:val="none" w:sz="0" w:space="0" w:color="auto"/>
        <w:right w:val="none" w:sz="0" w:space="0" w:color="auto"/>
      </w:divBdr>
    </w:div>
    <w:div w:id="1149444341">
      <w:bodyDiv w:val="1"/>
      <w:marLeft w:val="0"/>
      <w:marRight w:val="0"/>
      <w:marTop w:val="0"/>
      <w:marBottom w:val="0"/>
      <w:divBdr>
        <w:top w:val="none" w:sz="0" w:space="0" w:color="auto"/>
        <w:left w:val="none" w:sz="0" w:space="0" w:color="auto"/>
        <w:bottom w:val="none" w:sz="0" w:space="0" w:color="auto"/>
        <w:right w:val="none" w:sz="0" w:space="0" w:color="auto"/>
      </w:divBdr>
    </w:div>
    <w:div w:id="1149635119">
      <w:bodyDiv w:val="1"/>
      <w:marLeft w:val="0"/>
      <w:marRight w:val="0"/>
      <w:marTop w:val="0"/>
      <w:marBottom w:val="0"/>
      <w:divBdr>
        <w:top w:val="none" w:sz="0" w:space="0" w:color="auto"/>
        <w:left w:val="none" w:sz="0" w:space="0" w:color="auto"/>
        <w:bottom w:val="none" w:sz="0" w:space="0" w:color="auto"/>
        <w:right w:val="none" w:sz="0" w:space="0" w:color="auto"/>
      </w:divBdr>
    </w:div>
    <w:div w:id="1154224275">
      <w:bodyDiv w:val="1"/>
      <w:marLeft w:val="0"/>
      <w:marRight w:val="0"/>
      <w:marTop w:val="0"/>
      <w:marBottom w:val="0"/>
      <w:divBdr>
        <w:top w:val="none" w:sz="0" w:space="0" w:color="auto"/>
        <w:left w:val="none" w:sz="0" w:space="0" w:color="auto"/>
        <w:bottom w:val="none" w:sz="0" w:space="0" w:color="auto"/>
        <w:right w:val="none" w:sz="0" w:space="0" w:color="auto"/>
      </w:divBdr>
    </w:div>
    <w:div w:id="1158302937">
      <w:bodyDiv w:val="1"/>
      <w:marLeft w:val="0"/>
      <w:marRight w:val="0"/>
      <w:marTop w:val="0"/>
      <w:marBottom w:val="0"/>
      <w:divBdr>
        <w:top w:val="none" w:sz="0" w:space="0" w:color="auto"/>
        <w:left w:val="none" w:sz="0" w:space="0" w:color="auto"/>
        <w:bottom w:val="none" w:sz="0" w:space="0" w:color="auto"/>
        <w:right w:val="none" w:sz="0" w:space="0" w:color="auto"/>
      </w:divBdr>
    </w:div>
    <w:div w:id="1159686848">
      <w:bodyDiv w:val="1"/>
      <w:marLeft w:val="0"/>
      <w:marRight w:val="0"/>
      <w:marTop w:val="0"/>
      <w:marBottom w:val="0"/>
      <w:divBdr>
        <w:top w:val="none" w:sz="0" w:space="0" w:color="auto"/>
        <w:left w:val="none" w:sz="0" w:space="0" w:color="auto"/>
        <w:bottom w:val="none" w:sz="0" w:space="0" w:color="auto"/>
        <w:right w:val="none" w:sz="0" w:space="0" w:color="auto"/>
      </w:divBdr>
    </w:div>
    <w:div w:id="1159923652">
      <w:bodyDiv w:val="1"/>
      <w:marLeft w:val="0"/>
      <w:marRight w:val="0"/>
      <w:marTop w:val="0"/>
      <w:marBottom w:val="0"/>
      <w:divBdr>
        <w:top w:val="none" w:sz="0" w:space="0" w:color="auto"/>
        <w:left w:val="none" w:sz="0" w:space="0" w:color="auto"/>
        <w:bottom w:val="none" w:sz="0" w:space="0" w:color="auto"/>
        <w:right w:val="none" w:sz="0" w:space="0" w:color="auto"/>
      </w:divBdr>
    </w:div>
    <w:div w:id="1160147850">
      <w:bodyDiv w:val="1"/>
      <w:marLeft w:val="0"/>
      <w:marRight w:val="0"/>
      <w:marTop w:val="0"/>
      <w:marBottom w:val="0"/>
      <w:divBdr>
        <w:top w:val="none" w:sz="0" w:space="0" w:color="auto"/>
        <w:left w:val="none" w:sz="0" w:space="0" w:color="auto"/>
        <w:bottom w:val="none" w:sz="0" w:space="0" w:color="auto"/>
        <w:right w:val="none" w:sz="0" w:space="0" w:color="auto"/>
      </w:divBdr>
    </w:div>
    <w:div w:id="1160383701">
      <w:bodyDiv w:val="1"/>
      <w:marLeft w:val="0"/>
      <w:marRight w:val="0"/>
      <w:marTop w:val="0"/>
      <w:marBottom w:val="0"/>
      <w:divBdr>
        <w:top w:val="none" w:sz="0" w:space="0" w:color="auto"/>
        <w:left w:val="none" w:sz="0" w:space="0" w:color="auto"/>
        <w:bottom w:val="none" w:sz="0" w:space="0" w:color="auto"/>
        <w:right w:val="none" w:sz="0" w:space="0" w:color="auto"/>
      </w:divBdr>
    </w:div>
    <w:div w:id="1161000835">
      <w:bodyDiv w:val="1"/>
      <w:marLeft w:val="0"/>
      <w:marRight w:val="0"/>
      <w:marTop w:val="0"/>
      <w:marBottom w:val="0"/>
      <w:divBdr>
        <w:top w:val="none" w:sz="0" w:space="0" w:color="auto"/>
        <w:left w:val="none" w:sz="0" w:space="0" w:color="auto"/>
        <w:bottom w:val="none" w:sz="0" w:space="0" w:color="auto"/>
        <w:right w:val="none" w:sz="0" w:space="0" w:color="auto"/>
      </w:divBdr>
    </w:div>
    <w:div w:id="1161239742">
      <w:bodyDiv w:val="1"/>
      <w:marLeft w:val="0"/>
      <w:marRight w:val="0"/>
      <w:marTop w:val="0"/>
      <w:marBottom w:val="0"/>
      <w:divBdr>
        <w:top w:val="none" w:sz="0" w:space="0" w:color="auto"/>
        <w:left w:val="none" w:sz="0" w:space="0" w:color="auto"/>
        <w:bottom w:val="none" w:sz="0" w:space="0" w:color="auto"/>
        <w:right w:val="none" w:sz="0" w:space="0" w:color="auto"/>
      </w:divBdr>
    </w:div>
    <w:div w:id="1161698057">
      <w:bodyDiv w:val="1"/>
      <w:marLeft w:val="0"/>
      <w:marRight w:val="0"/>
      <w:marTop w:val="0"/>
      <w:marBottom w:val="0"/>
      <w:divBdr>
        <w:top w:val="none" w:sz="0" w:space="0" w:color="auto"/>
        <w:left w:val="none" w:sz="0" w:space="0" w:color="auto"/>
        <w:bottom w:val="none" w:sz="0" w:space="0" w:color="auto"/>
        <w:right w:val="none" w:sz="0" w:space="0" w:color="auto"/>
      </w:divBdr>
    </w:div>
    <w:div w:id="1161894469">
      <w:bodyDiv w:val="1"/>
      <w:marLeft w:val="0"/>
      <w:marRight w:val="0"/>
      <w:marTop w:val="0"/>
      <w:marBottom w:val="0"/>
      <w:divBdr>
        <w:top w:val="none" w:sz="0" w:space="0" w:color="auto"/>
        <w:left w:val="none" w:sz="0" w:space="0" w:color="auto"/>
        <w:bottom w:val="none" w:sz="0" w:space="0" w:color="auto"/>
        <w:right w:val="none" w:sz="0" w:space="0" w:color="auto"/>
      </w:divBdr>
    </w:div>
    <w:div w:id="1163274203">
      <w:bodyDiv w:val="1"/>
      <w:marLeft w:val="0"/>
      <w:marRight w:val="0"/>
      <w:marTop w:val="0"/>
      <w:marBottom w:val="0"/>
      <w:divBdr>
        <w:top w:val="none" w:sz="0" w:space="0" w:color="auto"/>
        <w:left w:val="none" w:sz="0" w:space="0" w:color="auto"/>
        <w:bottom w:val="none" w:sz="0" w:space="0" w:color="auto"/>
        <w:right w:val="none" w:sz="0" w:space="0" w:color="auto"/>
      </w:divBdr>
    </w:div>
    <w:div w:id="1163425786">
      <w:bodyDiv w:val="1"/>
      <w:marLeft w:val="0"/>
      <w:marRight w:val="0"/>
      <w:marTop w:val="0"/>
      <w:marBottom w:val="0"/>
      <w:divBdr>
        <w:top w:val="none" w:sz="0" w:space="0" w:color="auto"/>
        <w:left w:val="none" w:sz="0" w:space="0" w:color="auto"/>
        <w:bottom w:val="none" w:sz="0" w:space="0" w:color="auto"/>
        <w:right w:val="none" w:sz="0" w:space="0" w:color="auto"/>
      </w:divBdr>
    </w:div>
    <w:div w:id="1164007882">
      <w:bodyDiv w:val="1"/>
      <w:marLeft w:val="0"/>
      <w:marRight w:val="0"/>
      <w:marTop w:val="0"/>
      <w:marBottom w:val="0"/>
      <w:divBdr>
        <w:top w:val="none" w:sz="0" w:space="0" w:color="auto"/>
        <w:left w:val="none" w:sz="0" w:space="0" w:color="auto"/>
        <w:bottom w:val="none" w:sz="0" w:space="0" w:color="auto"/>
        <w:right w:val="none" w:sz="0" w:space="0" w:color="auto"/>
      </w:divBdr>
    </w:div>
    <w:div w:id="1165903982">
      <w:bodyDiv w:val="1"/>
      <w:marLeft w:val="0"/>
      <w:marRight w:val="0"/>
      <w:marTop w:val="0"/>
      <w:marBottom w:val="0"/>
      <w:divBdr>
        <w:top w:val="none" w:sz="0" w:space="0" w:color="auto"/>
        <w:left w:val="none" w:sz="0" w:space="0" w:color="auto"/>
        <w:bottom w:val="none" w:sz="0" w:space="0" w:color="auto"/>
        <w:right w:val="none" w:sz="0" w:space="0" w:color="auto"/>
      </w:divBdr>
    </w:div>
    <w:div w:id="1169129327">
      <w:bodyDiv w:val="1"/>
      <w:marLeft w:val="0"/>
      <w:marRight w:val="0"/>
      <w:marTop w:val="0"/>
      <w:marBottom w:val="0"/>
      <w:divBdr>
        <w:top w:val="none" w:sz="0" w:space="0" w:color="auto"/>
        <w:left w:val="none" w:sz="0" w:space="0" w:color="auto"/>
        <w:bottom w:val="none" w:sz="0" w:space="0" w:color="auto"/>
        <w:right w:val="none" w:sz="0" w:space="0" w:color="auto"/>
      </w:divBdr>
    </w:div>
    <w:div w:id="1169178341">
      <w:bodyDiv w:val="1"/>
      <w:marLeft w:val="0"/>
      <w:marRight w:val="0"/>
      <w:marTop w:val="0"/>
      <w:marBottom w:val="0"/>
      <w:divBdr>
        <w:top w:val="none" w:sz="0" w:space="0" w:color="auto"/>
        <w:left w:val="none" w:sz="0" w:space="0" w:color="auto"/>
        <w:bottom w:val="none" w:sz="0" w:space="0" w:color="auto"/>
        <w:right w:val="none" w:sz="0" w:space="0" w:color="auto"/>
      </w:divBdr>
    </w:div>
    <w:div w:id="1170608121">
      <w:bodyDiv w:val="1"/>
      <w:marLeft w:val="0"/>
      <w:marRight w:val="0"/>
      <w:marTop w:val="0"/>
      <w:marBottom w:val="0"/>
      <w:divBdr>
        <w:top w:val="none" w:sz="0" w:space="0" w:color="auto"/>
        <w:left w:val="none" w:sz="0" w:space="0" w:color="auto"/>
        <w:bottom w:val="none" w:sz="0" w:space="0" w:color="auto"/>
        <w:right w:val="none" w:sz="0" w:space="0" w:color="auto"/>
      </w:divBdr>
    </w:div>
    <w:div w:id="1171605928">
      <w:bodyDiv w:val="1"/>
      <w:marLeft w:val="0"/>
      <w:marRight w:val="0"/>
      <w:marTop w:val="0"/>
      <w:marBottom w:val="0"/>
      <w:divBdr>
        <w:top w:val="none" w:sz="0" w:space="0" w:color="auto"/>
        <w:left w:val="none" w:sz="0" w:space="0" w:color="auto"/>
        <w:bottom w:val="none" w:sz="0" w:space="0" w:color="auto"/>
        <w:right w:val="none" w:sz="0" w:space="0" w:color="auto"/>
      </w:divBdr>
    </w:div>
    <w:div w:id="1172991670">
      <w:bodyDiv w:val="1"/>
      <w:marLeft w:val="0"/>
      <w:marRight w:val="0"/>
      <w:marTop w:val="0"/>
      <w:marBottom w:val="0"/>
      <w:divBdr>
        <w:top w:val="none" w:sz="0" w:space="0" w:color="auto"/>
        <w:left w:val="none" w:sz="0" w:space="0" w:color="auto"/>
        <w:bottom w:val="none" w:sz="0" w:space="0" w:color="auto"/>
        <w:right w:val="none" w:sz="0" w:space="0" w:color="auto"/>
      </w:divBdr>
    </w:div>
    <w:div w:id="1173951049">
      <w:bodyDiv w:val="1"/>
      <w:marLeft w:val="0"/>
      <w:marRight w:val="0"/>
      <w:marTop w:val="0"/>
      <w:marBottom w:val="0"/>
      <w:divBdr>
        <w:top w:val="none" w:sz="0" w:space="0" w:color="auto"/>
        <w:left w:val="none" w:sz="0" w:space="0" w:color="auto"/>
        <w:bottom w:val="none" w:sz="0" w:space="0" w:color="auto"/>
        <w:right w:val="none" w:sz="0" w:space="0" w:color="auto"/>
      </w:divBdr>
    </w:div>
    <w:div w:id="1174295270">
      <w:bodyDiv w:val="1"/>
      <w:marLeft w:val="0"/>
      <w:marRight w:val="0"/>
      <w:marTop w:val="0"/>
      <w:marBottom w:val="0"/>
      <w:divBdr>
        <w:top w:val="none" w:sz="0" w:space="0" w:color="auto"/>
        <w:left w:val="none" w:sz="0" w:space="0" w:color="auto"/>
        <w:bottom w:val="none" w:sz="0" w:space="0" w:color="auto"/>
        <w:right w:val="none" w:sz="0" w:space="0" w:color="auto"/>
      </w:divBdr>
    </w:div>
    <w:div w:id="1175723964">
      <w:bodyDiv w:val="1"/>
      <w:marLeft w:val="0"/>
      <w:marRight w:val="0"/>
      <w:marTop w:val="0"/>
      <w:marBottom w:val="0"/>
      <w:divBdr>
        <w:top w:val="none" w:sz="0" w:space="0" w:color="auto"/>
        <w:left w:val="none" w:sz="0" w:space="0" w:color="auto"/>
        <w:bottom w:val="none" w:sz="0" w:space="0" w:color="auto"/>
        <w:right w:val="none" w:sz="0" w:space="0" w:color="auto"/>
      </w:divBdr>
    </w:div>
    <w:div w:id="1175730194">
      <w:bodyDiv w:val="1"/>
      <w:marLeft w:val="0"/>
      <w:marRight w:val="0"/>
      <w:marTop w:val="0"/>
      <w:marBottom w:val="0"/>
      <w:divBdr>
        <w:top w:val="none" w:sz="0" w:space="0" w:color="auto"/>
        <w:left w:val="none" w:sz="0" w:space="0" w:color="auto"/>
        <w:bottom w:val="none" w:sz="0" w:space="0" w:color="auto"/>
        <w:right w:val="none" w:sz="0" w:space="0" w:color="auto"/>
      </w:divBdr>
    </w:div>
    <w:div w:id="1176193834">
      <w:bodyDiv w:val="1"/>
      <w:marLeft w:val="0"/>
      <w:marRight w:val="0"/>
      <w:marTop w:val="0"/>
      <w:marBottom w:val="0"/>
      <w:divBdr>
        <w:top w:val="none" w:sz="0" w:space="0" w:color="auto"/>
        <w:left w:val="none" w:sz="0" w:space="0" w:color="auto"/>
        <w:bottom w:val="none" w:sz="0" w:space="0" w:color="auto"/>
        <w:right w:val="none" w:sz="0" w:space="0" w:color="auto"/>
      </w:divBdr>
    </w:div>
    <w:div w:id="1176572820">
      <w:bodyDiv w:val="1"/>
      <w:marLeft w:val="0"/>
      <w:marRight w:val="0"/>
      <w:marTop w:val="0"/>
      <w:marBottom w:val="0"/>
      <w:divBdr>
        <w:top w:val="none" w:sz="0" w:space="0" w:color="auto"/>
        <w:left w:val="none" w:sz="0" w:space="0" w:color="auto"/>
        <w:bottom w:val="none" w:sz="0" w:space="0" w:color="auto"/>
        <w:right w:val="none" w:sz="0" w:space="0" w:color="auto"/>
      </w:divBdr>
    </w:div>
    <w:div w:id="1178229858">
      <w:bodyDiv w:val="1"/>
      <w:marLeft w:val="0"/>
      <w:marRight w:val="0"/>
      <w:marTop w:val="0"/>
      <w:marBottom w:val="0"/>
      <w:divBdr>
        <w:top w:val="none" w:sz="0" w:space="0" w:color="auto"/>
        <w:left w:val="none" w:sz="0" w:space="0" w:color="auto"/>
        <w:bottom w:val="none" w:sz="0" w:space="0" w:color="auto"/>
        <w:right w:val="none" w:sz="0" w:space="0" w:color="auto"/>
      </w:divBdr>
    </w:div>
    <w:div w:id="1178233352">
      <w:bodyDiv w:val="1"/>
      <w:marLeft w:val="0"/>
      <w:marRight w:val="0"/>
      <w:marTop w:val="0"/>
      <w:marBottom w:val="0"/>
      <w:divBdr>
        <w:top w:val="none" w:sz="0" w:space="0" w:color="auto"/>
        <w:left w:val="none" w:sz="0" w:space="0" w:color="auto"/>
        <w:bottom w:val="none" w:sz="0" w:space="0" w:color="auto"/>
        <w:right w:val="none" w:sz="0" w:space="0" w:color="auto"/>
      </w:divBdr>
    </w:div>
    <w:div w:id="1178501088">
      <w:bodyDiv w:val="1"/>
      <w:marLeft w:val="0"/>
      <w:marRight w:val="0"/>
      <w:marTop w:val="0"/>
      <w:marBottom w:val="0"/>
      <w:divBdr>
        <w:top w:val="none" w:sz="0" w:space="0" w:color="auto"/>
        <w:left w:val="none" w:sz="0" w:space="0" w:color="auto"/>
        <w:bottom w:val="none" w:sz="0" w:space="0" w:color="auto"/>
        <w:right w:val="none" w:sz="0" w:space="0" w:color="auto"/>
      </w:divBdr>
    </w:div>
    <w:div w:id="1178538247">
      <w:bodyDiv w:val="1"/>
      <w:marLeft w:val="0"/>
      <w:marRight w:val="0"/>
      <w:marTop w:val="0"/>
      <w:marBottom w:val="0"/>
      <w:divBdr>
        <w:top w:val="none" w:sz="0" w:space="0" w:color="auto"/>
        <w:left w:val="none" w:sz="0" w:space="0" w:color="auto"/>
        <w:bottom w:val="none" w:sz="0" w:space="0" w:color="auto"/>
        <w:right w:val="none" w:sz="0" w:space="0" w:color="auto"/>
      </w:divBdr>
    </w:div>
    <w:div w:id="1179346364">
      <w:bodyDiv w:val="1"/>
      <w:marLeft w:val="0"/>
      <w:marRight w:val="0"/>
      <w:marTop w:val="0"/>
      <w:marBottom w:val="0"/>
      <w:divBdr>
        <w:top w:val="none" w:sz="0" w:space="0" w:color="auto"/>
        <w:left w:val="none" w:sz="0" w:space="0" w:color="auto"/>
        <w:bottom w:val="none" w:sz="0" w:space="0" w:color="auto"/>
        <w:right w:val="none" w:sz="0" w:space="0" w:color="auto"/>
      </w:divBdr>
    </w:div>
    <w:div w:id="1179586180">
      <w:bodyDiv w:val="1"/>
      <w:marLeft w:val="0"/>
      <w:marRight w:val="0"/>
      <w:marTop w:val="0"/>
      <w:marBottom w:val="0"/>
      <w:divBdr>
        <w:top w:val="none" w:sz="0" w:space="0" w:color="auto"/>
        <w:left w:val="none" w:sz="0" w:space="0" w:color="auto"/>
        <w:bottom w:val="none" w:sz="0" w:space="0" w:color="auto"/>
        <w:right w:val="none" w:sz="0" w:space="0" w:color="auto"/>
      </w:divBdr>
    </w:div>
    <w:div w:id="1180700988">
      <w:bodyDiv w:val="1"/>
      <w:marLeft w:val="0"/>
      <w:marRight w:val="0"/>
      <w:marTop w:val="0"/>
      <w:marBottom w:val="0"/>
      <w:divBdr>
        <w:top w:val="none" w:sz="0" w:space="0" w:color="auto"/>
        <w:left w:val="none" w:sz="0" w:space="0" w:color="auto"/>
        <w:bottom w:val="none" w:sz="0" w:space="0" w:color="auto"/>
        <w:right w:val="none" w:sz="0" w:space="0" w:color="auto"/>
      </w:divBdr>
    </w:div>
    <w:div w:id="1180895601">
      <w:bodyDiv w:val="1"/>
      <w:marLeft w:val="0"/>
      <w:marRight w:val="0"/>
      <w:marTop w:val="0"/>
      <w:marBottom w:val="0"/>
      <w:divBdr>
        <w:top w:val="none" w:sz="0" w:space="0" w:color="auto"/>
        <w:left w:val="none" w:sz="0" w:space="0" w:color="auto"/>
        <w:bottom w:val="none" w:sz="0" w:space="0" w:color="auto"/>
        <w:right w:val="none" w:sz="0" w:space="0" w:color="auto"/>
      </w:divBdr>
    </w:div>
    <w:div w:id="1180969363">
      <w:bodyDiv w:val="1"/>
      <w:marLeft w:val="0"/>
      <w:marRight w:val="0"/>
      <w:marTop w:val="0"/>
      <w:marBottom w:val="0"/>
      <w:divBdr>
        <w:top w:val="none" w:sz="0" w:space="0" w:color="auto"/>
        <w:left w:val="none" w:sz="0" w:space="0" w:color="auto"/>
        <w:bottom w:val="none" w:sz="0" w:space="0" w:color="auto"/>
        <w:right w:val="none" w:sz="0" w:space="0" w:color="auto"/>
      </w:divBdr>
    </w:div>
    <w:div w:id="1181578491">
      <w:bodyDiv w:val="1"/>
      <w:marLeft w:val="0"/>
      <w:marRight w:val="0"/>
      <w:marTop w:val="0"/>
      <w:marBottom w:val="0"/>
      <w:divBdr>
        <w:top w:val="none" w:sz="0" w:space="0" w:color="auto"/>
        <w:left w:val="none" w:sz="0" w:space="0" w:color="auto"/>
        <w:bottom w:val="none" w:sz="0" w:space="0" w:color="auto"/>
        <w:right w:val="none" w:sz="0" w:space="0" w:color="auto"/>
      </w:divBdr>
    </w:div>
    <w:div w:id="1182014266">
      <w:bodyDiv w:val="1"/>
      <w:marLeft w:val="0"/>
      <w:marRight w:val="0"/>
      <w:marTop w:val="0"/>
      <w:marBottom w:val="0"/>
      <w:divBdr>
        <w:top w:val="none" w:sz="0" w:space="0" w:color="auto"/>
        <w:left w:val="none" w:sz="0" w:space="0" w:color="auto"/>
        <w:bottom w:val="none" w:sz="0" w:space="0" w:color="auto"/>
        <w:right w:val="none" w:sz="0" w:space="0" w:color="auto"/>
      </w:divBdr>
    </w:div>
    <w:div w:id="1182668066">
      <w:bodyDiv w:val="1"/>
      <w:marLeft w:val="0"/>
      <w:marRight w:val="0"/>
      <w:marTop w:val="0"/>
      <w:marBottom w:val="0"/>
      <w:divBdr>
        <w:top w:val="none" w:sz="0" w:space="0" w:color="auto"/>
        <w:left w:val="none" w:sz="0" w:space="0" w:color="auto"/>
        <w:bottom w:val="none" w:sz="0" w:space="0" w:color="auto"/>
        <w:right w:val="none" w:sz="0" w:space="0" w:color="auto"/>
      </w:divBdr>
    </w:div>
    <w:div w:id="1183587141">
      <w:bodyDiv w:val="1"/>
      <w:marLeft w:val="0"/>
      <w:marRight w:val="0"/>
      <w:marTop w:val="0"/>
      <w:marBottom w:val="0"/>
      <w:divBdr>
        <w:top w:val="none" w:sz="0" w:space="0" w:color="auto"/>
        <w:left w:val="none" w:sz="0" w:space="0" w:color="auto"/>
        <w:bottom w:val="none" w:sz="0" w:space="0" w:color="auto"/>
        <w:right w:val="none" w:sz="0" w:space="0" w:color="auto"/>
      </w:divBdr>
    </w:div>
    <w:div w:id="1185486242">
      <w:bodyDiv w:val="1"/>
      <w:marLeft w:val="0"/>
      <w:marRight w:val="0"/>
      <w:marTop w:val="0"/>
      <w:marBottom w:val="0"/>
      <w:divBdr>
        <w:top w:val="none" w:sz="0" w:space="0" w:color="auto"/>
        <w:left w:val="none" w:sz="0" w:space="0" w:color="auto"/>
        <w:bottom w:val="none" w:sz="0" w:space="0" w:color="auto"/>
        <w:right w:val="none" w:sz="0" w:space="0" w:color="auto"/>
      </w:divBdr>
    </w:div>
    <w:div w:id="1186097129">
      <w:bodyDiv w:val="1"/>
      <w:marLeft w:val="0"/>
      <w:marRight w:val="0"/>
      <w:marTop w:val="0"/>
      <w:marBottom w:val="0"/>
      <w:divBdr>
        <w:top w:val="none" w:sz="0" w:space="0" w:color="auto"/>
        <w:left w:val="none" w:sz="0" w:space="0" w:color="auto"/>
        <w:bottom w:val="none" w:sz="0" w:space="0" w:color="auto"/>
        <w:right w:val="none" w:sz="0" w:space="0" w:color="auto"/>
      </w:divBdr>
    </w:div>
    <w:div w:id="1186140863">
      <w:bodyDiv w:val="1"/>
      <w:marLeft w:val="0"/>
      <w:marRight w:val="0"/>
      <w:marTop w:val="0"/>
      <w:marBottom w:val="0"/>
      <w:divBdr>
        <w:top w:val="none" w:sz="0" w:space="0" w:color="auto"/>
        <w:left w:val="none" w:sz="0" w:space="0" w:color="auto"/>
        <w:bottom w:val="none" w:sz="0" w:space="0" w:color="auto"/>
        <w:right w:val="none" w:sz="0" w:space="0" w:color="auto"/>
      </w:divBdr>
    </w:div>
    <w:div w:id="1186165573">
      <w:bodyDiv w:val="1"/>
      <w:marLeft w:val="0"/>
      <w:marRight w:val="0"/>
      <w:marTop w:val="0"/>
      <w:marBottom w:val="0"/>
      <w:divBdr>
        <w:top w:val="none" w:sz="0" w:space="0" w:color="auto"/>
        <w:left w:val="none" w:sz="0" w:space="0" w:color="auto"/>
        <w:bottom w:val="none" w:sz="0" w:space="0" w:color="auto"/>
        <w:right w:val="none" w:sz="0" w:space="0" w:color="auto"/>
      </w:divBdr>
    </w:div>
    <w:div w:id="1186750341">
      <w:bodyDiv w:val="1"/>
      <w:marLeft w:val="0"/>
      <w:marRight w:val="0"/>
      <w:marTop w:val="0"/>
      <w:marBottom w:val="0"/>
      <w:divBdr>
        <w:top w:val="none" w:sz="0" w:space="0" w:color="auto"/>
        <w:left w:val="none" w:sz="0" w:space="0" w:color="auto"/>
        <w:bottom w:val="none" w:sz="0" w:space="0" w:color="auto"/>
        <w:right w:val="none" w:sz="0" w:space="0" w:color="auto"/>
      </w:divBdr>
    </w:div>
    <w:div w:id="1187056835">
      <w:bodyDiv w:val="1"/>
      <w:marLeft w:val="0"/>
      <w:marRight w:val="0"/>
      <w:marTop w:val="0"/>
      <w:marBottom w:val="0"/>
      <w:divBdr>
        <w:top w:val="none" w:sz="0" w:space="0" w:color="auto"/>
        <w:left w:val="none" w:sz="0" w:space="0" w:color="auto"/>
        <w:bottom w:val="none" w:sz="0" w:space="0" w:color="auto"/>
        <w:right w:val="none" w:sz="0" w:space="0" w:color="auto"/>
      </w:divBdr>
    </w:div>
    <w:div w:id="1187519844">
      <w:bodyDiv w:val="1"/>
      <w:marLeft w:val="0"/>
      <w:marRight w:val="0"/>
      <w:marTop w:val="0"/>
      <w:marBottom w:val="0"/>
      <w:divBdr>
        <w:top w:val="none" w:sz="0" w:space="0" w:color="auto"/>
        <w:left w:val="none" w:sz="0" w:space="0" w:color="auto"/>
        <w:bottom w:val="none" w:sz="0" w:space="0" w:color="auto"/>
        <w:right w:val="none" w:sz="0" w:space="0" w:color="auto"/>
      </w:divBdr>
    </w:div>
    <w:div w:id="1187526030">
      <w:bodyDiv w:val="1"/>
      <w:marLeft w:val="0"/>
      <w:marRight w:val="0"/>
      <w:marTop w:val="0"/>
      <w:marBottom w:val="0"/>
      <w:divBdr>
        <w:top w:val="none" w:sz="0" w:space="0" w:color="auto"/>
        <w:left w:val="none" w:sz="0" w:space="0" w:color="auto"/>
        <w:bottom w:val="none" w:sz="0" w:space="0" w:color="auto"/>
        <w:right w:val="none" w:sz="0" w:space="0" w:color="auto"/>
      </w:divBdr>
    </w:div>
    <w:div w:id="1188256097">
      <w:bodyDiv w:val="1"/>
      <w:marLeft w:val="0"/>
      <w:marRight w:val="0"/>
      <w:marTop w:val="0"/>
      <w:marBottom w:val="0"/>
      <w:divBdr>
        <w:top w:val="none" w:sz="0" w:space="0" w:color="auto"/>
        <w:left w:val="none" w:sz="0" w:space="0" w:color="auto"/>
        <w:bottom w:val="none" w:sz="0" w:space="0" w:color="auto"/>
        <w:right w:val="none" w:sz="0" w:space="0" w:color="auto"/>
      </w:divBdr>
    </w:div>
    <w:div w:id="1190724498">
      <w:bodyDiv w:val="1"/>
      <w:marLeft w:val="0"/>
      <w:marRight w:val="0"/>
      <w:marTop w:val="0"/>
      <w:marBottom w:val="0"/>
      <w:divBdr>
        <w:top w:val="none" w:sz="0" w:space="0" w:color="auto"/>
        <w:left w:val="none" w:sz="0" w:space="0" w:color="auto"/>
        <w:bottom w:val="none" w:sz="0" w:space="0" w:color="auto"/>
        <w:right w:val="none" w:sz="0" w:space="0" w:color="auto"/>
      </w:divBdr>
    </w:div>
    <w:div w:id="1190991018">
      <w:bodyDiv w:val="1"/>
      <w:marLeft w:val="0"/>
      <w:marRight w:val="0"/>
      <w:marTop w:val="0"/>
      <w:marBottom w:val="0"/>
      <w:divBdr>
        <w:top w:val="none" w:sz="0" w:space="0" w:color="auto"/>
        <w:left w:val="none" w:sz="0" w:space="0" w:color="auto"/>
        <w:bottom w:val="none" w:sz="0" w:space="0" w:color="auto"/>
        <w:right w:val="none" w:sz="0" w:space="0" w:color="auto"/>
      </w:divBdr>
    </w:div>
    <w:div w:id="1191145547">
      <w:bodyDiv w:val="1"/>
      <w:marLeft w:val="0"/>
      <w:marRight w:val="0"/>
      <w:marTop w:val="0"/>
      <w:marBottom w:val="0"/>
      <w:divBdr>
        <w:top w:val="none" w:sz="0" w:space="0" w:color="auto"/>
        <w:left w:val="none" w:sz="0" w:space="0" w:color="auto"/>
        <w:bottom w:val="none" w:sz="0" w:space="0" w:color="auto"/>
        <w:right w:val="none" w:sz="0" w:space="0" w:color="auto"/>
      </w:divBdr>
    </w:div>
    <w:div w:id="1192187439">
      <w:bodyDiv w:val="1"/>
      <w:marLeft w:val="0"/>
      <w:marRight w:val="0"/>
      <w:marTop w:val="0"/>
      <w:marBottom w:val="0"/>
      <w:divBdr>
        <w:top w:val="none" w:sz="0" w:space="0" w:color="auto"/>
        <w:left w:val="none" w:sz="0" w:space="0" w:color="auto"/>
        <w:bottom w:val="none" w:sz="0" w:space="0" w:color="auto"/>
        <w:right w:val="none" w:sz="0" w:space="0" w:color="auto"/>
      </w:divBdr>
    </w:div>
    <w:div w:id="1192840139">
      <w:bodyDiv w:val="1"/>
      <w:marLeft w:val="0"/>
      <w:marRight w:val="0"/>
      <w:marTop w:val="0"/>
      <w:marBottom w:val="0"/>
      <w:divBdr>
        <w:top w:val="none" w:sz="0" w:space="0" w:color="auto"/>
        <w:left w:val="none" w:sz="0" w:space="0" w:color="auto"/>
        <w:bottom w:val="none" w:sz="0" w:space="0" w:color="auto"/>
        <w:right w:val="none" w:sz="0" w:space="0" w:color="auto"/>
      </w:divBdr>
    </w:div>
    <w:div w:id="1193422161">
      <w:bodyDiv w:val="1"/>
      <w:marLeft w:val="0"/>
      <w:marRight w:val="0"/>
      <w:marTop w:val="0"/>
      <w:marBottom w:val="0"/>
      <w:divBdr>
        <w:top w:val="none" w:sz="0" w:space="0" w:color="auto"/>
        <w:left w:val="none" w:sz="0" w:space="0" w:color="auto"/>
        <w:bottom w:val="none" w:sz="0" w:space="0" w:color="auto"/>
        <w:right w:val="none" w:sz="0" w:space="0" w:color="auto"/>
      </w:divBdr>
    </w:div>
    <w:div w:id="1193566555">
      <w:bodyDiv w:val="1"/>
      <w:marLeft w:val="0"/>
      <w:marRight w:val="0"/>
      <w:marTop w:val="0"/>
      <w:marBottom w:val="0"/>
      <w:divBdr>
        <w:top w:val="none" w:sz="0" w:space="0" w:color="auto"/>
        <w:left w:val="none" w:sz="0" w:space="0" w:color="auto"/>
        <w:bottom w:val="none" w:sz="0" w:space="0" w:color="auto"/>
        <w:right w:val="none" w:sz="0" w:space="0" w:color="auto"/>
      </w:divBdr>
    </w:div>
    <w:div w:id="1196772377">
      <w:bodyDiv w:val="1"/>
      <w:marLeft w:val="0"/>
      <w:marRight w:val="0"/>
      <w:marTop w:val="0"/>
      <w:marBottom w:val="0"/>
      <w:divBdr>
        <w:top w:val="none" w:sz="0" w:space="0" w:color="auto"/>
        <w:left w:val="none" w:sz="0" w:space="0" w:color="auto"/>
        <w:bottom w:val="none" w:sz="0" w:space="0" w:color="auto"/>
        <w:right w:val="none" w:sz="0" w:space="0" w:color="auto"/>
      </w:divBdr>
    </w:div>
    <w:div w:id="1197959926">
      <w:bodyDiv w:val="1"/>
      <w:marLeft w:val="0"/>
      <w:marRight w:val="0"/>
      <w:marTop w:val="0"/>
      <w:marBottom w:val="0"/>
      <w:divBdr>
        <w:top w:val="none" w:sz="0" w:space="0" w:color="auto"/>
        <w:left w:val="none" w:sz="0" w:space="0" w:color="auto"/>
        <w:bottom w:val="none" w:sz="0" w:space="0" w:color="auto"/>
        <w:right w:val="none" w:sz="0" w:space="0" w:color="auto"/>
      </w:divBdr>
    </w:div>
    <w:div w:id="1198273165">
      <w:bodyDiv w:val="1"/>
      <w:marLeft w:val="0"/>
      <w:marRight w:val="0"/>
      <w:marTop w:val="0"/>
      <w:marBottom w:val="0"/>
      <w:divBdr>
        <w:top w:val="none" w:sz="0" w:space="0" w:color="auto"/>
        <w:left w:val="none" w:sz="0" w:space="0" w:color="auto"/>
        <w:bottom w:val="none" w:sz="0" w:space="0" w:color="auto"/>
        <w:right w:val="none" w:sz="0" w:space="0" w:color="auto"/>
      </w:divBdr>
    </w:div>
    <w:div w:id="1198662906">
      <w:bodyDiv w:val="1"/>
      <w:marLeft w:val="0"/>
      <w:marRight w:val="0"/>
      <w:marTop w:val="0"/>
      <w:marBottom w:val="0"/>
      <w:divBdr>
        <w:top w:val="none" w:sz="0" w:space="0" w:color="auto"/>
        <w:left w:val="none" w:sz="0" w:space="0" w:color="auto"/>
        <w:bottom w:val="none" w:sz="0" w:space="0" w:color="auto"/>
        <w:right w:val="none" w:sz="0" w:space="0" w:color="auto"/>
      </w:divBdr>
    </w:div>
    <w:div w:id="1198740504">
      <w:bodyDiv w:val="1"/>
      <w:marLeft w:val="0"/>
      <w:marRight w:val="0"/>
      <w:marTop w:val="0"/>
      <w:marBottom w:val="0"/>
      <w:divBdr>
        <w:top w:val="none" w:sz="0" w:space="0" w:color="auto"/>
        <w:left w:val="none" w:sz="0" w:space="0" w:color="auto"/>
        <w:bottom w:val="none" w:sz="0" w:space="0" w:color="auto"/>
        <w:right w:val="none" w:sz="0" w:space="0" w:color="auto"/>
      </w:divBdr>
    </w:div>
    <w:div w:id="1199128778">
      <w:bodyDiv w:val="1"/>
      <w:marLeft w:val="0"/>
      <w:marRight w:val="0"/>
      <w:marTop w:val="0"/>
      <w:marBottom w:val="0"/>
      <w:divBdr>
        <w:top w:val="none" w:sz="0" w:space="0" w:color="auto"/>
        <w:left w:val="none" w:sz="0" w:space="0" w:color="auto"/>
        <w:bottom w:val="none" w:sz="0" w:space="0" w:color="auto"/>
        <w:right w:val="none" w:sz="0" w:space="0" w:color="auto"/>
      </w:divBdr>
    </w:div>
    <w:div w:id="1199704916">
      <w:bodyDiv w:val="1"/>
      <w:marLeft w:val="0"/>
      <w:marRight w:val="0"/>
      <w:marTop w:val="0"/>
      <w:marBottom w:val="0"/>
      <w:divBdr>
        <w:top w:val="none" w:sz="0" w:space="0" w:color="auto"/>
        <w:left w:val="none" w:sz="0" w:space="0" w:color="auto"/>
        <w:bottom w:val="none" w:sz="0" w:space="0" w:color="auto"/>
        <w:right w:val="none" w:sz="0" w:space="0" w:color="auto"/>
      </w:divBdr>
    </w:div>
    <w:div w:id="1200045448">
      <w:bodyDiv w:val="1"/>
      <w:marLeft w:val="0"/>
      <w:marRight w:val="0"/>
      <w:marTop w:val="0"/>
      <w:marBottom w:val="0"/>
      <w:divBdr>
        <w:top w:val="none" w:sz="0" w:space="0" w:color="auto"/>
        <w:left w:val="none" w:sz="0" w:space="0" w:color="auto"/>
        <w:bottom w:val="none" w:sz="0" w:space="0" w:color="auto"/>
        <w:right w:val="none" w:sz="0" w:space="0" w:color="auto"/>
      </w:divBdr>
    </w:div>
    <w:div w:id="1200779869">
      <w:bodyDiv w:val="1"/>
      <w:marLeft w:val="0"/>
      <w:marRight w:val="0"/>
      <w:marTop w:val="0"/>
      <w:marBottom w:val="0"/>
      <w:divBdr>
        <w:top w:val="none" w:sz="0" w:space="0" w:color="auto"/>
        <w:left w:val="none" w:sz="0" w:space="0" w:color="auto"/>
        <w:bottom w:val="none" w:sz="0" w:space="0" w:color="auto"/>
        <w:right w:val="none" w:sz="0" w:space="0" w:color="auto"/>
      </w:divBdr>
    </w:div>
    <w:div w:id="1202285073">
      <w:bodyDiv w:val="1"/>
      <w:marLeft w:val="0"/>
      <w:marRight w:val="0"/>
      <w:marTop w:val="0"/>
      <w:marBottom w:val="0"/>
      <w:divBdr>
        <w:top w:val="none" w:sz="0" w:space="0" w:color="auto"/>
        <w:left w:val="none" w:sz="0" w:space="0" w:color="auto"/>
        <w:bottom w:val="none" w:sz="0" w:space="0" w:color="auto"/>
        <w:right w:val="none" w:sz="0" w:space="0" w:color="auto"/>
      </w:divBdr>
    </w:div>
    <w:div w:id="1202472932">
      <w:bodyDiv w:val="1"/>
      <w:marLeft w:val="0"/>
      <w:marRight w:val="0"/>
      <w:marTop w:val="0"/>
      <w:marBottom w:val="0"/>
      <w:divBdr>
        <w:top w:val="none" w:sz="0" w:space="0" w:color="auto"/>
        <w:left w:val="none" w:sz="0" w:space="0" w:color="auto"/>
        <w:bottom w:val="none" w:sz="0" w:space="0" w:color="auto"/>
        <w:right w:val="none" w:sz="0" w:space="0" w:color="auto"/>
      </w:divBdr>
    </w:div>
    <w:div w:id="1202476750">
      <w:bodyDiv w:val="1"/>
      <w:marLeft w:val="0"/>
      <w:marRight w:val="0"/>
      <w:marTop w:val="0"/>
      <w:marBottom w:val="0"/>
      <w:divBdr>
        <w:top w:val="none" w:sz="0" w:space="0" w:color="auto"/>
        <w:left w:val="none" w:sz="0" w:space="0" w:color="auto"/>
        <w:bottom w:val="none" w:sz="0" w:space="0" w:color="auto"/>
        <w:right w:val="none" w:sz="0" w:space="0" w:color="auto"/>
      </w:divBdr>
    </w:div>
    <w:div w:id="1202594665">
      <w:bodyDiv w:val="1"/>
      <w:marLeft w:val="0"/>
      <w:marRight w:val="0"/>
      <w:marTop w:val="0"/>
      <w:marBottom w:val="0"/>
      <w:divBdr>
        <w:top w:val="none" w:sz="0" w:space="0" w:color="auto"/>
        <w:left w:val="none" w:sz="0" w:space="0" w:color="auto"/>
        <w:bottom w:val="none" w:sz="0" w:space="0" w:color="auto"/>
        <w:right w:val="none" w:sz="0" w:space="0" w:color="auto"/>
      </w:divBdr>
    </w:div>
    <w:div w:id="1202744142">
      <w:bodyDiv w:val="1"/>
      <w:marLeft w:val="0"/>
      <w:marRight w:val="0"/>
      <w:marTop w:val="0"/>
      <w:marBottom w:val="0"/>
      <w:divBdr>
        <w:top w:val="none" w:sz="0" w:space="0" w:color="auto"/>
        <w:left w:val="none" w:sz="0" w:space="0" w:color="auto"/>
        <w:bottom w:val="none" w:sz="0" w:space="0" w:color="auto"/>
        <w:right w:val="none" w:sz="0" w:space="0" w:color="auto"/>
      </w:divBdr>
    </w:div>
    <w:div w:id="1203403535">
      <w:bodyDiv w:val="1"/>
      <w:marLeft w:val="0"/>
      <w:marRight w:val="0"/>
      <w:marTop w:val="0"/>
      <w:marBottom w:val="0"/>
      <w:divBdr>
        <w:top w:val="none" w:sz="0" w:space="0" w:color="auto"/>
        <w:left w:val="none" w:sz="0" w:space="0" w:color="auto"/>
        <w:bottom w:val="none" w:sz="0" w:space="0" w:color="auto"/>
        <w:right w:val="none" w:sz="0" w:space="0" w:color="auto"/>
      </w:divBdr>
    </w:div>
    <w:div w:id="1205173279">
      <w:bodyDiv w:val="1"/>
      <w:marLeft w:val="0"/>
      <w:marRight w:val="0"/>
      <w:marTop w:val="0"/>
      <w:marBottom w:val="0"/>
      <w:divBdr>
        <w:top w:val="none" w:sz="0" w:space="0" w:color="auto"/>
        <w:left w:val="none" w:sz="0" w:space="0" w:color="auto"/>
        <w:bottom w:val="none" w:sz="0" w:space="0" w:color="auto"/>
        <w:right w:val="none" w:sz="0" w:space="0" w:color="auto"/>
      </w:divBdr>
    </w:div>
    <w:div w:id="1206521878">
      <w:bodyDiv w:val="1"/>
      <w:marLeft w:val="0"/>
      <w:marRight w:val="0"/>
      <w:marTop w:val="0"/>
      <w:marBottom w:val="0"/>
      <w:divBdr>
        <w:top w:val="none" w:sz="0" w:space="0" w:color="auto"/>
        <w:left w:val="none" w:sz="0" w:space="0" w:color="auto"/>
        <w:bottom w:val="none" w:sz="0" w:space="0" w:color="auto"/>
        <w:right w:val="none" w:sz="0" w:space="0" w:color="auto"/>
      </w:divBdr>
    </w:div>
    <w:div w:id="1206790087">
      <w:bodyDiv w:val="1"/>
      <w:marLeft w:val="0"/>
      <w:marRight w:val="0"/>
      <w:marTop w:val="0"/>
      <w:marBottom w:val="0"/>
      <w:divBdr>
        <w:top w:val="none" w:sz="0" w:space="0" w:color="auto"/>
        <w:left w:val="none" w:sz="0" w:space="0" w:color="auto"/>
        <w:bottom w:val="none" w:sz="0" w:space="0" w:color="auto"/>
        <w:right w:val="none" w:sz="0" w:space="0" w:color="auto"/>
      </w:divBdr>
    </w:div>
    <w:div w:id="1207836191">
      <w:bodyDiv w:val="1"/>
      <w:marLeft w:val="0"/>
      <w:marRight w:val="0"/>
      <w:marTop w:val="0"/>
      <w:marBottom w:val="0"/>
      <w:divBdr>
        <w:top w:val="none" w:sz="0" w:space="0" w:color="auto"/>
        <w:left w:val="none" w:sz="0" w:space="0" w:color="auto"/>
        <w:bottom w:val="none" w:sz="0" w:space="0" w:color="auto"/>
        <w:right w:val="none" w:sz="0" w:space="0" w:color="auto"/>
      </w:divBdr>
    </w:div>
    <w:div w:id="1208759824">
      <w:bodyDiv w:val="1"/>
      <w:marLeft w:val="0"/>
      <w:marRight w:val="0"/>
      <w:marTop w:val="0"/>
      <w:marBottom w:val="0"/>
      <w:divBdr>
        <w:top w:val="none" w:sz="0" w:space="0" w:color="auto"/>
        <w:left w:val="none" w:sz="0" w:space="0" w:color="auto"/>
        <w:bottom w:val="none" w:sz="0" w:space="0" w:color="auto"/>
        <w:right w:val="none" w:sz="0" w:space="0" w:color="auto"/>
      </w:divBdr>
    </w:div>
    <w:div w:id="1209225886">
      <w:bodyDiv w:val="1"/>
      <w:marLeft w:val="300"/>
      <w:marRight w:val="300"/>
      <w:marTop w:val="0"/>
      <w:marBottom w:val="0"/>
      <w:divBdr>
        <w:top w:val="none" w:sz="0" w:space="0" w:color="auto"/>
        <w:left w:val="none" w:sz="0" w:space="0" w:color="auto"/>
        <w:bottom w:val="none" w:sz="0" w:space="0" w:color="auto"/>
        <w:right w:val="none" w:sz="0" w:space="0" w:color="auto"/>
      </w:divBdr>
      <w:divsChild>
        <w:div w:id="750010244">
          <w:marLeft w:val="0"/>
          <w:marRight w:val="0"/>
          <w:marTop w:val="0"/>
          <w:marBottom w:val="0"/>
          <w:divBdr>
            <w:top w:val="none" w:sz="0" w:space="0" w:color="auto"/>
            <w:left w:val="none" w:sz="0" w:space="0" w:color="auto"/>
            <w:bottom w:val="none" w:sz="0" w:space="0" w:color="auto"/>
            <w:right w:val="none" w:sz="0" w:space="0" w:color="auto"/>
          </w:divBdr>
          <w:divsChild>
            <w:div w:id="621765934">
              <w:marLeft w:val="225"/>
              <w:marRight w:val="0"/>
              <w:marTop w:val="0"/>
              <w:marBottom w:val="72"/>
              <w:divBdr>
                <w:top w:val="none" w:sz="0" w:space="0" w:color="auto"/>
                <w:left w:val="none" w:sz="0" w:space="0" w:color="auto"/>
                <w:bottom w:val="none" w:sz="0" w:space="0" w:color="auto"/>
                <w:right w:val="none" w:sz="0" w:space="0" w:color="auto"/>
              </w:divBdr>
            </w:div>
          </w:divsChild>
        </w:div>
      </w:divsChild>
    </w:div>
    <w:div w:id="1210416128">
      <w:bodyDiv w:val="1"/>
      <w:marLeft w:val="0"/>
      <w:marRight w:val="0"/>
      <w:marTop w:val="0"/>
      <w:marBottom w:val="0"/>
      <w:divBdr>
        <w:top w:val="none" w:sz="0" w:space="0" w:color="auto"/>
        <w:left w:val="none" w:sz="0" w:space="0" w:color="auto"/>
        <w:bottom w:val="none" w:sz="0" w:space="0" w:color="auto"/>
        <w:right w:val="none" w:sz="0" w:space="0" w:color="auto"/>
      </w:divBdr>
    </w:div>
    <w:div w:id="1210609248">
      <w:bodyDiv w:val="1"/>
      <w:marLeft w:val="0"/>
      <w:marRight w:val="0"/>
      <w:marTop w:val="0"/>
      <w:marBottom w:val="0"/>
      <w:divBdr>
        <w:top w:val="none" w:sz="0" w:space="0" w:color="auto"/>
        <w:left w:val="none" w:sz="0" w:space="0" w:color="auto"/>
        <w:bottom w:val="none" w:sz="0" w:space="0" w:color="auto"/>
        <w:right w:val="none" w:sz="0" w:space="0" w:color="auto"/>
      </w:divBdr>
    </w:div>
    <w:div w:id="1214316566">
      <w:bodyDiv w:val="1"/>
      <w:marLeft w:val="0"/>
      <w:marRight w:val="0"/>
      <w:marTop w:val="0"/>
      <w:marBottom w:val="0"/>
      <w:divBdr>
        <w:top w:val="none" w:sz="0" w:space="0" w:color="auto"/>
        <w:left w:val="none" w:sz="0" w:space="0" w:color="auto"/>
        <w:bottom w:val="none" w:sz="0" w:space="0" w:color="auto"/>
        <w:right w:val="none" w:sz="0" w:space="0" w:color="auto"/>
      </w:divBdr>
    </w:div>
    <w:div w:id="1214660327">
      <w:bodyDiv w:val="1"/>
      <w:marLeft w:val="0"/>
      <w:marRight w:val="0"/>
      <w:marTop w:val="0"/>
      <w:marBottom w:val="0"/>
      <w:divBdr>
        <w:top w:val="none" w:sz="0" w:space="0" w:color="auto"/>
        <w:left w:val="none" w:sz="0" w:space="0" w:color="auto"/>
        <w:bottom w:val="none" w:sz="0" w:space="0" w:color="auto"/>
        <w:right w:val="none" w:sz="0" w:space="0" w:color="auto"/>
      </w:divBdr>
    </w:div>
    <w:div w:id="1215586629">
      <w:bodyDiv w:val="1"/>
      <w:marLeft w:val="0"/>
      <w:marRight w:val="0"/>
      <w:marTop w:val="0"/>
      <w:marBottom w:val="0"/>
      <w:divBdr>
        <w:top w:val="none" w:sz="0" w:space="0" w:color="auto"/>
        <w:left w:val="none" w:sz="0" w:space="0" w:color="auto"/>
        <w:bottom w:val="none" w:sz="0" w:space="0" w:color="auto"/>
        <w:right w:val="none" w:sz="0" w:space="0" w:color="auto"/>
      </w:divBdr>
    </w:div>
    <w:div w:id="1217663004">
      <w:bodyDiv w:val="1"/>
      <w:marLeft w:val="0"/>
      <w:marRight w:val="0"/>
      <w:marTop w:val="0"/>
      <w:marBottom w:val="0"/>
      <w:divBdr>
        <w:top w:val="none" w:sz="0" w:space="0" w:color="auto"/>
        <w:left w:val="none" w:sz="0" w:space="0" w:color="auto"/>
        <w:bottom w:val="none" w:sz="0" w:space="0" w:color="auto"/>
        <w:right w:val="none" w:sz="0" w:space="0" w:color="auto"/>
      </w:divBdr>
    </w:div>
    <w:div w:id="1217816780">
      <w:bodyDiv w:val="1"/>
      <w:marLeft w:val="0"/>
      <w:marRight w:val="0"/>
      <w:marTop w:val="0"/>
      <w:marBottom w:val="0"/>
      <w:divBdr>
        <w:top w:val="none" w:sz="0" w:space="0" w:color="auto"/>
        <w:left w:val="none" w:sz="0" w:space="0" w:color="auto"/>
        <w:bottom w:val="none" w:sz="0" w:space="0" w:color="auto"/>
        <w:right w:val="none" w:sz="0" w:space="0" w:color="auto"/>
      </w:divBdr>
    </w:div>
    <w:div w:id="1218475922">
      <w:bodyDiv w:val="1"/>
      <w:marLeft w:val="0"/>
      <w:marRight w:val="0"/>
      <w:marTop w:val="0"/>
      <w:marBottom w:val="0"/>
      <w:divBdr>
        <w:top w:val="none" w:sz="0" w:space="0" w:color="auto"/>
        <w:left w:val="none" w:sz="0" w:space="0" w:color="auto"/>
        <w:bottom w:val="none" w:sz="0" w:space="0" w:color="auto"/>
        <w:right w:val="none" w:sz="0" w:space="0" w:color="auto"/>
      </w:divBdr>
    </w:div>
    <w:div w:id="1219511892">
      <w:bodyDiv w:val="1"/>
      <w:marLeft w:val="0"/>
      <w:marRight w:val="0"/>
      <w:marTop w:val="0"/>
      <w:marBottom w:val="0"/>
      <w:divBdr>
        <w:top w:val="none" w:sz="0" w:space="0" w:color="auto"/>
        <w:left w:val="none" w:sz="0" w:space="0" w:color="auto"/>
        <w:bottom w:val="none" w:sz="0" w:space="0" w:color="auto"/>
        <w:right w:val="none" w:sz="0" w:space="0" w:color="auto"/>
      </w:divBdr>
    </w:div>
    <w:div w:id="1219904539">
      <w:bodyDiv w:val="1"/>
      <w:marLeft w:val="0"/>
      <w:marRight w:val="0"/>
      <w:marTop w:val="0"/>
      <w:marBottom w:val="0"/>
      <w:divBdr>
        <w:top w:val="none" w:sz="0" w:space="0" w:color="auto"/>
        <w:left w:val="none" w:sz="0" w:space="0" w:color="auto"/>
        <w:bottom w:val="none" w:sz="0" w:space="0" w:color="auto"/>
        <w:right w:val="none" w:sz="0" w:space="0" w:color="auto"/>
      </w:divBdr>
    </w:div>
    <w:div w:id="1220289324">
      <w:bodyDiv w:val="1"/>
      <w:marLeft w:val="0"/>
      <w:marRight w:val="0"/>
      <w:marTop w:val="0"/>
      <w:marBottom w:val="0"/>
      <w:divBdr>
        <w:top w:val="none" w:sz="0" w:space="0" w:color="auto"/>
        <w:left w:val="none" w:sz="0" w:space="0" w:color="auto"/>
        <w:bottom w:val="none" w:sz="0" w:space="0" w:color="auto"/>
        <w:right w:val="none" w:sz="0" w:space="0" w:color="auto"/>
      </w:divBdr>
    </w:div>
    <w:div w:id="1220943496">
      <w:bodyDiv w:val="1"/>
      <w:marLeft w:val="0"/>
      <w:marRight w:val="0"/>
      <w:marTop w:val="0"/>
      <w:marBottom w:val="0"/>
      <w:divBdr>
        <w:top w:val="none" w:sz="0" w:space="0" w:color="auto"/>
        <w:left w:val="none" w:sz="0" w:space="0" w:color="auto"/>
        <w:bottom w:val="none" w:sz="0" w:space="0" w:color="auto"/>
        <w:right w:val="none" w:sz="0" w:space="0" w:color="auto"/>
      </w:divBdr>
    </w:div>
    <w:div w:id="1221792460">
      <w:bodyDiv w:val="1"/>
      <w:marLeft w:val="0"/>
      <w:marRight w:val="0"/>
      <w:marTop w:val="0"/>
      <w:marBottom w:val="0"/>
      <w:divBdr>
        <w:top w:val="none" w:sz="0" w:space="0" w:color="auto"/>
        <w:left w:val="none" w:sz="0" w:space="0" w:color="auto"/>
        <w:bottom w:val="none" w:sz="0" w:space="0" w:color="auto"/>
        <w:right w:val="none" w:sz="0" w:space="0" w:color="auto"/>
      </w:divBdr>
    </w:div>
    <w:div w:id="1222015334">
      <w:bodyDiv w:val="1"/>
      <w:marLeft w:val="0"/>
      <w:marRight w:val="0"/>
      <w:marTop w:val="0"/>
      <w:marBottom w:val="0"/>
      <w:divBdr>
        <w:top w:val="none" w:sz="0" w:space="0" w:color="auto"/>
        <w:left w:val="none" w:sz="0" w:space="0" w:color="auto"/>
        <w:bottom w:val="none" w:sz="0" w:space="0" w:color="auto"/>
        <w:right w:val="none" w:sz="0" w:space="0" w:color="auto"/>
      </w:divBdr>
    </w:div>
    <w:div w:id="1222247695">
      <w:bodyDiv w:val="1"/>
      <w:marLeft w:val="0"/>
      <w:marRight w:val="0"/>
      <w:marTop w:val="0"/>
      <w:marBottom w:val="0"/>
      <w:divBdr>
        <w:top w:val="none" w:sz="0" w:space="0" w:color="auto"/>
        <w:left w:val="none" w:sz="0" w:space="0" w:color="auto"/>
        <w:bottom w:val="none" w:sz="0" w:space="0" w:color="auto"/>
        <w:right w:val="none" w:sz="0" w:space="0" w:color="auto"/>
      </w:divBdr>
    </w:div>
    <w:div w:id="1222447433">
      <w:bodyDiv w:val="1"/>
      <w:marLeft w:val="0"/>
      <w:marRight w:val="0"/>
      <w:marTop w:val="0"/>
      <w:marBottom w:val="0"/>
      <w:divBdr>
        <w:top w:val="none" w:sz="0" w:space="0" w:color="auto"/>
        <w:left w:val="none" w:sz="0" w:space="0" w:color="auto"/>
        <w:bottom w:val="none" w:sz="0" w:space="0" w:color="auto"/>
        <w:right w:val="none" w:sz="0" w:space="0" w:color="auto"/>
      </w:divBdr>
    </w:div>
    <w:div w:id="1223447159">
      <w:bodyDiv w:val="1"/>
      <w:marLeft w:val="0"/>
      <w:marRight w:val="0"/>
      <w:marTop w:val="0"/>
      <w:marBottom w:val="0"/>
      <w:divBdr>
        <w:top w:val="none" w:sz="0" w:space="0" w:color="auto"/>
        <w:left w:val="none" w:sz="0" w:space="0" w:color="auto"/>
        <w:bottom w:val="none" w:sz="0" w:space="0" w:color="auto"/>
        <w:right w:val="none" w:sz="0" w:space="0" w:color="auto"/>
      </w:divBdr>
    </w:div>
    <w:div w:id="1223755876">
      <w:bodyDiv w:val="1"/>
      <w:marLeft w:val="0"/>
      <w:marRight w:val="0"/>
      <w:marTop w:val="0"/>
      <w:marBottom w:val="0"/>
      <w:divBdr>
        <w:top w:val="none" w:sz="0" w:space="0" w:color="auto"/>
        <w:left w:val="none" w:sz="0" w:space="0" w:color="auto"/>
        <w:bottom w:val="none" w:sz="0" w:space="0" w:color="auto"/>
        <w:right w:val="none" w:sz="0" w:space="0" w:color="auto"/>
      </w:divBdr>
    </w:div>
    <w:div w:id="1224413006">
      <w:bodyDiv w:val="1"/>
      <w:marLeft w:val="0"/>
      <w:marRight w:val="0"/>
      <w:marTop w:val="0"/>
      <w:marBottom w:val="0"/>
      <w:divBdr>
        <w:top w:val="none" w:sz="0" w:space="0" w:color="auto"/>
        <w:left w:val="none" w:sz="0" w:space="0" w:color="auto"/>
        <w:bottom w:val="none" w:sz="0" w:space="0" w:color="auto"/>
        <w:right w:val="none" w:sz="0" w:space="0" w:color="auto"/>
      </w:divBdr>
    </w:div>
    <w:div w:id="1224483107">
      <w:bodyDiv w:val="1"/>
      <w:marLeft w:val="0"/>
      <w:marRight w:val="0"/>
      <w:marTop w:val="0"/>
      <w:marBottom w:val="0"/>
      <w:divBdr>
        <w:top w:val="none" w:sz="0" w:space="0" w:color="auto"/>
        <w:left w:val="none" w:sz="0" w:space="0" w:color="auto"/>
        <w:bottom w:val="none" w:sz="0" w:space="0" w:color="auto"/>
        <w:right w:val="none" w:sz="0" w:space="0" w:color="auto"/>
      </w:divBdr>
    </w:div>
    <w:div w:id="1224609165">
      <w:bodyDiv w:val="1"/>
      <w:marLeft w:val="0"/>
      <w:marRight w:val="0"/>
      <w:marTop w:val="0"/>
      <w:marBottom w:val="0"/>
      <w:divBdr>
        <w:top w:val="none" w:sz="0" w:space="0" w:color="auto"/>
        <w:left w:val="none" w:sz="0" w:space="0" w:color="auto"/>
        <w:bottom w:val="none" w:sz="0" w:space="0" w:color="auto"/>
        <w:right w:val="none" w:sz="0" w:space="0" w:color="auto"/>
      </w:divBdr>
    </w:div>
    <w:div w:id="1225140069">
      <w:bodyDiv w:val="1"/>
      <w:marLeft w:val="0"/>
      <w:marRight w:val="0"/>
      <w:marTop w:val="0"/>
      <w:marBottom w:val="0"/>
      <w:divBdr>
        <w:top w:val="none" w:sz="0" w:space="0" w:color="auto"/>
        <w:left w:val="none" w:sz="0" w:space="0" w:color="auto"/>
        <w:bottom w:val="none" w:sz="0" w:space="0" w:color="auto"/>
        <w:right w:val="none" w:sz="0" w:space="0" w:color="auto"/>
      </w:divBdr>
    </w:div>
    <w:div w:id="1226378058">
      <w:bodyDiv w:val="1"/>
      <w:marLeft w:val="0"/>
      <w:marRight w:val="0"/>
      <w:marTop w:val="0"/>
      <w:marBottom w:val="0"/>
      <w:divBdr>
        <w:top w:val="none" w:sz="0" w:space="0" w:color="auto"/>
        <w:left w:val="none" w:sz="0" w:space="0" w:color="auto"/>
        <w:bottom w:val="none" w:sz="0" w:space="0" w:color="auto"/>
        <w:right w:val="none" w:sz="0" w:space="0" w:color="auto"/>
      </w:divBdr>
    </w:div>
    <w:div w:id="1226601135">
      <w:bodyDiv w:val="1"/>
      <w:marLeft w:val="0"/>
      <w:marRight w:val="0"/>
      <w:marTop w:val="0"/>
      <w:marBottom w:val="0"/>
      <w:divBdr>
        <w:top w:val="none" w:sz="0" w:space="0" w:color="auto"/>
        <w:left w:val="none" w:sz="0" w:space="0" w:color="auto"/>
        <w:bottom w:val="none" w:sz="0" w:space="0" w:color="auto"/>
        <w:right w:val="none" w:sz="0" w:space="0" w:color="auto"/>
      </w:divBdr>
    </w:div>
    <w:div w:id="1227105546">
      <w:bodyDiv w:val="1"/>
      <w:marLeft w:val="0"/>
      <w:marRight w:val="0"/>
      <w:marTop w:val="0"/>
      <w:marBottom w:val="0"/>
      <w:divBdr>
        <w:top w:val="none" w:sz="0" w:space="0" w:color="auto"/>
        <w:left w:val="none" w:sz="0" w:space="0" w:color="auto"/>
        <w:bottom w:val="none" w:sz="0" w:space="0" w:color="auto"/>
        <w:right w:val="none" w:sz="0" w:space="0" w:color="auto"/>
      </w:divBdr>
    </w:div>
    <w:div w:id="1227568385">
      <w:bodyDiv w:val="1"/>
      <w:marLeft w:val="0"/>
      <w:marRight w:val="0"/>
      <w:marTop w:val="0"/>
      <w:marBottom w:val="0"/>
      <w:divBdr>
        <w:top w:val="none" w:sz="0" w:space="0" w:color="auto"/>
        <w:left w:val="none" w:sz="0" w:space="0" w:color="auto"/>
        <w:bottom w:val="none" w:sz="0" w:space="0" w:color="auto"/>
        <w:right w:val="none" w:sz="0" w:space="0" w:color="auto"/>
      </w:divBdr>
    </w:div>
    <w:div w:id="1227766876">
      <w:bodyDiv w:val="1"/>
      <w:marLeft w:val="0"/>
      <w:marRight w:val="0"/>
      <w:marTop w:val="0"/>
      <w:marBottom w:val="0"/>
      <w:divBdr>
        <w:top w:val="none" w:sz="0" w:space="0" w:color="auto"/>
        <w:left w:val="none" w:sz="0" w:space="0" w:color="auto"/>
        <w:bottom w:val="none" w:sz="0" w:space="0" w:color="auto"/>
        <w:right w:val="none" w:sz="0" w:space="0" w:color="auto"/>
      </w:divBdr>
    </w:div>
    <w:div w:id="1227836220">
      <w:bodyDiv w:val="1"/>
      <w:marLeft w:val="0"/>
      <w:marRight w:val="0"/>
      <w:marTop w:val="0"/>
      <w:marBottom w:val="0"/>
      <w:divBdr>
        <w:top w:val="none" w:sz="0" w:space="0" w:color="auto"/>
        <w:left w:val="none" w:sz="0" w:space="0" w:color="auto"/>
        <w:bottom w:val="none" w:sz="0" w:space="0" w:color="auto"/>
        <w:right w:val="none" w:sz="0" w:space="0" w:color="auto"/>
      </w:divBdr>
    </w:div>
    <w:div w:id="1228033035">
      <w:bodyDiv w:val="1"/>
      <w:marLeft w:val="0"/>
      <w:marRight w:val="0"/>
      <w:marTop w:val="0"/>
      <w:marBottom w:val="0"/>
      <w:divBdr>
        <w:top w:val="none" w:sz="0" w:space="0" w:color="auto"/>
        <w:left w:val="none" w:sz="0" w:space="0" w:color="auto"/>
        <w:bottom w:val="none" w:sz="0" w:space="0" w:color="auto"/>
        <w:right w:val="none" w:sz="0" w:space="0" w:color="auto"/>
      </w:divBdr>
    </w:div>
    <w:div w:id="1228222495">
      <w:bodyDiv w:val="1"/>
      <w:marLeft w:val="0"/>
      <w:marRight w:val="0"/>
      <w:marTop w:val="0"/>
      <w:marBottom w:val="0"/>
      <w:divBdr>
        <w:top w:val="none" w:sz="0" w:space="0" w:color="auto"/>
        <w:left w:val="none" w:sz="0" w:space="0" w:color="auto"/>
        <w:bottom w:val="none" w:sz="0" w:space="0" w:color="auto"/>
        <w:right w:val="none" w:sz="0" w:space="0" w:color="auto"/>
      </w:divBdr>
    </w:div>
    <w:div w:id="1228302753">
      <w:bodyDiv w:val="1"/>
      <w:marLeft w:val="0"/>
      <w:marRight w:val="0"/>
      <w:marTop w:val="0"/>
      <w:marBottom w:val="0"/>
      <w:divBdr>
        <w:top w:val="none" w:sz="0" w:space="0" w:color="auto"/>
        <w:left w:val="none" w:sz="0" w:space="0" w:color="auto"/>
        <w:bottom w:val="none" w:sz="0" w:space="0" w:color="auto"/>
        <w:right w:val="none" w:sz="0" w:space="0" w:color="auto"/>
      </w:divBdr>
    </w:div>
    <w:div w:id="1229194882">
      <w:bodyDiv w:val="1"/>
      <w:marLeft w:val="0"/>
      <w:marRight w:val="0"/>
      <w:marTop w:val="0"/>
      <w:marBottom w:val="0"/>
      <w:divBdr>
        <w:top w:val="none" w:sz="0" w:space="0" w:color="auto"/>
        <w:left w:val="none" w:sz="0" w:space="0" w:color="auto"/>
        <w:bottom w:val="none" w:sz="0" w:space="0" w:color="auto"/>
        <w:right w:val="none" w:sz="0" w:space="0" w:color="auto"/>
      </w:divBdr>
    </w:div>
    <w:div w:id="1229658006">
      <w:bodyDiv w:val="1"/>
      <w:marLeft w:val="0"/>
      <w:marRight w:val="0"/>
      <w:marTop w:val="0"/>
      <w:marBottom w:val="0"/>
      <w:divBdr>
        <w:top w:val="none" w:sz="0" w:space="0" w:color="auto"/>
        <w:left w:val="none" w:sz="0" w:space="0" w:color="auto"/>
        <w:bottom w:val="none" w:sz="0" w:space="0" w:color="auto"/>
        <w:right w:val="none" w:sz="0" w:space="0" w:color="auto"/>
      </w:divBdr>
    </w:div>
    <w:div w:id="1230381406">
      <w:bodyDiv w:val="1"/>
      <w:marLeft w:val="0"/>
      <w:marRight w:val="0"/>
      <w:marTop w:val="0"/>
      <w:marBottom w:val="0"/>
      <w:divBdr>
        <w:top w:val="none" w:sz="0" w:space="0" w:color="auto"/>
        <w:left w:val="none" w:sz="0" w:space="0" w:color="auto"/>
        <w:bottom w:val="none" w:sz="0" w:space="0" w:color="auto"/>
        <w:right w:val="none" w:sz="0" w:space="0" w:color="auto"/>
      </w:divBdr>
    </w:div>
    <w:div w:id="1233539444">
      <w:bodyDiv w:val="1"/>
      <w:marLeft w:val="0"/>
      <w:marRight w:val="0"/>
      <w:marTop w:val="0"/>
      <w:marBottom w:val="0"/>
      <w:divBdr>
        <w:top w:val="none" w:sz="0" w:space="0" w:color="auto"/>
        <w:left w:val="none" w:sz="0" w:space="0" w:color="auto"/>
        <w:bottom w:val="none" w:sz="0" w:space="0" w:color="auto"/>
        <w:right w:val="none" w:sz="0" w:space="0" w:color="auto"/>
      </w:divBdr>
    </w:div>
    <w:div w:id="1234463714">
      <w:bodyDiv w:val="1"/>
      <w:marLeft w:val="0"/>
      <w:marRight w:val="0"/>
      <w:marTop w:val="0"/>
      <w:marBottom w:val="0"/>
      <w:divBdr>
        <w:top w:val="none" w:sz="0" w:space="0" w:color="auto"/>
        <w:left w:val="none" w:sz="0" w:space="0" w:color="auto"/>
        <w:bottom w:val="none" w:sz="0" w:space="0" w:color="auto"/>
        <w:right w:val="none" w:sz="0" w:space="0" w:color="auto"/>
      </w:divBdr>
    </w:div>
    <w:div w:id="1234588599">
      <w:bodyDiv w:val="1"/>
      <w:marLeft w:val="0"/>
      <w:marRight w:val="0"/>
      <w:marTop w:val="0"/>
      <w:marBottom w:val="0"/>
      <w:divBdr>
        <w:top w:val="none" w:sz="0" w:space="0" w:color="auto"/>
        <w:left w:val="none" w:sz="0" w:space="0" w:color="auto"/>
        <w:bottom w:val="none" w:sz="0" w:space="0" w:color="auto"/>
        <w:right w:val="none" w:sz="0" w:space="0" w:color="auto"/>
      </w:divBdr>
    </w:div>
    <w:div w:id="1235163065">
      <w:bodyDiv w:val="1"/>
      <w:marLeft w:val="0"/>
      <w:marRight w:val="0"/>
      <w:marTop w:val="0"/>
      <w:marBottom w:val="0"/>
      <w:divBdr>
        <w:top w:val="none" w:sz="0" w:space="0" w:color="auto"/>
        <w:left w:val="none" w:sz="0" w:space="0" w:color="auto"/>
        <w:bottom w:val="none" w:sz="0" w:space="0" w:color="auto"/>
        <w:right w:val="none" w:sz="0" w:space="0" w:color="auto"/>
      </w:divBdr>
    </w:div>
    <w:div w:id="1235552276">
      <w:bodyDiv w:val="1"/>
      <w:marLeft w:val="0"/>
      <w:marRight w:val="0"/>
      <w:marTop w:val="0"/>
      <w:marBottom w:val="0"/>
      <w:divBdr>
        <w:top w:val="none" w:sz="0" w:space="0" w:color="auto"/>
        <w:left w:val="none" w:sz="0" w:space="0" w:color="auto"/>
        <w:bottom w:val="none" w:sz="0" w:space="0" w:color="auto"/>
        <w:right w:val="none" w:sz="0" w:space="0" w:color="auto"/>
      </w:divBdr>
    </w:div>
    <w:div w:id="1237010685">
      <w:bodyDiv w:val="1"/>
      <w:marLeft w:val="0"/>
      <w:marRight w:val="0"/>
      <w:marTop w:val="0"/>
      <w:marBottom w:val="0"/>
      <w:divBdr>
        <w:top w:val="none" w:sz="0" w:space="0" w:color="auto"/>
        <w:left w:val="none" w:sz="0" w:space="0" w:color="auto"/>
        <w:bottom w:val="none" w:sz="0" w:space="0" w:color="auto"/>
        <w:right w:val="none" w:sz="0" w:space="0" w:color="auto"/>
      </w:divBdr>
    </w:div>
    <w:div w:id="1237470619">
      <w:bodyDiv w:val="1"/>
      <w:marLeft w:val="0"/>
      <w:marRight w:val="0"/>
      <w:marTop w:val="0"/>
      <w:marBottom w:val="0"/>
      <w:divBdr>
        <w:top w:val="none" w:sz="0" w:space="0" w:color="auto"/>
        <w:left w:val="none" w:sz="0" w:space="0" w:color="auto"/>
        <w:bottom w:val="none" w:sz="0" w:space="0" w:color="auto"/>
        <w:right w:val="none" w:sz="0" w:space="0" w:color="auto"/>
      </w:divBdr>
    </w:div>
    <w:div w:id="1238129712">
      <w:bodyDiv w:val="1"/>
      <w:marLeft w:val="0"/>
      <w:marRight w:val="0"/>
      <w:marTop w:val="0"/>
      <w:marBottom w:val="0"/>
      <w:divBdr>
        <w:top w:val="none" w:sz="0" w:space="0" w:color="auto"/>
        <w:left w:val="none" w:sz="0" w:space="0" w:color="auto"/>
        <w:bottom w:val="none" w:sz="0" w:space="0" w:color="auto"/>
        <w:right w:val="none" w:sz="0" w:space="0" w:color="auto"/>
      </w:divBdr>
    </w:div>
    <w:div w:id="1239513644">
      <w:bodyDiv w:val="1"/>
      <w:marLeft w:val="0"/>
      <w:marRight w:val="0"/>
      <w:marTop w:val="0"/>
      <w:marBottom w:val="0"/>
      <w:divBdr>
        <w:top w:val="none" w:sz="0" w:space="0" w:color="auto"/>
        <w:left w:val="none" w:sz="0" w:space="0" w:color="auto"/>
        <w:bottom w:val="none" w:sz="0" w:space="0" w:color="auto"/>
        <w:right w:val="none" w:sz="0" w:space="0" w:color="auto"/>
      </w:divBdr>
    </w:div>
    <w:div w:id="1239562838">
      <w:bodyDiv w:val="1"/>
      <w:marLeft w:val="0"/>
      <w:marRight w:val="0"/>
      <w:marTop w:val="0"/>
      <w:marBottom w:val="0"/>
      <w:divBdr>
        <w:top w:val="none" w:sz="0" w:space="0" w:color="auto"/>
        <w:left w:val="none" w:sz="0" w:space="0" w:color="auto"/>
        <w:bottom w:val="none" w:sz="0" w:space="0" w:color="auto"/>
        <w:right w:val="none" w:sz="0" w:space="0" w:color="auto"/>
      </w:divBdr>
    </w:div>
    <w:div w:id="1241139606">
      <w:bodyDiv w:val="1"/>
      <w:marLeft w:val="0"/>
      <w:marRight w:val="0"/>
      <w:marTop w:val="0"/>
      <w:marBottom w:val="0"/>
      <w:divBdr>
        <w:top w:val="none" w:sz="0" w:space="0" w:color="auto"/>
        <w:left w:val="none" w:sz="0" w:space="0" w:color="auto"/>
        <w:bottom w:val="none" w:sz="0" w:space="0" w:color="auto"/>
        <w:right w:val="none" w:sz="0" w:space="0" w:color="auto"/>
      </w:divBdr>
    </w:div>
    <w:div w:id="1242912211">
      <w:bodyDiv w:val="1"/>
      <w:marLeft w:val="0"/>
      <w:marRight w:val="0"/>
      <w:marTop w:val="0"/>
      <w:marBottom w:val="0"/>
      <w:divBdr>
        <w:top w:val="none" w:sz="0" w:space="0" w:color="auto"/>
        <w:left w:val="none" w:sz="0" w:space="0" w:color="auto"/>
        <w:bottom w:val="none" w:sz="0" w:space="0" w:color="auto"/>
        <w:right w:val="none" w:sz="0" w:space="0" w:color="auto"/>
      </w:divBdr>
    </w:div>
    <w:div w:id="1243563775">
      <w:bodyDiv w:val="1"/>
      <w:marLeft w:val="0"/>
      <w:marRight w:val="0"/>
      <w:marTop w:val="0"/>
      <w:marBottom w:val="0"/>
      <w:divBdr>
        <w:top w:val="none" w:sz="0" w:space="0" w:color="auto"/>
        <w:left w:val="none" w:sz="0" w:space="0" w:color="auto"/>
        <w:bottom w:val="none" w:sz="0" w:space="0" w:color="auto"/>
        <w:right w:val="none" w:sz="0" w:space="0" w:color="auto"/>
      </w:divBdr>
    </w:div>
    <w:div w:id="1245338654">
      <w:bodyDiv w:val="1"/>
      <w:marLeft w:val="0"/>
      <w:marRight w:val="0"/>
      <w:marTop w:val="0"/>
      <w:marBottom w:val="0"/>
      <w:divBdr>
        <w:top w:val="none" w:sz="0" w:space="0" w:color="auto"/>
        <w:left w:val="none" w:sz="0" w:space="0" w:color="auto"/>
        <w:bottom w:val="none" w:sz="0" w:space="0" w:color="auto"/>
        <w:right w:val="none" w:sz="0" w:space="0" w:color="auto"/>
      </w:divBdr>
    </w:div>
    <w:div w:id="1245921587">
      <w:bodyDiv w:val="1"/>
      <w:marLeft w:val="0"/>
      <w:marRight w:val="0"/>
      <w:marTop w:val="0"/>
      <w:marBottom w:val="0"/>
      <w:divBdr>
        <w:top w:val="none" w:sz="0" w:space="0" w:color="auto"/>
        <w:left w:val="none" w:sz="0" w:space="0" w:color="auto"/>
        <w:bottom w:val="none" w:sz="0" w:space="0" w:color="auto"/>
        <w:right w:val="none" w:sz="0" w:space="0" w:color="auto"/>
      </w:divBdr>
    </w:div>
    <w:div w:id="1246114269">
      <w:bodyDiv w:val="1"/>
      <w:marLeft w:val="0"/>
      <w:marRight w:val="0"/>
      <w:marTop w:val="0"/>
      <w:marBottom w:val="0"/>
      <w:divBdr>
        <w:top w:val="none" w:sz="0" w:space="0" w:color="auto"/>
        <w:left w:val="none" w:sz="0" w:space="0" w:color="auto"/>
        <w:bottom w:val="none" w:sz="0" w:space="0" w:color="auto"/>
        <w:right w:val="none" w:sz="0" w:space="0" w:color="auto"/>
      </w:divBdr>
    </w:div>
    <w:div w:id="1247034875">
      <w:bodyDiv w:val="1"/>
      <w:marLeft w:val="0"/>
      <w:marRight w:val="0"/>
      <w:marTop w:val="0"/>
      <w:marBottom w:val="0"/>
      <w:divBdr>
        <w:top w:val="none" w:sz="0" w:space="0" w:color="auto"/>
        <w:left w:val="none" w:sz="0" w:space="0" w:color="auto"/>
        <w:bottom w:val="none" w:sz="0" w:space="0" w:color="auto"/>
        <w:right w:val="none" w:sz="0" w:space="0" w:color="auto"/>
      </w:divBdr>
    </w:div>
    <w:div w:id="1248199033">
      <w:bodyDiv w:val="1"/>
      <w:marLeft w:val="0"/>
      <w:marRight w:val="0"/>
      <w:marTop w:val="0"/>
      <w:marBottom w:val="0"/>
      <w:divBdr>
        <w:top w:val="none" w:sz="0" w:space="0" w:color="auto"/>
        <w:left w:val="none" w:sz="0" w:space="0" w:color="auto"/>
        <w:bottom w:val="none" w:sz="0" w:space="0" w:color="auto"/>
        <w:right w:val="none" w:sz="0" w:space="0" w:color="auto"/>
      </w:divBdr>
    </w:div>
    <w:div w:id="1248806024">
      <w:bodyDiv w:val="1"/>
      <w:marLeft w:val="0"/>
      <w:marRight w:val="0"/>
      <w:marTop w:val="0"/>
      <w:marBottom w:val="0"/>
      <w:divBdr>
        <w:top w:val="none" w:sz="0" w:space="0" w:color="auto"/>
        <w:left w:val="none" w:sz="0" w:space="0" w:color="auto"/>
        <w:bottom w:val="none" w:sz="0" w:space="0" w:color="auto"/>
        <w:right w:val="none" w:sz="0" w:space="0" w:color="auto"/>
      </w:divBdr>
    </w:div>
    <w:div w:id="1248882373">
      <w:bodyDiv w:val="1"/>
      <w:marLeft w:val="0"/>
      <w:marRight w:val="0"/>
      <w:marTop w:val="0"/>
      <w:marBottom w:val="0"/>
      <w:divBdr>
        <w:top w:val="none" w:sz="0" w:space="0" w:color="auto"/>
        <w:left w:val="none" w:sz="0" w:space="0" w:color="auto"/>
        <w:bottom w:val="none" w:sz="0" w:space="0" w:color="auto"/>
        <w:right w:val="none" w:sz="0" w:space="0" w:color="auto"/>
      </w:divBdr>
    </w:div>
    <w:div w:id="1249651082">
      <w:bodyDiv w:val="1"/>
      <w:marLeft w:val="0"/>
      <w:marRight w:val="0"/>
      <w:marTop w:val="0"/>
      <w:marBottom w:val="0"/>
      <w:divBdr>
        <w:top w:val="none" w:sz="0" w:space="0" w:color="auto"/>
        <w:left w:val="none" w:sz="0" w:space="0" w:color="auto"/>
        <w:bottom w:val="none" w:sz="0" w:space="0" w:color="auto"/>
        <w:right w:val="none" w:sz="0" w:space="0" w:color="auto"/>
      </w:divBdr>
    </w:div>
    <w:div w:id="1250846581">
      <w:bodyDiv w:val="1"/>
      <w:marLeft w:val="0"/>
      <w:marRight w:val="0"/>
      <w:marTop w:val="0"/>
      <w:marBottom w:val="0"/>
      <w:divBdr>
        <w:top w:val="none" w:sz="0" w:space="0" w:color="auto"/>
        <w:left w:val="none" w:sz="0" w:space="0" w:color="auto"/>
        <w:bottom w:val="none" w:sz="0" w:space="0" w:color="auto"/>
        <w:right w:val="none" w:sz="0" w:space="0" w:color="auto"/>
      </w:divBdr>
    </w:div>
    <w:div w:id="1251894833">
      <w:bodyDiv w:val="1"/>
      <w:marLeft w:val="0"/>
      <w:marRight w:val="0"/>
      <w:marTop w:val="0"/>
      <w:marBottom w:val="0"/>
      <w:divBdr>
        <w:top w:val="none" w:sz="0" w:space="0" w:color="auto"/>
        <w:left w:val="none" w:sz="0" w:space="0" w:color="auto"/>
        <w:bottom w:val="none" w:sz="0" w:space="0" w:color="auto"/>
        <w:right w:val="none" w:sz="0" w:space="0" w:color="auto"/>
      </w:divBdr>
    </w:div>
    <w:div w:id="1252398650">
      <w:bodyDiv w:val="1"/>
      <w:marLeft w:val="0"/>
      <w:marRight w:val="0"/>
      <w:marTop w:val="0"/>
      <w:marBottom w:val="0"/>
      <w:divBdr>
        <w:top w:val="none" w:sz="0" w:space="0" w:color="auto"/>
        <w:left w:val="none" w:sz="0" w:space="0" w:color="auto"/>
        <w:bottom w:val="none" w:sz="0" w:space="0" w:color="auto"/>
        <w:right w:val="none" w:sz="0" w:space="0" w:color="auto"/>
      </w:divBdr>
    </w:div>
    <w:div w:id="1255017983">
      <w:bodyDiv w:val="1"/>
      <w:marLeft w:val="0"/>
      <w:marRight w:val="0"/>
      <w:marTop w:val="0"/>
      <w:marBottom w:val="0"/>
      <w:divBdr>
        <w:top w:val="none" w:sz="0" w:space="0" w:color="auto"/>
        <w:left w:val="none" w:sz="0" w:space="0" w:color="auto"/>
        <w:bottom w:val="none" w:sz="0" w:space="0" w:color="auto"/>
        <w:right w:val="none" w:sz="0" w:space="0" w:color="auto"/>
      </w:divBdr>
    </w:div>
    <w:div w:id="1256133209">
      <w:bodyDiv w:val="1"/>
      <w:marLeft w:val="0"/>
      <w:marRight w:val="0"/>
      <w:marTop w:val="0"/>
      <w:marBottom w:val="0"/>
      <w:divBdr>
        <w:top w:val="none" w:sz="0" w:space="0" w:color="auto"/>
        <w:left w:val="none" w:sz="0" w:space="0" w:color="auto"/>
        <w:bottom w:val="none" w:sz="0" w:space="0" w:color="auto"/>
        <w:right w:val="none" w:sz="0" w:space="0" w:color="auto"/>
      </w:divBdr>
    </w:div>
    <w:div w:id="1256210488">
      <w:bodyDiv w:val="1"/>
      <w:marLeft w:val="0"/>
      <w:marRight w:val="0"/>
      <w:marTop w:val="0"/>
      <w:marBottom w:val="0"/>
      <w:divBdr>
        <w:top w:val="none" w:sz="0" w:space="0" w:color="auto"/>
        <w:left w:val="none" w:sz="0" w:space="0" w:color="auto"/>
        <w:bottom w:val="none" w:sz="0" w:space="0" w:color="auto"/>
        <w:right w:val="none" w:sz="0" w:space="0" w:color="auto"/>
      </w:divBdr>
    </w:div>
    <w:div w:id="1256478650">
      <w:bodyDiv w:val="1"/>
      <w:marLeft w:val="0"/>
      <w:marRight w:val="0"/>
      <w:marTop w:val="0"/>
      <w:marBottom w:val="0"/>
      <w:divBdr>
        <w:top w:val="none" w:sz="0" w:space="0" w:color="auto"/>
        <w:left w:val="none" w:sz="0" w:space="0" w:color="auto"/>
        <w:bottom w:val="none" w:sz="0" w:space="0" w:color="auto"/>
        <w:right w:val="none" w:sz="0" w:space="0" w:color="auto"/>
      </w:divBdr>
    </w:div>
    <w:div w:id="1257322780">
      <w:bodyDiv w:val="1"/>
      <w:marLeft w:val="0"/>
      <w:marRight w:val="0"/>
      <w:marTop w:val="0"/>
      <w:marBottom w:val="0"/>
      <w:divBdr>
        <w:top w:val="none" w:sz="0" w:space="0" w:color="auto"/>
        <w:left w:val="none" w:sz="0" w:space="0" w:color="auto"/>
        <w:bottom w:val="none" w:sz="0" w:space="0" w:color="auto"/>
        <w:right w:val="none" w:sz="0" w:space="0" w:color="auto"/>
      </w:divBdr>
    </w:div>
    <w:div w:id="1257833073">
      <w:bodyDiv w:val="1"/>
      <w:marLeft w:val="0"/>
      <w:marRight w:val="0"/>
      <w:marTop w:val="0"/>
      <w:marBottom w:val="0"/>
      <w:divBdr>
        <w:top w:val="none" w:sz="0" w:space="0" w:color="auto"/>
        <w:left w:val="none" w:sz="0" w:space="0" w:color="auto"/>
        <w:bottom w:val="none" w:sz="0" w:space="0" w:color="auto"/>
        <w:right w:val="none" w:sz="0" w:space="0" w:color="auto"/>
      </w:divBdr>
    </w:div>
    <w:div w:id="1258296228">
      <w:bodyDiv w:val="1"/>
      <w:marLeft w:val="0"/>
      <w:marRight w:val="0"/>
      <w:marTop w:val="0"/>
      <w:marBottom w:val="0"/>
      <w:divBdr>
        <w:top w:val="none" w:sz="0" w:space="0" w:color="auto"/>
        <w:left w:val="none" w:sz="0" w:space="0" w:color="auto"/>
        <w:bottom w:val="none" w:sz="0" w:space="0" w:color="auto"/>
        <w:right w:val="none" w:sz="0" w:space="0" w:color="auto"/>
      </w:divBdr>
    </w:div>
    <w:div w:id="1259558644">
      <w:bodyDiv w:val="1"/>
      <w:marLeft w:val="0"/>
      <w:marRight w:val="0"/>
      <w:marTop w:val="0"/>
      <w:marBottom w:val="0"/>
      <w:divBdr>
        <w:top w:val="none" w:sz="0" w:space="0" w:color="auto"/>
        <w:left w:val="none" w:sz="0" w:space="0" w:color="auto"/>
        <w:bottom w:val="none" w:sz="0" w:space="0" w:color="auto"/>
        <w:right w:val="none" w:sz="0" w:space="0" w:color="auto"/>
      </w:divBdr>
      <w:divsChild>
        <w:div w:id="200174545">
          <w:marLeft w:val="0"/>
          <w:marRight w:val="0"/>
          <w:marTop w:val="0"/>
          <w:marBottom w:val="0"/>
          <w:divBdr>
            <w:top w:val="none" w:sz="0" w:space="0" w:color="auto"/>
            <w:left w:val="none" w:sz="0" w:space="0" w:color="auto"/>
            <w:bottom w:val="none" w:sz="0" w:space="0" w:color="auto"/>
            <w:right w:val="none" w:sz="0" w:space="0" w:color="auto"/>
          </w:divBdr>
          <w:divsChild>
            <w:div w:id="4484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9674120">
      <w:bodyDiv w:val="1"/>
      <w:marLeft w:val="0"/>
      <w:marRight w:val="0"/>
      <w:marTop w:val="0"/>
      <w:marBottom w:val="0"/>
      <w:divBdr>
        <w:top w:val="none" w:sz="0" w:space="0" w:color="auto"/>
        <w:left w:val="none" w:sz="0" w:space="0" w:color="auto"/>
        <w:bottom w:val="none" w:sz="0" w:space="0" w:color="auto"/>
        <w:right w:val="none" w:sz="0" w:space="0" w:color="auto"/>
      </w:divBdr>
    </w:div>
    <w:div w:id="1261254316">
      <w:bodyDiv w:val="1"/>
      <w:marLeft w:val="0"/>
      <w:marRight w:val="0"/>
      <w:marTop w:val="0"/>
      <w:marBottom w:val="0"/>
      <w:divBdr>
        <w:top w:val="none" w:sz="0" w:space="0" w:color="auto"/>
        <w:left w:val="none" w:sz="0" w:space="0" w:color="auto"/>
        <w:bottom w:val="none" w:sz="0" w:space="0" w:color="auto"/>
        <w:right w:val="none" w:sz="0" w:space="0" w:color="auto"/>
      </w:divBdr>
    </w:div>
    <w:div w:id="1261721295">
      <w:bodyDiv w:val="1"/>
      <w:marLeft w:val="0"/>
      <w:marRight w:val="0"/>
      <w:marTop w:val="0"/>
      <w:marBottom w:val="0"/>
      <w:divBdr>
        <w:top w:val="none" w:sz="0" w:space="0" w:color="auto"/>
        <w:left w:val="none" w:sz="0" w:space="0" w:color="auto"/>
        <w:bottom w:val="none" w:sz="0" w:space="0" w:color="auto"/>
        <w:right w:val="none" w:sz="0" w:space="0" w:color="auto"/>
      </w:divBdr>
    </w:div>
    <w:div w:id="1263730980">
      <w:bodyDiv w:val="1"/>
      <w:marLeft w:val="0"/>
      <w:marRight w:val="0"/>
      <w:marTop w:val="0"/>
      <w:marBottom w:val="0"/>
      <w:divBdr>
        <w:top w:val="none" w:sz="0" w:space="0" w:color="auto"/>
        <w:left w:val="none" w:sz="0" w:space="0" w:color="auto"/>
        <w:bottom w:val="none" w:sz="0" w:space="0" w:color="auto"/>
        <w:right w:val="none" w:sz="0" w:space="0" w:color="auto"/>
      </w:divBdr>
    </w:div>
    <w:div w:id="1265384490">
      <w:bodyDiv w:val="1"/>
      <w:marLeft w:val="0"/>
      <w:marRight w:val="0"/>
      <w:marTop w:val="0"/>
      <w:marBottom w:val="0"/>
      <w:divBdr>
        <w:top w:val="none" w:sz="0" w:space="0" w:color="auto"/>
        <w:left w:val="none" w:sz="0" w:space="0" w:color="auto"/>
        <w:bottom w:val="none" w:sz="0" w:space="0" w:color="auto"/>
        <w:right w:val="none" w:sz="0" w:space="0" w:color="auto"/>
      </w:divBdr>
    </w:div>
    <w:div w:id="1265501994">
      <w:bodyDiv w:val="1"/>
      <w:marLeft w:val="0"/>
      <w:marRight w:val="0"/>
      <w:marTop w:val="0"/>
      <w:marBottom w:val="0"/>
      <w:divBdr>
        <w:top w:val="none" w:sz="0" w:space="0" w:color="auto"/>
        <w:left w:val="none" w:sz="0" w:space="0" w:color="auto"/>
        <w:bottom w:val="none" w:sz="0" w:space="0" w:color="auto"/>
        <w:right w:val="none" w:sz="0" w:space="0" w:color="auto"/>
      </w:divBdr>
    </w:div>
    <w:div w:id="1265770550">
      <w:bodyDiv w:val="1"/>
      <w:marLeft w:val="0"/>
      <w:marRight w:val="0"/>
      <w:marTop w:val="0"/>
      <w:marBottom w:val="0"/>
      <w:divBdr>
        <w:top w:val="none" w:sz="0" w:space="0" w:color="auto"/>
        <w:left w:val="none" w:sz="0" w:space="0" w:color="auto"/>
        <w:bottom w:val="none" w:sz="0" w:space="0" w:color="auto"/>
        <w:right w:val="none" w:sz="0" w:space="0" w:color="auto"/>
      </w:divBdr>
    </w:div>
    <w:div w:id="1266617276">
      <w:bodyDiv w:val="1"/>
      <w:marLeft w:val="0"/>
      <w:marRight w:val="0"/>
      <w:marTop w:val="0"/>
      <w:marBottom w:val="0"/>
      <w:divBdr>
        <w:top w:val="none" w:sz="0" w:space="0" w:color="auto"/>
        <w:left w:val="none" w:sz="0" w:space="0" w:color="auto"/>
        <w:bottom w:val="none" w:sz="0" w:space="0" w:color="auto"/>
        <w:right w:val="none" w:sz="0" w:space="0" w:color="auto"/>
      </w:divBdr>
    </w:div>
    <w:div w:id="1266769622">
      <w:bodyDiv w:val="1"/>
      <w:marLeft w:val="0"/>
      <w:marRight w:val="0"/>
      <w:marTop w:val="0"/>
      <w:marBottom w:val="0"/>
      <w:divBdr>
        <w:top w:val="none" w:sz="0" w:space="0" w:color="auto"/>
        <w:left w:val="none" w:sz="0" w:space="0" w:color="auto"/>
        <w:bottom w:val="none" w:sz="0" w:space="0" w:color="auto"/>
        <w:right w:val="none" w:sz="0" w:space="0" w:color="auto"/>
      </w:divBdr>
    </w:div>
    <w:div w:id="1269198113">
      <w:bodyDiv w:val="1"/>
      <w:marLeft w:val="0"/>
      <w:marRight w:val="0"/>
      <w:marTop w:val="0"/>
      <w:marBottom w:val="0"/>
      <w:divBdr>
        <w:top w:val="none" w:sz="0" w:space="0" w:color="auto"/>
        <w:left w:val="none" w:sz="0" w:space="0" w:color="auto"/>
        <w:bottom w:val="none" w:sz="0" w:space="0" w:color="auto"/>
        <w:right w:val="none" w:sz="0" w:space="0" w:color="auto"/>
      </w:divBdr>
    </w:div>
    <w:div w:id="1270427869">
      <w:bodyDiv w:val="1"/>
      <w:marLeft w:val="0"/>
      <w:marRight w:val="0"/>
      <w:marTop w:val="0"/>
      <w:marBottom w:val="0"/>
      <w:divBdr>
        <w:top w:val="none" w:sz="0" w:space="0" w:color="auto"/>
        <w:left w:val="none" w:sz="0" w:space="0" w:color="auto"/>
        <w:bottom w:val="none" w:sz="0" w:space="0" w:color="auto"/>
        <w:right w:val="none" w:sz="0" w:space="0" w:color="auto"/>
      </w:divBdr>
    </w:div>
    <w:div w:id="1270579113">
      <w:bodyDiv w:val="1"/>
      <w:marLeft w:val="0"/>
      <w:marRight w:val="0"/>
      <w:marTop w:val="0"/>
      <w:marBottom w:val="0"/>
      <w:divBdr>
        <w:top w:val="none" w:sz="0" w:space="0" w:color="auto"/>
        <w:left w:val="none" w:sz="0" w:space="0" w:color="auto"/>
        <w:bottom w:val="none" w:sz="0" w:space="0" w:color="auto"/>
        <w:right w:val="none" w:sz="0" w:space="0" w:color="auto"/>
      </w:divBdr>
    </w:div>
    <w:div w:id="1271740477">
      <w:bodyDiv w:val="1"/>
      <w:marLeft w:val="0"/>
      <w:marRight w:val="0"/>
      <w:marTop w:val="0"/>
      <w:marBottom w:val="0"/>
      <w:divBdr>
        <w:top w:val="none" w:sz="0" w:space="0" w:color="auto"/>
        <w:left w:val="none" w:sz="0" w:space="0" w:color="auto"/>
        <w:bottom w:val="none" w:sz="0" w:space="0" w:color="auto"/>
        <w:right w:val="none" w:sz="0" w:space="0" w:color="auto"/>
      </w:divBdr>
    </w:div>
    <w:div w:id="1272082727">
      <w:bodyDiv w:val="1"/>
      <w:marLeft w:val="0"/>
      <w:marRight w:val="0"/>
      <w:marTop w:val="0"/>
      <w:marBottom w:val="0"/>
      <w:divBdr>
        <w:top w:val="none" w:sz="0" w:space="0" w:color="auto"/>
        <w:left w:val="none" w:sz="0" w:space="0" w:color="auto"/>
        <w:bottom w:val="none" w:sz="0" w:space="0" w:color="auto"/>
        <w:right w:val="none" w:sz="0" w:space="0" w:color="auto"/>
      </w:divBdr>
    </w:div>
    <w:div w:id="1272591529">
      <w:bodyDiv w:val="1"/>
      <w:marLeft w:val="0"/>
      <w:marRight w:val="0"/>
      <w:marTop w:val="0"/>
      <w:marBottom w:val="0"/>
      <w:divBdr>
        <w:top w:val="none" w:sz="0" w:space="0" w:color="auto"/>
        <w:left w:val="none" w:sz="0" w:space="0" w:color="auto"/>
        <w:bottom w:val="none" w:sz="0" w:space="0" w:color="auto"/>
        <w:right w:val="none" w:sz="0" w:space="0" w:color="auto"/>
      </w:divBdr>
    </w:div>
    <w:div w:id="1273395000">
      <w:bodyDiv w:val="1"/>
      <w:marLeft w:val="0"/>
      <w:marRight w:val="0"/>
      <w:marTop w:val="0"/>
      <w:marBottom w:val="0"/>
      <w:divBdr>
        <w:top w:val="none" w:sz="0" w:space="0" w:color="auto"/>
        <w:left w:val="none" w:sz="0" w:space="0" w:color="auto"/>
        <w:bottom w:val="none" w:sz="0" w:space="0" w:color="auto"/>
        <w:right w:val="none" w:sz="0" w:space="0" w:color="auto"/>
      </w:divBdr>
    </w:div>
    <w:div w:id="1273592071">
      <w:bodyDiv w:val="1"/>
      <w:marLeft w:val="0"/>
      <w:marRight w:val="0"/>
      <w:marTop w:val="0"/>
      <w:marBottom w:val="0"/>
      <w:divBdr>
        <w:top w:val="none" w:sz="0" w:space="0" w:color="auto"/>
        <w:left w:val="none" w:sz="0" w:space="0" w:color="auto"/>
        <w:bottom w:val="none" w:sz="0" w:space="0" w:color="auto"/>
        <w:right w:val="none" w:sz="0" w:space="0" w:color="auto"/>
      </w:divBdr>
    </w:div>
    <w:div w:id="1273712123">
      <w:bodyDiv w:val="1"/>
      <w:marLeft w:val="0"/>
      <w:marRight w:val="0"/>
      <w:marTop w:val="0"/>
      <w:marBottom w:val="0"/>
      <w:divBdr>
        <w:top w:val="none" w:sz="0" w:space="0" w:color="auto"/>
        <w:left w:val="none" w:sz="0" w:space="0" w:color="auto"/>
        <w:bottom w:val="none" w:sz="0" w:space="0" w:color="auto"/>
        <w:right w:val="none" w:sz="0" w:space="0" w:color="auto"/>
      </w:divBdr>
    </w:div>
    <w:div w:id="1273901214">
      <w:bodyDiv w:val="1"/>
      <w:marLeft w:val="0"/>
      <w:marRight w:val="0"/>
      <w:marTop w:val="0"/>
      <w:marBottom w:val="0"/>
      <w:divBdr>
        <w:top w:val="none" w:sz="0" w:space="0" w:color="auto"/>
        <w:left w:val="none" w:sz="0" w:space="0" w:color="auto"/>
        <w:bottom w:val="none" w:sz="0" w:space="0" w:color="auto"/>
        <w:right w:val="none" w:sz="0" w:space="0" w:color="auto"/>
      </w:divBdr>
    </w:div>
    <w:div w:id="1274484495">
      <w:bodyDiv w:val="1"/>
      <w:marLeft w:val="0"/>
      <w:marRight w:val="0"/>
      <w:marTop w:val="0"/>
      <w:marBottom w:val="0"/>
      <w:divBdr>
        <w:top w:val="none" w:sz="0" w:space="0" w:color="auto"/>
        <w:left w:val="none" w:sz="0" w:space="0" w:color="auto"/>
        <w:bottom w:val="none" w:sz="0" w:space="0" w:color="auto"/>
        <w:right w:val="none" w:sz="0" w:space="0" w:color="auto"/>
      </w:divBdr>
    </w:div>
    <w:div w:id="1274896369">
      <w:bodyDiv w:val="1"/>
      <w:marLeft w:val="0"/>
      <w:marRight w:val="0"/>
      <w:marTop w:val="0"/>
      <w:marBottom w:val="0"/>
      <w:divBdr>
        <w:top w:val="none" w:sz="0" w:space="0" w:color="auto"/>
        <w:left w:val="none" w:sz="0" w:space="0" w:color="auto"/>
        <w:bottom w:val="none" w:sz="0" w:space="0" w:color="auto"/>
        <w:right w:val="none" w:sz="0" w:space="0" w:color="auto"/>
      </w:divBdr>
    </w:div>
    <w:div w:id="1275401117">
      <w:bodyDiv w:val="1"/>
      <w:marLeft w:val="0"/>
      <w:marRight w:val="0"/>
      <w:marTop w:val="0"/>
      <w:marBottom w:val="0"/>
      <w:divBdr>
        <w:top w:val="none" w:sz="0" w:space="0" w:color="auto"/>
        <w:left w:val="none" w:sz="0" w:space="0" w:color="auto"/>
        <w:bottom w:val="none" w:sz="0" w:space="0" w:color="auto"/>
        <w:right w:val="none" w:sz="0" w:space="0" w:color="auto"/>
      </w:divBdr>
    </w:div>
    <w:div w:id="1278635988">
      <w:bodyDiv w:val="1"/>
      <w:marLeft w:val="0"/>
      <w:marRight w:val="0"/>
      <w:marTop w:val="0"/>
      <w:marBottom w:val="0"/>
      <w:divBdr>
        <w:top w:val="none" w:sz="0" w:space="0" w:color="auto"/>
        <w:left w:val="none" w:sz="0" w:space="0" w:color="auto"/>
        <w:bottom w:val="none" w:sz="0" w:space="0" w:color="auto"/>
        <w:right w:val="none" w:sz="0" w:space="0" w:color="auto"/>
      </w:divBdr>
    </w:div>
    <w:div w:id="1280255475">
      <w:bodyDiv w:val="1"/>
      <w:marLeft w:val="0"/>
      <w:marRight w:val="0"/>
      <w:marTop w:val="0"/>
      <w:marBottom w:val="0"/>
      <w:divBdr>
        <w:top w:val="none" w:sz="0" w:space="0" w:color="auto"/>
        <w:left w:val="none" w:sz="0" w:space="0" w:color="auto"/>
        <w:bottom w:val="none" w:sz="0" w:space="0" w:color="auto"/>
        <w:right w:val="none" w:sz="0" w:space="0" w:color="auto"/>
      </w:divBdr>
    </w:div>
    <w:div w:id="1280914908">
      <w:bodyDiv w:val="1"/>
      <w:marLeft w:val="0"/>
      <w:marRight w:val="0"/>
      <w:marTop w:val="0"/>
      <w:marBottom w:val="0"/>
      <w:divBdr>
        <w:top w:val="none" w:sz="0" w:space="0" w:color="auto"/>
        <w:left w:val="none" w:sz="0" w:space="0" w:color="auto"/>
        <w:bottom w:val="none" w:sz="0" w:space="0" w:color="auto"/>
        <w:right w:val="none" w:sz="0" w:space="0" w:color="auto"/>
      </w:divBdr>
    </w:div>
    <w:div w:id="1280986411">
      <w:bodyDiv w:val="1"/>
      <w:marLeft w:val="0"/>
      <w:marRight w:val="0"/>
      <w:marTop w:val="0"/>
      <w:marBottom w:val="0"/>
      <w:divBdr>
        <w:top w:val="none" w:sz="0" w:space="0" w:color="auto"/>
        <w:left w:val="none" w:sz="0" w:space="0" w:color="auto"/>
        <w:bottom w:val="none" w:sz="0" w:space="0" w:color="auto"/>
        <w:right w:val="none" w:sz="0" w:space="0" w:color="auto"/>
      </w:divBdr>
    </w:div>
    <w:div w:id="1281108095">
      <w:bodyDiv w:val="1"/>
      <w:marLeft w:val="0"/>
      <w:marRight w:val="0"/>
      <w:marTop w:val="0"/>
      <w:marBottom w:val="0"/>
      <w:divBdr>
        <w:top w:val="none" w:sz="0" w:space="0" w:color="auto"/>
        <w:left w:val="none" w:sz="0" w:space="0" w:color="auto"/>
        <w:bottom w:val="none" w:sz="0" w:space="0" w:color="auto"/>
        <w:right w:val="none" w:sz="0" w:space="0" w:color="auto"/>
      </w:divBdr>
    </w:div>
    <w:div w:id="1281110961">
      <w:bodyDiv w:val="1"/>
      <w:marLeft w:val="0"/>
      <w:marRight w:val="0"/>
      <w:marTop w:val="0"/>
      <w:marBottom w:val="0"/>
      <w:divBdr>
        <w:top w:val="none" w:sz="0" w:space="0" w:color="auto"/>
        <w:left w:val="none" w:sz="0" w:space="0" w:color="auto"/>
        <w:bottom w:val="none" w:sz="0" w:space="0" w:color="auto"/>
        <w:right w:val="none" w:sz="0" w:space="0" w:color="auto"/>
      </w:divBdr>
    </w:div>
    <w:div w:id="1281952554">
      <w:bodyDiv w:val="1"/>
      <w:marLeft w:val="0"/>
      <w:marRight w:val="0"/>
      <w:marTop w:val="0"/>
      <w:marBottom w:val="0"/>
      <w:divBdr>
        <w:top w:val="none" w:sz="0" w:space="0" w:color="auto"/>
        <w:left w:val="none" w:sz="0" w:space="0" w:color="auto"/>
        <w:bottom w:val="none" w:sz="0" w:space="0" w:color="auto"/>
        <w:right w:val="none" w:sz="0" w:space="0" w:color="auto"/>
      </w:divBdr>
    </w:div>
    <w:div w:id="1283344771">
      <w:bodyDiv w:val="1"/>
      <w:marLeft w:val="0"/>
      <w:marRight w:val="0"/>
      <w:marTop w:val="0"/>
      <w:marBottom w:val="0"/>
      <w:divBdr>
        <w:top w:val="none" w:sz="0" w:space="0" w:color="auto"/>
        <w:left w:val="none" w:sz="0" w:space="0" w:color="auto"/>
        <w:bottom w:val="none" w:sz="0" w:space="0" w:color="auto"/>
        <w:right w:val="none" w:sz="0" w:space="0" w:color="auto"/>
      </w:divBdr>
    </w:div>
    <w:div w:id="1284387078">
      <w:bodyDiv w:val="1"/>
      <w:marLeft w:val="0"/>
      <w:marRight w:val="0"/>
      <w:marTop w:val="0"/>
      <w:marBottom w:val="0"/>
      <w:divBdr>
        <w:top w:val="none" w:sz="0" w:space="0" w:color="auto"/>
        <w:left w:val="none" w:sz="0" w:space="0" w:color="auto"/>
        <w:bottom w:val="none" w:sz="0" w:space="0" w:color="auto"/>
        <w:right w:val="none" w:sz="0" w:space="0" w:color="auto"/>
      </w:divBdr>
    </w:div>
    <w:div w:id="1285312723">
      <w:bodyDiv w:val="1"/>
      <w:marLeft w:val="0"/>
      <w:marRight w:val="0"/>
      <w:marTop w:val="0"/>
      <w:marBottom w:val="0"/>
      <w:divBdr>
        <w:top w:val="none" w:sz="0" w:space="0" w:color="auto"/>
        <w:left w:val="none" w:sz="0" w:space="0" w:color="auto"/>
        <w:bottom w:val="none" w:sz="0" w:space="0" w:color="auto"/>
        <w:right w:val="none" w:sz="0" w:space="0" w:color="auto"/>
      </w:divBdr>
    </w:div>
    <w:div w:id="1286044224">
      <w:bodyDiv w:val="1"/>
      <w:marLeft w:val="0"/>
      <w:marRight w:val="0"/>
      <w:marTop w:val="0"/>
      <w:marBottom w:val="0"/>
      <w:divBdr>
        <w:top w:val="none" w:sz="0" w:space="0" w:color="auto"/>
        <w:left w:val="none" w:sz="0" w:space="0" w:color="auto"/>
        <w:bottom w:val="none" w:sz="0" w:space="0" w:color="auto"/>
        <w:right w:val="none" w:sz="0" w:space="0" w:color="auto"/>
      </w:divBdr>
    </w:div>
    <w:div w:id="1286692162">
      <w:bodyDiv w:val="1"/>
      <w:marLeft w:val="0"/>
      <w:marRight w:val="0"/>
      <w:marTop w:val="0"/>
      <w:marBottom w:val="0"/>
      <w:divBdr>
        <w:top w:val="none" w:sz="0" w:space="0" w:color="auto"/>
        <w:left w:val="none" w:sz="0" w:space="0" w:color="auto"/>
        <w:bottom w:val="none" w:sz="0" w:space="0" w:color="auto"/>
        <w:right w:val="none" w:sz="0" w:space="0" w:color="auto"/>
      </w:divBdr>
    </w:div>
    <w:div w:id="1288273787">
      <w:bodyDiv w:val="1"/>
      <w:marLeft w:val="0"/>
      <w:marRight w:val="0"/>
      <w:marTop w:val="0"/>
      <w:marBottom w:val="0"/>
      <w:divBdr>
        <w:top w:val="none" w:sz="0" w:space="0" w:color="auto"/>
        <w:left w:val="none" w:sz="0" w:space="0" w:color="auto"/>
        <w:bottom w:val="none" w:sz="0" w:space="0" w:color="auto"/>
        <w:right w:val="none" w:sz="0" w:space="0" w:color="auto"/>
      </w:divBdr>
    </w:div>
    <w:div w:id="1289168103">
      <w:bodyDiv w:val="1"/>
      <w:marLeft w:val="0"/>
      <w:marRight w:val="0"/>
      <w:marTop w:val="0"/>
      <w:marBottom w:val="0"/>
      <w:divBdr>
        <w:top w:val="none" w:sz="0" w:space="0" w:color="auto"/>
        <w:left w:val="none" w:sz="0" w:space="0" w:color="auto"/>
        <w:bottom w:val="none" w:sz="0" w:space="0" w:color="auto"/>
        <w:right w:val="none" w:sz="0" w:space="0" w:color="auto"/>
      </w:divBdr>
    </w:div>
    <w:div w:id="1290403976">
      <w:bodyDiv w:val="1"/>
      <w:marLeft w:val="0"/>
      <w:marRight w:val="0"/>
      <w:marTop w:val="0"/>
      <w:marBottom w:val="0"/>
      <w:divBdr>
        <w:top w:val="none" w:sz="0" w:space="0" w:color="auto"/>
        <w:left w:val="none" w:sz="0" w:space="0" w:color="auto"/>
        <w:bottom w:val="none" w:sz="0" w:space="0" w:color="auto"/>
        <w:right w:val="none" w:sz="0" w:space="0" w:color="auto"/>
      </w:divBdr>
    </w:div>
    <w:div w:id="1290746340">
      <w:bodyDiv w:val="1"/>
      <w:marLeft w:val="0"/>
      <w:marRight w:val="0"/>
      <w:marTop w:val="0"/>
      <w:marBottom w:val="0"/>
      <w:divBdr>
        <w:top w:val="none" w:sz="0" w:space="0" w:color="auto"/>
        <w:left w:val="none" w:sz="0" w:space="0" w:color="auto"/>
        <w:bottom w:val="none" w:sz="0" w:space="0" w:color="auto"/>
        <w:right w:val="none" w:sz="0" w:space="0" w:color="auto"/>
      </w:divBdr>
    </w:div>
    <w:div w:id="1291857275">
      <w:bodyDiv w:val="1"/>
      <w:marLeft w:val="0"/>
      <w:marRight w:val="0"/>
      <w:marTop w:val="0"/>
      <w:marBottom w:val="0"/>
      <w:divBdr>
        <w:top w:val="none" w:sz="0" w:space="0" w:color="auto"/>
        <w:left w:val="none" w:sz="0" w:space="0" w:color="auto"/>
        <w:bottom w:val="none" w:sz="0" w:space="0" w:color="auto"/>
        <w:right w:val="none" w:sz="0" w:space="0" w:color="auto"/>
      </w:divBdr>
    </w:div>
    <w:div w:id="1292203243">
      <w:bodyDiv w:val="1"/>
      <w:marLeft w:val="0"/>
      <w:marRight w:val="0"/>
      <w:marTop w:val="0"/>
      <w:marBottom w:val="0"/>
      <w:divBdr>
        <w:top w:val="none" w:sz="0" w:space="0" w:color="auto"/>
        <w:left w:val="none" w:sz="0" w:space="0" w:color="auto"/>
        <w:bottom w:val="none" w:sz="0" w:space="0" w:color="auto"/>
        <w:right w:val="none" w:sz="0" w:space="0" w:color="auto"/>
      </w:divBdr>
    </w:div>
    <w:div w:id="1292787033">
      <w:bodyDiv w:val="1"/>
      <w:marLeft w:val="0"/>
      <w:marRight w:val="0"/>
      <w:marTop w:val="0"/>
      <w:marBottom w:val="0"/>
      <w:divBdr>
        <w:top w:val="none" w:sz="0" w:space="0" w:color="auto"/>
        <w:left w:val="none" w:sz="0" w:space="0" w:color="auto"/>
        <w:bottom w:val="none" w:sz="0" w:space="0" w:color="auto"/>
        <w:right w:val="none" w:sz="0" w:space="0" w:color="auto"/>
      </w:divBdr>
    </w:div>
    <w:div w:id="1293681446">
      <w:bodyDiv w:val="1"/>
      <w:marLeft w:val="0"/>
      <w:marRight w:val="0"/>
      <w:marTop w:val="0"/>
      <w:marBottom w:val="0"/>
      <w:divBdr>
        <w:top w:val="none" w:sz="0" w:space="0" w:color="auto"/>
        <w:left w:val="none" w:sz="0" w:space="0" w:color="auto"/>
        <w:bottom w:val="none" w:sz="0" w:space="0" w:color="auto"/>
        <w:right w:val="none" w:sz="0" w:space="0" w:color="auto"/>
      </w:divBdr>
    </w:div>
    <w:div w:id="1294216321">
      <w:bodyDiv w:val="1"/>
      <w:marLeft w:val="0"/>
      <w:marRight w:val="0"/>
      <w:marTop w:val="0"/>
      <w:marBottom w:val="0"/>
      <w:divBdr>
        <w:top w:val="none" w:sz="0" w:space="0" w:color="auto"/>
        <w:left w:val="none" w:sz="0" w:space="0" w:color="auto"/>
        <w:bottom w:val="none" w:sz="0" w:space="0" w:color="auto"/>
        <w:right w:val="none" w:sz="0" w:space="0" w:color="auto"/>
      </w:divBdr>
    </w:div>
    <w:div w:id="1298143473">
      <w:bodyDiv w:val="1"/>
      <w:marLeft w:val="0"/>
      <w:marRight w:val="0"/>
      <w:marTop w:val="0"/>
      <w:marBottom w:val="0"/>
      <w:divBdr>
        <w:top w:val="none" w:sz="0" w:space="0" w:color="auto"/>
        <w:left w:val="none" w:sz="0" w:space="0" w:color="auto"/>
        <w:bottom w:val="none" w:sz="0" w:space="0" w:color="auto"/>
        <w:right w:val="none" w:sz="0" w:space="0" w:color="auto"/>
      </w:divBdr>
    </w:div>
    <w:div w:id="1299187736">
      <w:bodyDiv w:val="1"/>
      <w:marLeft w:val="0"/>
      <w:marRight w:val="0"/>
      <w:marTop w:val="0"/>
      <w:marBottom w:val="0"/>
      <w:divBdr>
        <w:top w:val="none" w:sz="0" w:space="0" w:color="auto"/>
        <w:left w:val="none" w:sz="0" w:space="0" w:color="auto"/>
        <w:bottom w:val="none" w:sz="0" w:space="0" w:color="auto"/>
        <w:right w:val="none" w:sz="0" w:space="0" w:color="auto"/>
      </w:divBdr>
    </w:div>
    <w:div w:id="1299917930">
      <w:bodyDiv w:val="1"/>
      <w:marLeft w:val="0"/>
      <w:marRight w:val="0"/>
      <w:marTop w:val="0"/>
      <w:marBottom w:val="0"/>
      <w:divBdr>
        <w:top w:val="none" w:sz="0" w:space="0" w:color="auto"/>
        <w:left w:val="none" w:sz="0" w:space="0" w:color="auto"/>
        <w:bottom w:val="none" w:sz="0" w:space="0" w:color="auto"/>
        <w:right w:val="none" w:sz="0" w:space="0" w:color="auto"/>
      </w:divBdr>
    </w:div>
    <w:div w:id="1300306078">
      <w:bodyDiv w:val="1"/>
      <w:marLeft w:val="0"/>
      <w:marRight w:val="0"/>
      <w:marTop w:val="0"/>
      <w:marBottom w:val="0"/>
      <w:divBdr>
        <w:top w:val="none" w:sz="0" w:space="0" w:color="auto"/>
        <w:left w:val="none" w:sz="0" w:space="0" w:color="auto"/>
        <w:bottom w:val="none" w:sz="0" w:space="0" w:color="auto"/>
        <w:right w:val="none" w:sz="0" w:space="0" w:color="auto"/>
      </w:divBdr>
    </w:div>
    <w:div w:id="1300384348">
      <w:bodyDiv w:val="1"/>
      <w:marLeft w:val="0"/>
      <w:marRight w:val="0"/>
      <w:marTop w:val="0"/>
      <w:marBottom w:val="0"/>
      <w:divBdr>
        <w:top w:val="none" w:sz="0" w:space="0" w:color="auto"/>
        <w:left w:val="none" w:sz="0" w:space="0" w:color="auto"/>
        <w:bottom w:val="none" w:sz="0" w:space="0" w:color="auto"/>
        <w:right w:val="none" w:sz="0" w:space="0" w:color="auto"/>
      </w:divBdr>
    </w:div>
    <w:div w:id="1301225226">
      <w:bodyDiv w:val="1"/>
      <w:marLeft w:val="0"/>
      <w:marRight w:val="0"/>
      <w:marTop w:val="0"/>
      <w:marBottom w:val="0"/>
      <w:divBdr>
        <w:top w:val="none" w:sz="0" w:space="0" w:color="auto"/>
        <w:left w:val="none" w:sz="0" w:space="0" w:color="auto"/>
        <w:bottom w:val="none" w:sz="0" w:space="0" w:color="auto"/>
        <w:right w:val="none" w:sz="0" w:space="0" w:color="auto"/>
      </w:divBdr>
    </w:div>
    <w:div w:id="1301494204">
      <w:bodyDiv w:val="1"/>
      <w:marLeft w:val="0"/>
      <w:marRight w:val="0"/>
      <w:marTop w:val="0"/>
      <w:marBottom w:val="0"/>
      <w:divBdr>
        <w:top w:val="none" w:sz="0" w:space="0" w:color="auto"/>
        <w:left w:val="none" w:sz="0" w:space="0" w:color="auto"/>
        <w:bottom w:val="none" w:sz="0" w:space="0" w:color="auto"/>
        <w:right w:val="none" w:sz="0" w:space="0" w:color="auto"/>
      </w:divBdr>
    </w:div>
    <w:div w:id="1301495281">
      <w:bodyDiv w:val="1"/>
      <w:marLeft w:val="0"/>
      <w:marRight w:val="0"/>
      <w:marTop w:val="0"/>
      <w:marBottom w:val="0"/>
      <w:divBdr>
        <w:top w:val="none" w:sz="0" w:space="0" w:color="auto"/>
        <w:left w:val="none" w:sz="0" w:space="0" w:color="auto"/>
        <w:bottom w:val="none" w:sz="0" w:space="0" w:color="auto"/>
        <w:right w:val="none" w:sz="0" w:space="0" w:color="auto"/>
      </w:divBdr>
    </w:div>
    <w:div w:id="1302616885">
      <w:bodyDiv w:val="1"/>
      <w:marLeft w:val="0"/>
      <w:marRight w:val="0"/>
      <w:marTop w:val="0"/>
      <w:marBottom w:val="0"/>
      <w:divBdr>
        <w:top w:val="none" w:sz="0" w:space="0" w:color="auto"/>
        <w:left w:val="none" w:sz="0" w:space="0" w:color="auto"/>
        <w:bottom w:val="none" w:sz="0" w:space="0" w:color="auto"/>
        <w:right w:val="none" w:sz="0" w:space="0" w:color="auto"/>
      </w:divBdr>
    </w:div>
    <w:div w:id="1302728230">
      <w:bodyDiv w:val="1"/>
      <w:marLeft w:val="0"/>
      <w:marRight w:val="0"/>
      <w:marTop w:val="0"/>
      <w:marBottom w:val="0"/>
      <w:divBdr>
        <w:top w:val="none" w:sz="0" w:space="0" w:color="auto"/>
        <w:left w:val="none" w:sz="0" w:space="0" w:color="auto"/>
        <w:bottom w:val="none" w:sz="0" w:space="0" w:color="auto"/>
        <w:right w:val="none" w:sz="0" w:space="0" w:color="auto"/>
      </w:divBdr>
    </w:div>
    <w:div w:id="1304459113">
      <w:bodyDiv w:val="1"/>
      <w:marLeft w:val="0"/>
      <w:marRight w:val="0"/>
      <w:marTop w:val="0"/>
      <w:marBottom w:val="0"/>
      <w:divBdr>
        <w:top w:val="none" w:sz="0" w:space="0" w:color="auto"/>
        <w:left w:val="none" w:sz="0" w:space="0" w:color="auto"/>
        <w:bottom w:val="none" w:sz="0" w:space="0" w:color="auto"/>
        <w:right w:val="none" w:sz="0" w:space="0" w:color="auto"/>
      </w:divBdr>
    </w:div>
    <w:div w:id="1304507550">
      <w:bodyDiv w:val="1"/>
      <w:marLeft w:val="0"/>
      <w:marRight w:val="0"/>
      <w:marTop w:val="0"/>
      <w:marBottom w:val="0"/>
      <w:divBdr>
        <w:top w:val="none" w:sz="0" w:space="0" w:color="auto"/>
        <w:left w:val="none" w:sz="0" w:space="0" w:color="auto"/>
        <w:bottom w:val="none" w:sz="0" w:space="0" w:color="auto"/>
        <w:right w:val="none" w:sz="0" w:space="0" w:color="auto"/>
      </w:divBdr>
    </w:div>
    <w:div w:id="1305624211">
      <w:bodyDiv w:val="1"/>
      <w:marLeft w:val="0"/>
      <w:marRight w:val="0"/>
      <w:marTop w:val="0"/>
      <w:marBottom w:val="0"/>
      <w:divBdr>
        <w:top w:val="none" w:sz="0" w:space="0" w:color="auto"/>
        <w:left w:val="none" w:sz="0" w:space="0" w:color="auto"/>
        <w:bottom w:val="none" w:sz="0" w:space="0" w:color="auto"/>
        <w:right w:val="none" w:sz="0" w:space="0" w:color="auto"/>
      </w:divBdr>
    </w:div>
    <w:div w:id="1308052456">
      <w:bodyDiv w:val="1"/>
      <w:marLeft w:val="0"/>
      <w:marRight w:val="0"/>
      <w:marTop w:val="0"/>
      <w:marBottom w:val="0"/>
      <w:divBdr>
        <w:top w:val="none" w:sz="0" w:space="0" w:color="auto"/>
        <w:left w:val="none" w:sz="0" w:space="0" w:color="auto"/>
        <w:bottom w:val="none" w:sz="0" w:space="0" w:color="auto"/>
        <w:right w:val="none" w:sz="0" w:space="0" w:color="auto"/>
      </w:divBdr>
    </w:div>
    <w:div w:id="1308779851">
      <w:bodyDiv w:val="1"/>
      <w:marLeft w:val="0"/>
      <w:marRight w:val="0"/>
      <w:marTop w:val="0"/>
      <w:marBottom w:val="0"/>
      <w:divBdr>
        <w:top w:val="none" w:sz="0" w:space="0" w:color="auto"/>
        <w:left w:val="none" w:sz="0" w:space="0" w:color="auto"/>
        <w:bottom w:val="none" w:sz="0" w:space="0" w:color="auto"/>
        <w:right w:val="none" w:sz="0" w:space="0" w:color="auto"/>
      </w:divBdr>
    </w:div>
    <w:div w:id="1310402044">
      <w:bodyDiv w:val="1"/>
      <w:marLeft w:val="0"/>
      <w:marRight w:val="0"/>
      <w:marTop w:val="0"/>
      <w:marBottom w:val="0"/>
      <w:divBdr>
        <w:top w:val="none" w:sz="0" w:space="0" w:color="auto"/>
        <w:left w:val="none" w:sz="0" w:space="0" w:color="auto"/>
        <w:bottom w:val="none" w:sz="0" w:space="0" w:color="auto"/>
        <w:right w:val="none" w:sz="0" w:space="0" w:color="auto"/>
      </w:divBdr>
    </w:div>
    <w:div w:id="1311397655">
      <w:bodyDiv w:val="1"/>
      <w:marLeft w:val="0"/>
      <w:marRight w:val="0"/>
      <w:marTop w:val="0"/>
      <w:marBottom w:val="0"/>
      <w:divBdr>
        <w:top w:val="none" w:sz="0" w:space="0" w:color="auto"/>
        <w:left w:val="none" w:sz="0" w:space="0" w:color="auto"/>
        <w:bottom w:val="none" w:sz="0" w:space="0" w:color="auto"/>
        <w:right w:val="none" w:sz="0" w:space="0" w:color="auto"/>
      </w:divBdr>
    </w:div>
    <w:div w:id="1312369063">
      <w:bodyDiv w:val="1"/>
      <w:marLeft w:val="0"/>
      <w:marRight w:val="0"/>
      <w:marTop w:val="0"/>
      <w:marBottom w:val="0"/>
      <w:divBdr>
        <w:top w:val="none" w:sz="0" w:space="0" w:color="auto"/>
        <w:left w:val="none" w:sz="0" w:space="0" w:color="auto"/>
        <w:bottom w:val="none" w:sz="0" w:space="0" w:color="auto"/>
        <w:right w:val="none" w:sz="0" w:space="0" w:color="auto"/>
      </w:divBdr>
    </w:div>
    <w:div w:id="1313749456">
      <w:bodyDiv w:val="1"/>
      <w:marLeft w:val="0"/>
      <w:marRight w:val="0"/>
      <w:marTop w:val="0"/>
      <w:marBottom w:val="0"/>
      <w:divBdr>
        <w:top w:val="none" w:sz="0" w:space="0" w:color="auto"/>
        <w:left w:val="none" w:sz="0" w:space="0" w:color="auto"/>
        <w:bottom w:val="none" w:sz="0" w:space="0" w:color="auto"/>
        <w:right w:val="none" w:sz="0" w:space="0" w:color="auto"/>
      </w:divBdr>
    </w:div>
    <w:div w:id="1314213781">
      <w:bodyDiv w:val="1"/>
      <w:marLeft w:val="0"/>
      <w:marRight w:val="0"/>
      <w:marTop w:val="0"/>
      <w:marBottom w:val="0"/>
      <w:divBdr>
        <w:top w:val="none" w:sz="0" w:space="0" w:color="auto"/>
        <w:left w:val="none" w:sz="0" w:space="0" w:color="auto"/>
        <w:bottom w:val="none" w:sz="0" w:space="0" w:color="auto"/>
        <w:right w:val="none" w:sz="0" w:space="0" w:color="auto"/>
      </w:divBdr>
    </w:div>
    <w:div w:id="1314455606">
      <w:bodyDiv w:val="1"/>
      <w:marLeft w:val="0"/>
      <w:marRight w:val="0"/>
      <w:marTop w:val="0"/>
      <w:marBottom w:val="0"/>
      <w:divBdr>
        <w:top w:val="none" w:sz="0" w:space="0" w:color="auto"/>
        <w:left w:val="none" w:sz="0" w:space="0" w:color="auto"/>
        <w:bottom w:val="none" w:sz="0" w:space="0" w:color="auto"/>
        <w:right w:val="none" w:sz="0" w:space="0" w:color="auto"/>
      </w:divBdr>
    </w:div>
    <w:div w:id="1316185763">
      <w:bodyDiv w:val="1"/>
      <w:marLeft w:val="0"/>
      <w:marRight w:val="0"/>
      <w:marTop w:val="0"/>
      <w:marBottom w:val="0"/>
      <w:divBdr>
        <w:top w:val="none" w:sz="0" w:space="0" w:color="auto"/>
        <w:left w:val="none" w:sz="0" w:space="0" w:color="auto"/>
        <w:bottom w:val="none" w:sz="0" w:space="0" w:color="auto"/>
        <w:right w:val="none" w:sz="0" w:space="0" w:color="auto"/>
      </w:divBdr>
    </w:div>
    <w:div w:id="1317296545">
      <w:bodyDiv w:val="1"/>
      <w:marLeft w:val="0"/>
      <w:marRight w:val="0"/>
      <w:marTop w:val="0"/>
      <w:marBottom w:val="0"/>
      <w:divBdr>
        <w:top w:val="none" w:sz="0" w:space="0" w:color="auto"/>
        <w:left w:val="none" w:sz="0" w:space="0" w:color="auto"/>
        <w:bottom w:val="none" w:sz="0" w:space="0" w:color="auto"/>
        <w:right w:val="none" w:sz="0" w:space="0" w:color="auto"/>
      </w:divBdr>
    </w:div>
    <w:div w:id="1318076840">
      <w:bodyDiv w:val="1"/>
      <w:marLeft w:val="0"/>
      <w:marRight w:val="0"/>
      <w:marTop w:val="0"/>
      <w:marBottom w:val="0"/>
      <w:divBdr>
        <w:top w:val="none" w:sz="0" w:space="0" w:color="auto"/>
        <w:left w:val="none" w:sz="0" w:space="0" w:color="auto"/>
        <w:bottom w:val="none" w:sz="0" w:space="0" w:color="auto"/>
        <w:right w:val="none" w:sz="0" w:space="0" w:color="auto"/>
      </w:divBdr>
    </w:div>
    <w:div w:id="1318387954">
      <w:bodyDiv w:val="1"/>
      <w:marLeft w:val="0"/>
      <w:marRight w:val="0"/>
      <w:marTop w:val="0"/>
      <w:marBottom w:val="0"/>
      <w:divBdr>
        <w:top w:val="none" w:sz="0" w:space="0" w:color="auto"/>
        <w:left w:val="none" w:sz="0" w:space="0" w:color="auto"/>
        <w:bottom w:val="none" w:sz="0" w:space="0" w:color="auto"/>
        <w:right w:val="none" w:sz="0" w:space="0" w:color="auto"/>
      </w:divBdr>
    </w:div>
    <w:div w:id="1318608908">
      <w:bodyDiv w:val="1"/>
      <w:marLeft w:val="0"/>
      <w:marRight w:val="0"/>
      <w:marTop w:val="0"/>
      <w:marBottom w:val="0"/>
      <w:divBdr>
        <w:top w:val="none" w:sz="0" w:space="0" w:color="auto"/>
        <w:left w:val="none" w:sz="0" w:space="0" w:color="auto"/>
        <w:bottom w:val="none" w:sz="0" w:space="0" w:color="auto"/>
        <w:right w:val="none" w:sz="0" w:space="0" w:color="auto"/>
      </w:divBdr>
    </w:div>
    <w:div w:id="1320377930">
      <w:bodyDiv w:val="1"/>
      <w:marLeft w:val="0"/>
      <w:marRight w:val="0"/>
      <w:marTop w:val="0"/>
      <w:marBottom w:val="0"/>
      <w:divBdr>
        <w:top w:val="none" w:sz="0" w:space="0" w:color="auto"/>
        <w:left w:val="none" w:sz="0" w:space="0" w:color="auto"/>
        <w:bottom w:val="none" w:sz="0" w:space="0" w:color="auto"/>
        <w:right w:val="none" w:sz="0" w:space="0" w:color="auto"/>
      </w:divBdr>
    </w:div>
    <w:div w:id="1320421492">
      <w:bodyDiv w:val="1"/>
      <w:marLeft w:val="0"/>
      <w:marRight w:val="0"/>
      <w:marTop w:val="0"/>
      <w:marBottom w:val="0"/>
      <w:divBdr>
        <w:top w:val="none" w:sz="0" w:space="0" w:color="auto"/>
        <w:left w:val="none" w:sz="0" w:space="0" w:color="auto"/>
        <w:bottom w:val="none" w:sz="0" w:space="0" w:color="auto"/>
        <w:right w:val="none" w:sz="0" w:space="0" w:color="auto"/>
      </w:divBdr>
    </w:div>
    <w:div w:id="1320577855">
      <w:bodyDiv w:val="1"/>
      <w:marLeft w:val="0"/>
      <w:marRight w:val="0"/>
      <w:marTop w:val="0"/>
      <w:marBottom w:val="0"/>
      <w:divBdr>
        <w:top w:val="none" w:sz="0" w:space="0" w:color="auto"/>
        <w:left w:val="none" w:sz="0" w:space="0" w:color="auto"/>
        <w:bottom w:val="none" w:sz="0" w:space="0" w:color="auto"/>
        <w:right w:val="none" w:sz="0" w:space="0" w:color="auto"/>
      </w:divBdr>
    </w:div>
    <w:div w:id="1321226044">
      <w:bodyDiv w:val="1"/>
      <w:marLeft w:val="0"/>
      <w:marRight w:val="0"/>
      <w:marTop w:val="0"/>
      <w:marBottom w:val="0"/>
      <w:divBdr>
        <w:top w:val="none" w:sz="0" w:space="0" w:color="auto"/>
        <w:left w:val="none" w:sz="0" w:space="0" w:color="auto"/>
        <w:bottom w:val="none" w:sz="0" w:space="0" w:color="auto"/>
        <w:right w:val="none" w:sz="0" w:space="0" w:color="auto"/>
      </w:divBdr>
    </w:div>
    <w:div w:id="1321617868">
      <w:bodyDiv w:val="1"/>
      <w:marLeft w:val="0"/>
      <w:marRight w:val="0"/>
      <w:marTop w:val="0"/>
      <w:marBottom w:val="0"/>
      <w:divBdr>
        <w:top w:val="none" w:sz="0" w:space="0" w:color="auto"/>
        <w:left w:val="none" w:sz="0" w:space="0" w:color="auto"/>
        <w:bottom w:val="none" w:sz="0" w:space="0" w:color="auto"/>
        <w:right w:val="none" w:sz="0" w:space="0" w:color="auto"/>
      </w:divBdr>
    </w:div>
    <w:div w:id="1323239124">
      <w:bodyDiv w:val="1"/>
      <w:marLeft w:val="0"/>
      <w:marRight w:val="0"/>
      <w:marTop w:val="0"/>
      <w:marBottom w:val="0"/>
      <w:divBdr>
        <w:top w:val="none" w:sz="0" w:space="0" w:color="auto"/>
        <w:left w:val="none" w:sz="0" w:space="0" w:color="auto"/>
        <w:bottom w:val="none" w:sz="0" w:space="0" w:color="auto"/>
        <w:right w:val="none" w:sz="0" w:space="0" w:color="auto"/>
      </w:divBdr>
    </w:div>
    <w:div w:id="1323434358">
      <w:bodyDiv w:val="1"/>
      <w:marLeft w:val="0"/>
      <w:marRight w:val="0"/>
      <w:marTop w:val="0"/>
      <w:marBottom w:val="0"/>
      <w:divBdr>
        <w:top w:val="none" w:sz="0" w:space="0" w:color="auto"/>
        <w:left w:val="none" w:sz="0" w:space="0" w:color="auto"/>
        <w:bottom w:val="none" w:sz="0" w:space="0" w:color="auto"/>
        <w:right w:val="none" w:sz="0" w:space="0" w:color="auto"/>
      </w:divBdr>
    </w:div>
    <w:div w:id="1323925298">
      <w:bodyDiv w:val="1"/>
      <w:marLeft w:val="0"/>
      <w:marRight w:val="0"/>
      <w:marTop w:val="0"/>
      <w:marBottom w:val="0"/>
      <w:divBdr>
        <w:top w:val="none" w:sz="0" w:space="0" w:color="auto"/>
        <w:left w:val="none" w:sz="0" w:space="0" w:color="auto"/>
        <w:bottom w:val="none" w:sz="0" w:space="0" w:color="auto"/>
        <w:right w:val="none" w:sz="0" w:space="0" w:color="auto"/>
      </w:divBdr>
    </w:div>
    <w:div w:id="1324092488">
      <w:bodyDiv w:val="1"/>
      <w:marLeft w:val="0"/>
      <w:marRight w:val="0"/>
      <w:marTop w:val="0"/>
      <w:marBottom w:val="0"/>
      <w:divBdr>
        <w:top w:val="none" w:sz="0" w:space="0" w:color="auto"/>
        <w:left w:val="none" w:sz="0" w:space="0" w:color="auto"/>
        <w:bottom w:val="none" w:sz="0" w:space="0" w:color="auto"/>
        <w:right w:val="none" w:sz="0" w:space="0" w:color="auto"/>
      </w:divBdr>
    </w:div>
    <w:div w:id="1325207750">
      <w:bodyDiv w:val="1"/>
      <w:marLeft w:val="0"/>
      <w:marRight w:val="0"/>
      <w:marTop w:val="0"/>
      <w:marBottom w:val="0"/>
      <w:divBdr>
        <w:top w:val="none" w:sz="0" w:space="0" w:color="auto"/>
        <w:left w:val="none" w:sz="0" w:space="0" w:color="auto"/>
        <w:bottom w:val="none" w:sz="0" w:space="0" w:color="auto"/>
        <w:right w:val="none" w:sz="0" w:space="0" w:color="auto"/>
      </w:divBdr>
    </w:div>
    <w:div w:id="1325820876">
      <w:bodyDiv w:val="1"/>
      <w:marLeft w:val="0"/>
      <w:marRight w:val="0"/>
      <w:marTop w:val="0"/>
      <w:marBottom w:val="0"/>
      <w:divBdr>
        <w:top w:val="none" w:sz="0" w:space="0" w:color="auto"/>
        <w:left w:val="none" w:sz="0" w:space="0" w:color="auto"/>
        <w:bottom w:val="none" w:sz="0" w:space="0" w:color="auto"/>
        <w:right w:val="none" w:sz="0" w:space="0" w:color="auto"/>
      </w:divBdr>
    </w:div>
    <w:div w:id="1327856424">
      <w:bodyDiv w:val="1"/>
      <w:marLeft w:val="0"/>
      <w:marRight w:val="0"/>
      <w:marTop w:val="0"/>
      <w:marBottom w:val="0"/>
      <w:divBdr>
        <w:top w:val="none" w:sz="0" w:space="0" w:color="auto"/>
        <w:left w:val="none" w:sz="0" w:space="0" w:color="auto"/>
        <w:bottom w:val="none" w:sz="0" w:space="0" w:color="auto"/>
        <w:right w:val="none" w:sz="0" w:space="0" w:color="auto"/>
      </w:divBdr>
    </w:div>
    <w:div w:id="1330595806">
      <w:bodyDiv w:val="1"/>
      <w:marLeft w:val="0"/>
      <w:marRight w:val="0"/>
      <w:marTop w:val="0"/>
      <w:marBottom w:val="0"/>
      <w:divBdr>
        <w:top w:val="none" w:sz="0" w:space="0" w:color="auto"/>
        <w:left w:val="none" w:sz="0" w:space="0" w:color="auto"/>
        <w:bottom w:val="none" w:sz="0" w:space="0" w:color="auto"/>
        <w:right w:val="none" w:sz="0" w:space="0" w:color="auto"/>
      </w:divBdr>
    </w:div>
    <w:div w:id="1331712807">
      <w:bodyDiv w:val="1"/>
      <w:marLeft w:val="0"/>
      <w:marRight w:val="0"/>
      <w:marTop w:val="0"/>
      <w:marBottom w:val="0"/>
      <w:divBdr>
        <w:top w:val="none" w:sz="0" w:space="0" w:color="auto"/>
        <w:left w:val="none" w:sz="0" w:space="0" w:color="auto"/>
        <w:bottom w:val="none" w:sz="0" w:space="0" w:color="auto"/>
        <w:right w:val="none" w:sz="0" w:space="0" w:color="auto"/>
      </w:divBdr>
    </w:div>
    <w:div w:id="1333021680">
      <w:bodyDiv w:val="1"/>
      <w:marLeft w:val="0"/>
      <w:marRight w:val="0"/>
      <w:marTop w:val="0"/>
      <w:marBottom w:val="0"/>
      <w:divBdr>
        <w:top w:val="none" w:sz="0" w:space="0" w:color="auto"/>
        <w:left w:val="none" w:sz="0" w:space="0" w:color="auto"/>
        <w:bottom w:val="none" w:sz="0" w:space="0" w:color="auto"/>
        <w:right w:val="none" w:sz="0" w:space="0" w:color="auto"/>
      </w:divBdr>
    </w:div>
    <w:div w:id="1333754016">
      <w:bodyDiv w:val="1"/>
      <w:marLeft w:val="0"/>
      <w:marRight w:val="0"/>
      <w:marTop w:val="0"/>
      <w:marBottom w:val="0"/>
      <w:divBdr>
        <w:top w:val="none" w:sz="0" w:space="0" w:color="auto"/>
        <w:left w:val="none" w:sz="0" w:space="0" w:color="auto"/>
        <w:bottom w:val="none" w:sz="0" w:space="0" w:color="auto"/>
        <w:right w:val="none" w:sz="0" w:space="0" w:color="auto"/>
      </w:divBdr>
    </w:div>
    <w:div w:id="1335914435">
      <w:bodyDiv w:val="1"/>
      <w:marLeft w:val="0"/>
      <w:marRight w:val="0"/>
      <w:marTop w:val="0"/>
      <w:marBottom w:val="0"/>
      <w:divBdr>
        <w:top w:val="none" w:sz="0" w:space="0" w:color="auto"/>
        <w:left w:val="none" w:sz="0" w:space="0" w:color="auto"/>
        <w:bottom w:val="none" w:sz="0" w:space="0" w:color="auto"/>
        <w:right w:val="none" w:sz="0" w:space="0" w:color="auto"/>
      </w:divBdr>
    </w:div>
    <w:div w:id="1337028464">
      <w:bodyDiv w:val="1"/>
      <w:marLeft w:val="0"/>
      <w:marRight w:val="0"/>
      <w:marTop w:val="0"/>
      <w:marBottom w:val="0"/>
      <w:divBdr>
        <w:top w:val="none" w:sz="0" w:space="0" w:color="auto"/>
        <w:left w:val="none" w:sz="0" w:space="0" w:color="auto"/>
        <w:bottom w:val="none" w:sz="0" w:space="0" w:color="auto"/>
        <w:right w:val="none" w:sz="0" w:space="0" w:color="auto"/>
      </w:divBdr>
    </w:div>
    <w:div w:id="1337491329">
      <w:bodyDiv w:val="1"/>
      <w:marLeft w:val="0"/>
      <w:marRight w:val="0"/>
      <w:marTop w:val="0"/>
      <w:marBottom w:val="0"/>
      <w:divBdr>
        <w:top w:val="none" w:sz="0" w:space="0" w:color="auto"/>
        <w:left w:val="none" w:sz="0" w:space="0" w:color="auto"/>
        <w:bottom w:val="none" w:sz="0" w:space="0" w:color="auto"/>
        <w:right w:val="none" w:sz="0" w:space="0" w:color="auto"/>
      </w:divBdr>
    </w:div>
    <w:div w:id="1339119218">
      <w:bodyDiv w:val="1"/>
      <w:marLeft w:val="0"/>
      <w:marRight w:val="0"/>
      <w:marTop w:val="0"/>
      <w:marBottom w:val="0"/>
      <w:divBdr>
        <w:top w:val="none" w:sz="0" w:space="0" w:color="auto"/>
        <w:left w:val="none" w:sz="0" w:space="0" w:color="auto"/>
        <w:bottom w:val="none" w:sz="0" w:space="0" w:color="auto"/>
        <w:right w:val="none" w:sz="0" w:space="0" w:color="auto"/>
      </w:divBdr>
    </w:div>
    <w:div w:id="1339119732">
      <w:bodyDiv w:val="1"/>
      <w:marLeft w:val="0"/>
      <w:marRight w:val="0"/>
      <w:marTop w:val="0"/>
      <w:marBottom w:val="0"/>
      <w:divBdr>
        <w:top w:val="none" w:sz="0" w:space="0" w:color="auto"/>
        <w:left w:val="none" w:sz="0" w:space="0" w:color="auto"/>
        <w:bottom w:val="none" w:sz="0" w:space="0" w:color="auto"/>
        <w:right w:val="none" w:sz="0" w:space="0" w:color="auto"/>
      </w:divBdr>
    </w:div>
    <w:div w:id="1339312006">
      <w:bodyDiv w:val="1"/>
      <w:marLeft w:val="0"/>
      <w:marRight w:val="0"/>
      <w:marTop w:val="0"/>
      <w:marBottom w:val="0"/>
      <w:divBdr>
        <w:top w:val="none" w:sz="0" w:space="0" w:color="auto"/>
        <w:left w:val="none" w:sz="0" w:space="0" w:color="auto"/>
        <w:bottom w:val="none" w:sz="0" w:space="0" w:color="auto"/>
        <w:right w:val="none" w:sz="0" w:space="0" w:color="auto"/>
      </w:divBdr>
    </w:div>
    <w:div w:id="1341002030">
      <w:bodyDiv w:val="1"/>
      <w:marLeft w:val="0"/>
      <w:marRight w:val="0"/>
      <w:marTop w:val="0"/>
      <w:marBottom w:val="0"/>
      <w:divBdr>
        <w:top w:val="none" w:sz="0" w:space="0" w:color="auto"/>
        <w:left w:val="none" w:sz="0" w:space="0" w:color="auto"/>
        <w:bottom w:val="none" w:sz="0" w:space="0" w:color="auto"/>
        <w:right w:val="none" w:sz="0" w:space="0" w:color="auto"/>
      </w:divBdr>
    </w:div>
    <w:div w:id="1341659003">
      <w:bodyDiv w:val="1"/>
      <w:marLeft w:val="0"/>
      <w:marRight w:val="0"/>
      <w:marTop w:val="0"/>
      <w:marBottom w:val="0"/>
      <w:divBdr>
        <w:top w:val="none" w:sz="0" w:space="0" w:color="auto"/>
        <w:left w:val="none" w:sz="0" w:space="0" w:color="auto"/>
        <w:bottom w:val="none" w:sz="0" w:space="0" w:color="auto"/>
        <w:right w:val="none" w:sz="0" w:space="0" w:color="auto"/>
      </w:divBdr>
    </w:div>
    <w:div w:id="1342004980">
      <w:bodyDiv w:val="1"/>
      <w:marLeft w:val="0"/>
      <w:marRight w:val="0"/>
      <w:marTop w:val="0"/>
      <w:marBottom w:val="0"/>
      <w:divBdr>
        <w:top w:val="none" w:sz="0" w:space="0" w:color="auto"/>
        <w:left w:val="none" w:sz="0" w:space="0" w:color="auto"/>
        <w:bottom w:val="none" w:sz="0" w:space="0" w:color="auto"/>
        <w:right w:val="none" w:sz="0" w:space="0" w:color="auto"/>
      </w:divBdr>
    </w:div>
    <w:div w:id="1344287548">
      <w:bodyDiv w:val="1"/>
      <w:marLeft w:val="0"/>
      <w:marRight w:val="0"/>
      <w:marTop w:val="0"/>
      <w:marBottom w:val="0"/>
      <w:divBdr>
        <w:top w:val="none" w:sz="0" w:space="0" w:color="auto"/>
        <w:left w:val="none" w:sz="0" w:space="0" w:color="auto"/>
        <w:bottom w:val="none" w:sz="0" w:space="0" w:color="auto"/>
        <w:right w:val="none" w:sz="0" w:space="0" w:color="auto"/>
      </w:divBdr>
    </w:div>
    <w:div w:id="1344626124">
      <w:bodyDiv w:val="1"/>
      <w:marLeft w:val="0"/>
      <w:marRight w:val="0"/>
      <w:marTop w:val="0"/>
      <w:marBottom w:val="0"/>
      <w:divBdr>
        <w:top w:val="none" w:sz="0" w:space="0" w:color="auto"/>
        <w:left w:val="none" w:sz="0" w:space="0" w:color="auto"/>
        <w:bottom w:val="none" w:sz="0" w:space="0" w:color="auto"/>
        <w:right w:val="none" w:sz="0" w:space="0" w:color="auto"/>
      </w:divBdr>
    </w:div>
    <w:div w:id="1344749753">
      <w:bodyDiv w:val="1"/>
      <w:marLeft w:val="0"/>
      <w:marRight w:val="0"/>
      <w:marTop w:val="0"/>
      <w:marBottom w:val="0"/>
      <w:divBdr>
        <w:top w:val="none" w:sz="0" w:space="0" w:color="auto"/>
        <w:left w:val="none" w:sz="0" w:space="0" w:color="auto"/>
        <w:bottom w:val="none" w:sz="0" w:space="0" w:color="auto"/>
        <w:right w:val="none" w:sz="0" w:space="0" w:color="auto"/>
      </w:divBdr>
    </w:div>
    <w:div w:id="1345129494">
      <w:bodyDiv w:val="1"/>
      <w:marLeft w:val="0"/>
      <w:marRight w:val="0"/>
      <w:marTop w:val="0"/>
      <w:marBottom w:val="0"/>
      <w:divBdr>
        <w:top w:val="none" w:sz="0" w:space="0" w:color="auto"/>
        <w:left w:val="none" w:sz="0" w:space="0" w:color="auto"/>
        <w:bottom w:val="none" w:sz="0" w:space="0" w:color="auto"/>
        <w:right w:val="none" w:sz="0" w:space="0" w:color="auto"/>
      </w:divBdr>
    </w:div>
    <w:div w:id="1345670216">
      <w:bodyDiv w:val="1"/>
      <w:marLeft w:val="0"/>
      <w:marRight w:val="0"/>
      <w:marTop w:val="0"/>
      <w:marBottom w:val="0"/>
      <w:divBdr>
        <w:top w:val="none" w:sz="0" w:space="0" w:color="auto"/>
        <w:left w:val="none" w:sz="0" w:space="0" w:color="auto"/>
        <w:bottom w:val="none" w:sz="0" w:space="0" w:color="auto"/>
        <w:right w:val="none" w:sz="0" w:space="0" w:color="auto"/>
      </w:divBdr>
    </w:div>
    <w:div w:id="1345980117">
      <w:bodyDiv w:val="1"/>
      <w:marLeft w:val="0"/>
      <w:marRight w:val="0"/>
      <w:marTop w:val="0"/>
      <w:marBottom w:val="0"/>
      <w:divBdr>
        <w:top w:val="none" w:sz="0" w:space="0" w:color="auto"/>
        <w:left w:val="none" w:sz="0" w:space="0" w:color="auto"/>
        <w:bottom w:val="none" w:sz="0" w:space="0" w:color="auto"/>
        <w:right w:val="none" w:sz="0" w:space="0" w:color="auto"/>
      </w:divBdr>
    </w:div>
    <w:div w:id="1346706377">
      <w:bodyDiv w:val="1"/>
      <w:marLeft w:val="0"/>
      <w:marRight w:val="0"/>
      <w:marTop w:val="0"/>
      <w:marBottom w:val="0"/>
      <w:divBdr>
        <w:top w:val="none" w:sz="0" w:space="0" w:color="auto"/>
        <w:left w:val="none" w:sz="0" w:space="0" w:color="auto"/>
        <w:bottom w:val="none" w:sz="0" w:space="0" w:color="auto"/>
        <w:right w:val="none" w:sz="0" w:space="0" w:color="auto"/>
      </w:divBdr>
    </w:div>
    <w:div w:id="1346708297">
      <w:bodyDiv w:val="1"/>
      <w:marLeft w:val="0"/>
      <w:marRight w:val="0"/>
      <w:marTop w:val="0"/>
      <w:marBottom w:val="0"/>
      <w:divBdr>
        <w:top w:val="none" w:sz="0" w:space="0" w:color="auto"/>
        <w:left w:val="none" w:sz="0" w:space="0" w:color="auto"/>
        <w:bottom w:val="none" w:sz="0" w:space="0" w:color="auto"/>
        <w:right w:val="none" w:sz="0" w:space="0" w:color="auto"/>
      </w:divBdr>
    </w:div>
    <w:div w:id="1347320055">
      <w:bodyDiv w:val="1"/>
      <w:marLeft w:val="0"/>
      <w:marRight w:val="0"/>
      <w:marTop w:val="0"/>
      <w:marBottom w:val="0"/>
      <w:divBdr>
        <w:top w:val="none" w:sz="0" w:space="0" w:color="auto"/>
        <w:left w:val="none" w:sz="0" w:space="0" w:color="auto"/>
        <w:bottom w:val="none" w:sz="0" w:space="0" w:color="auto"/>
        <w:right w:val="none" w:sz="0" w:space="0" w:color="auto"/>
      </w:divBdr>
    </w:div>
    <w:div w:id="1349714875">
      <w:bodyDiv w:val="1"/>
      <w:marLeft w:val="0"/>
      <w:marRight w:val="0"/>
      <w:marTop w:val="0"/>
      <w:marBottom w:val="0"/>
      <w:divBdr>
        <w:top w:val="none" w:sz="0" w:space="0" w:color="auto"/>
        <w:left w:val="none" w:sz="0" w:space="0" w:color="auto"/>
        <w:bottom w:val="none" w:sz="0" w:space="0" w:color="auto"/>
        <w:right w:val="none" w:sz="0" w:space="0" w:color="auto"/>
      </w:divBdr>
    </w:div>
    <w:div w:id="1349871026">
      <w:bodyDiv w:val="1"/>
      <w:marLeft w:val="0"/>
      <w:marRight w:val="0"/>
      <w:marTop w:val="0"/>
      <w:marBottom w:val="0"/>
      <w:divBdr>
        <w:top w:val="none" w:sz="0" w:space="0" w:color="auto"/>
        <w:left w:val="none" w:sz="0" w:space="0" w:color="auto"/>
        <w:bottom w:val="none" w:sz="0" w:space="0" w:color="auto"/>
        <w:right w:val="none" w:sz="0" w:space="0" w:color="auto"/>
      </w:divBdr>
    </w:div>
    <w:div w:id="1350058429">
      <w:bodyDiv w:val="1"/>
      <w:marLeft w:val="0"/>
      <w:marRight w:val="0"/>
      <w:marTop w:val="0"/>
      <w:marBottom w:val="0"/>
      <w:divBdr>
        <w:top w:val="none" w:sz="0" w:space="0" w:color="auto"/>
        <w:left w:val="none" w:sz="0" w:space="0" w:color="auto"/>
        <w:bottom w:val="none" w:sz="0" w:space="0" w:color="auto"/>
        <w:right w:val="none" w:sz="0" w:space="0" w:color="auto"/>
      </w:divBdr>
    </w:div>
    <w:div w:id="1350985352">
      <w:bodyDiv w:val="1"/>
      <w:marLeft w:val="0"/>
      <w:marRight w:val="0"/>
      <w:marTop w:val="0"/>
      <w:marBottom w:val="0"/>
      <w:divBdr>
        <w:top w:val="none" w:sz="0" w:space="0" w:color="auto"/>
        <w:left w:val="none" w:sz="0" w:space="0" w:color="auto"/>
        <w:bottom w:val="none" w:sz="0" w:space="0" w:color="auto"/>
        <w:right w:val="none" w:sz="0" w:space="0" w:color="auto"/>
      </w:divBdr>
    </w:div>
    <w:div w:id="1351253560">
      <w:bodyDiv w:val="1"/>
      <w:marLeft w:val="0"/>
      <w:marRight w:val="0"/>
      <w:marTop w:val="0"/>
      <w:marBottom w:val="0"/>
      <w:divBdr>
        <w:top w:val="none" w:sz="0" w:space="0" w:color="auto"/>
        <w:left w:val="none" w:sz="0" w:space="0" w:color="auto"/>
        <w:bottom w:val="none" w:sz="0" w:space="0" w:color="auto"/>
        <w:right w:val="none" w:sz="0" w:space="0" w:color="auto"/>
      </w:divBdr>
    </w:div>
    <w:div w:id="1351298880">
      <w:bodyDiv w:val="1"/>
      <w:marLeft w:val="0"/>
      <w:marRight w:val="0"/>
      <w:marTop w:val="0"/>
      <w:marBottom w:val="0"/>
      <w:divBdr>
        <w:top w:val="none" w:sz="0" w:space="0" w:color="auto"/>
        <w:left w:val="none" w:sz="0" w:space="0" w:color="auto"/>
        <w:bottom w:val="none" w:sz="0" w:space="0" w:color="auto"/>
        <w:right w:val="none" w:sz="0" w:space="0" w:color="auto"/>
      </w:divBdr>
    </w:div>
    <w:div w:id="1352874207">
      <w:bodyDiv w:val="1"/>
      <w:marLeft w:val="0"/>
      <w:marRight w:val="0"/>
      <w:marTop w:val="0"/>
      <w:marBottom w:val="0"/>
      <w:divBdr>
        <w:top w:val="none" w:sz="0" w:space="0" w:color="auto"/>
        <w:left w:val="none" w:sz="0" w:space="0" w:color="auto"/>
        <w:bottom w:val="none" w:sz="0" w:space="0" w:color="auto"/>
        <w:right w:val="none" w:sz="0" w:space="0" w:color="auto"/>
      </w:divBdr>
    </w:div>
    <w:div w:id="1354039396">
      <w:bodyDiv w:val="1"/>
      <w:marLeft w:val="0"/>
      <w:marRight w:val="0"/>
      <w:marTop w:val="0"/>
      <w:marBottom w:val="0"/>
      <w:divBdr>
        <w:top w:val="none" w:sz="0" w:space="0" w:color="auto"/>
        <w:left w:val="none" w:sz="0" w:space="0" w:color="auto"/>
        <w:bottom w:val="none" w:sz="0" w:space="0" w:color="auto"/>
        <w:right w:val="none" w:sz="0" w:space="0" w:color="auto"/>
      </w:divBdr>
    </w:div>
    <w:div w:id="1355956976">
      <w:bodyDiv w:val="1"/>
      <w:marLeft w:val="0"/>
      <w:marRight w:val="0"/>
      <w:marTop w:val="0"/>
      <w:marBottom w:val="0"/>
      <w:divBdr>
        <w:top w:val="none" w:sz="0" w:space="0" w:color="auto"/>
        <w:left w:val="none" w:sz="0" w:space="0" w:color="auto"/>
        <w:bottom w:val="none" w:sz="0" w:space="0" w:color="auto"/>
        <w:right w:val="none" w:sz="0" w:space="0" w:color="auto"/>
      </w:divBdr>
    </w:div>
    <w:div w:id="1356034768">
      <w:bodyDiv w:val="1"/>
      <w:marLeft w:val="0"/>
      <w:marRight w:val="0"/>
      <w:marTop w:val="0"/>
      <w:marBottom w:val="0"/>
      <w:divBdr>
        <w:top w:val="none" w:sz="0" w:space="0" w:color="auto"/>
        <w:left w:val="none" w:sz="0" w:space="0" w:color="auto"/>
        <w:bottom w:val="none" w:sz="0" w:space="0" w:color="auto"/>
        <w:right w:val="none" w:sz="0" w:space="0" w:color="auto"/>
      </w:divBdr>
    </w:div>
    <w:div w:id="1357074898">
      <w:bodyDiv w:val="1"/>
      <w:marLeft w:val="0"/>
      <w:marRight w:val="0"/>
      <w:marTop w:val="0"/>
      <w:marBottom w:val="0"/>
      <w:divBdr>
        <w:top w:val="none" w:sz="0" w:space="0" w:color="auto"/>
        <w:left w:val="none" w:sz="0" w:space="0" w:color="auto"/>
        <w:bottom w:val="none" w:sz="0" w:space="0" w:color="auto"/>
        <w:right w:val="none" w:sz="0" w:space="0" w:color="auto"/>
      </w:divBdr>
    </w:div>
    <w:div w:id="1357462647">
      <w:bodyDiv w:val="1"/>
      <w:marLeft w:val="0"/>
      <w:marRight w:val="0"/>
      <w:marTop w:val="0"/>
      <w:marBottom w:val="0"/>
      <w:divBdr>
        <w:top w:val="none" w:sz="0" w:space="0" w:color="auto"/>
        <w:left w:val="none" w:sz="0" w:space="0" w:color="auto"/>
        <w:bottom w:val="none" w:sz="0" w:space="0" w:color="auto"/>
        <w:right w:val="none" w:sz="0" w:space="0" w:color="auto"/>
      </w:divBdr>
      <w:divsChild>
        <w:div w:id="1885369644">
          <w:marLeft w:val="0"/>
          <w:marRight w:val="0"/>
          <w:marTop w:val="0"/>
          <w:marBottom w:val="0"/>
          <w:divBdr>
            <w:top w:val="none" w:sz="0" w:space="0" w:color="auto"/>
            <w:left w:val="none" w:sz="0" w:space="0" w:color="auto"/>
            <w:bottom w:val="none" w:sz="0" w:space="0" w:color="auto"/>
            <w:right w:val="none" w:sz="0" w:space="0" w:color="auto"/>
          </w:divBdr>
          <w:divsChild>
            <w:div w:id="1813448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7657966">
      <w:bodyDiv w:val="1"/>
      <w:marLeft w:val="0"/>
      <w:marRight w:val="0"/>
      <w:marTop w:val="0"/>
      <w:marBottom w:val="0"/>
      <w:divBdr>
        <w:top w:val="none" w:sz="0" w:space="0" w:color="auto"/>
        <w:left w:val="none" w:sz="0" w:space="0" w:color="auto"/>
        <w:bottom w:val="none" w:sz="0" w:space="0" w:color="auto"/>
        <w:right w:val="none" w:sz="0" w:space="0" w:color="auto"/>
      </w:divBdr>
    </w:div>
    <w:div w:id="1357851243">
      <w:bodyDiv w:val="1"/>
      <w:marLeft w:val="0"/>
      <w:marRight w:val="0"/>
      <w:marTop w:val="0"/>
      <w:marBottom w:val="0"/>
      <w:divBdr>
        <w:top w:val="none" w:sz="0" w:space="0" w:color="auto"/>
        <w:left w:val="none" w:sz="0" w:space="0" w:color="auto"/>
        <w:bottom w:val="none" w:sz="0" w:space="0" w:color="auto"/>
        <w:right w:val="none" w:sz="0" w:space="0" w:color="auto"/>
      </w:divBdr>
    </w:div>
    <w:div w:id="1360012461">
      <w:bodyDiv w:val="1"/>
      <w:marLeft w:val="0"/>
      <w:marRight w:val="0"/>
      <w:marTop w:val="0"/>
      <w:marBottom w:val="0"/>
      <w:divBdr>
        <w:top w:val="none" w:sz="0" w:space="0" w:color="auto"/>
        <w:left w:val="none" w:sz="0" w:space="0" w:color="auto"/>
        <w:bottom w:val="none" w:sz="0" w:space="0" w:color="auto"/>
        <w:right w:val="none" w:sz="0" w:space="0" w:color="auto"/>
      </w:divBdr>
    </w:div>
    <w:div w:id="1360813252">
      <w:bodyDiv w:val="1"/>
      <w:marLeft w:val="0"/>
      <w:marRight w:val="0"/>
      <w:marTop w:val="0"/>
      <w:marBottom w:val="0"/>
      <w:divBdr>
        <w:top w:val="none" w:sz="0" w:space="0" w:color="auto"/>
        <w:left w:val="none" w:sz="0" w:space="0" w:color="auto"/>
        <w:bottom w:val="none" w:sz="0" w:space="0" w:color="auto"/>
        <w:right w:val="none" w:sz="0" w:space="0" w:color="auto"/>
      </w:divBdr>
    </w:div>
    <w:div w:id="1362433231">
      <w:bodyDiv w:val="1"/>
      <w:marLeft w:val="0"/>
      <w:marRight w:val="0"/>
      <w:marTop w:val="0"/>
      <w:marBottom w:val="0"/>
      <w:divBdr>
        <w:top w:val="none" w:sz="0" w:space="0" w:color="auto"/>
        <w:left w:val="none" w:sz="0" w:space="0" w:color="auto"/>
        <w:bottom w:val="none" w:sz="0" w:space="0" w:color="auto"/>
        <w:right w:val="none" w:sz="0" w:space="0" w:color="auto"/>
      </w:divBdr>
    </w:div>
    <w:div w:id="1362634264">
      <w:bodyDiv w:val="1"/>
      <w:marLeft w:val="0"/>
      <w:marRight w:val="0"/>
      <w:marTop w:val="0"/>
      <w:marBottom w:val="0"/>
      <w:divBdr>
        <w:top w:val="none" w:sz="0" w:space="0" w:color="auto"/>
        <w:left w:val="none" w:sz="0" w:space="0" w:color="auto"/>
        <w:bottom w:val="none" w:sz="0" w:space="0" w:color="auto"/>
        <w:right w:val="none" w:sz="0" w:space="0" w:color="auto"/>
      </w:divBdr>
    </w:div>
    <w:div w:id="1362705755">
      <w:bodyDiv w:val="1"/>
      <w:marLeft w:val="0"/>
      <w:marRight w:val="0"/>
      <w:marTop w:val="0"/>
      <w:marBottom w:val="0"/>
      <w:divBdr>
        <w:top w:val="none" w:sz="0" w:space="0" w:color="auto"/>
        <w:left w:val="none" w:sz="0" w:space="0" w:color="auto"/>
        <w:bottom w:val="none" w:sz="0" w:space="0" w:color="auto"/>
        <w:right w:val="none" w:sz="0" w:space="0" w:color="auto"/>
      </w:divBdr>
    </w:div>
    <w:div w:id="1363286493">
      <w:bodyDiv w:val="1"/>
      <w:marLeft w:val="0"/>
      <w:marRight w:val="0"/>
      <w:marTop w:val="0"/>
      <w:marBottom w:val="0"/>
      <w:divBdr>
        <w:top w:val="none" w:sz="0" w:space="0" w:color="auto"/>
        <w:left w:val="none" w:sz="0" w:space="0" w:color="auto"/>
        <w:bottom w:val="none" w:sz="0" w:space="0" w:color="auto"/>
        <w:right w:val="none" w:sz="0" w:space="0" w:color="auto"/>
      </w:divBdr>
    </w:div>
    <w:div w:id="1363675140">
      <w:bodyDiv w:val="1"/>
      <w:marLeft w:val="0"/>
      <w:marRight w:val="0"/>
      <w:marTop w:val="0"/>
      <w:marBottom w:val="0"/>
      <w:divBdr>
        <w:top w:val="none" w:sz="0" w:space="0" w:color="auto"/>
        <w:left w:val="none" w:sz="0" w:space="0" w:color="auto"/>
        <w:bottom w:val="none" w:sz="0" w:space="0" w:color="auto"/>
        <w:right w:val="none" w:sz="0" w:space="0" w:color="auto"/>
      </w:divBdr>
    </w:div>
    <w:div w:id="1364094018">
      <w:bodyDiv w:val="1"/>
      <w:marLeft w:val="0"/>
      <w:marRight w:val="0"/>
      <w:marTop w:val="0"/>
      <w:marBottom w:val="0"/>
      <w:divBdr>
        <w:top w:val="none" w:sz="0" w:space="0" w:color="auto"/>
        <w:left w:val="none" w:sz="0" w:space="0" w:color="auto"/>
        <w:bottom w:val="none" w:sz="0" w:space="0" w:color="auto"/>
        <w:right w:val="none" w:sz="0" w:space="0" w:color="auto"/>
      </w:divBdr>
    </w:div>
    <w:div w:id="1364552753">
      <w:bodyDiv w:val="1"/>
      <w:marLeft w:val="0"/>
      <w:marRight w:val="0"/>
      <w:marTop w:val="0"/>
      <w:marBottom w:val="0"/>
      <w:divBdr>
        <w:top w:val="none" w:sz="0" w:space="0" w:color="auto"/>
        <w:left w:val="none" w:sz="0" w:space="0" w:color="auto"/>
        <w:bottom w:val="none" w:sz="0" w:space="0" w:color="auto"/>
        <w:right w:val="none" w:sz="0" w:space="0" w:color="auto"/>
      </w:divBdr>
    </w:div>
    <w:div w:id="1364941069">
      <w:bodyDiv w:val="1"/>
      <w:marLeft w:val="0"/>
      <w:marRight w:val="0"/>
      <w:marTop w:val="0"/>
      <w:marBottom w:val="0"/>
      <w:divBdr>
        <w:top w:val="none" w:sz="0" w:space="0" w:color="auto"/>
        <w:left w:val="none" w:sz="0" w:space="0" w:color="auto"/>
        <w:bottom w:val="none" w:sz="0" w:space="0" w:color="auto"/>
        <w:right w:val="none" w:sz="0" w:space="0" w:color="auto"/>
      </w:divBdr>
    </w:div>
    <w:div w:id="1365322409">
      <w:bodyDiv w:val="1"/>
      <w:marLeft w:val="0"/>
      <w:marRight w:val="0"/>
      <w:marTop w:val="0"/>
      <w:marBottom w:val="0"/>
      <w:divBdr>
        <w:top w:val="none" w:sz="0" w:space="0" w:color="auto"/>
        <w:left w:val="none" w:sz="0" w:space="0" w:color="auto"/>
        <w:bottom w:val="none" w:sz="0" w:space="0" w:color="auto"/>
        <w:right w:val="none" w:sz="0" w:space="0" w:color="auto"/>
      </w:divBdr>
    </w:div>
    <w:div w:id="1366098415">
      <w:bodyDiv w:val="1"/>
      <w:marLeft w:val="0"/>
      <w:marRight w:val="0"/>
      <w:marTop w:val="0"/>
      <w:marBottom w:val="0"/>
      <w:divBdr>
        <w:top w:val="none" w:sz="0" w:space="0" w:color="auto"/>
        <w:left w:val="none" w:sz="0" w:space="0" w:color="auto"/>
        <w:bottom w:val="none" w:sz="0" w:space="0" w:color="auto"/>
        <w:right w:val="none" w:sz="0" w:space="0" w:color="auto"/>
      </w:divBdr>
    </w:div>
    <w:div w:id="1366906102">
      <w:bodyDiv w:val="1"/>
      <w:marLeft w:val="0"/>
      <w:marRight w:val="0"/>
      <w:marTop w:val="0"/>
      <w:marBottom w:val="0"/>
      <w:divBdr>
        <w:top w:val="none" w:sz="0" w:space="0" w:color="auto"/>
        <w:left w:val="none" w:sz="0" w:space="0" w:color="auto"/>
        <w:bottom w:val="none" w:sz="0" w:space="0" w:color="auto"/>
        <w:right w:val="none" w:sz="0" w:space="0" w:color="auto"/>
      </w:divBdr>
    </w:div>
    <w:div w:id="1368679773">
      <w:bodyDiv w:val="1"/>
      <w:marLeft w:val="0"/>
      <w:marRight w:val="0"/>
      <w:marTop w:val="0"/>
      <w:marBottom w:val="0"/>
      <w:divBdr>
        <w:top w:val="none" w:sz="0" w:space="0" w:color="auto"/>
        <w:left w:val="none" w:sz="0" w:space="0" w:color="auto"/>
        <w:bottom w:val="none" w:sz="0" w:space="0" w:color="auto"/>
        <w:right w:val="none" w:sz="0" w:space="0" w:color="auto"/>
      </w:divBdr>
    </w:div>
    <w:div w:id="1368986555">
      <w:bodyDiv w:val="1"/>
      <w:marLeft w:val="0"/>
      <w:marRight w:val="0"/>
      <w:marTop w:val="0"/>
      <w:marBottom w:val="0"/>
      <w:divBdr>
        <w:top w:val="none" w:sz="0" w:space="0" w:color="auto"/>
        <w:left w:val="none" w:sz="0" w:space="0" w:color="auto"/>
        <w:bottom w:val="none" w:sz="0" w:space="0" w:color="auto"/>
        <w:right w:val="none" w:sz="0" w:space="0" w:color="auto"/>
      </w:divBdr>
    </w:div>
    <w:div w:id="1369645894">
      <w:bodyDiv w:val="1"/>
      <w:marLeft w:val="0"/>
      <w:marRight w:val="0"/>
      <w:marTop w:val="0"/>
      <w:marBottom w:val="0"/>
      <w:divBdr>
        <w:top w:val="none" w:sz="0" w:space="0" w:color="auto"/>
        <w:left w:val="none" w:sz="0" w:space="0" w:color="auto"/>
        <w:bottom w:val="none" w:sz="0" w:space="0" w:color="auto"/>
        <w:right w:val="none" w:sz="0" w:space="0" w:color="auto"/>
      </w:divBdr>
    </w:div>
    <w:div w:id="1370690570">
      <w:bodyDiv w:val="1"/>
      <w:marLeft w:val="0"/>
      <w:marRight w:val="0"/>
      <w:marTop w:val="0"/>
      <w:marBottom w:val="0"/>
      <w:divBdr>
        <w:top w:val="none" w:sz="0" w:space="0" w:color="auto"/>
        <w:left w:val="none" w:sz="0" w:space="0" w:color="auto"/>
        <w:bottom w:val="none" w:sz="0" w:space="0" w:color="auto"/>
        <w:right w:val="none" w:sz="0" w:space="0" w:color="auto"/>
      </w:divBdr>
    </w:div>
    <w:div w:id="1371103379">
      <w:bodyDiv w:val="1"/>
      <w:marLeft w:val="0"/>
      <w:marRight w:val="0"/>
      <w:marTop w:val="0"/>
      <w:marBottom w:val="0"/>
      <w:divBdr>
        <w:top w:val="none" w:sz="0" w:space="0" w:color="auto"/>
        <w:left w:val="none" w:sz="0" w:space="0" w:color="auto"/>
        <w:bottom w:val="none" w:sz="0" w:space="0" w:color="auto"/>
        <w:right w:val="none" w:sz="0" w:space="0" w:color="auto"/>
      </w:divBdr>
    </w:div>
    <w:div w:id="1372801037">
      <w:bodyDiv w:val="1"/>
      <w:marLeft w:val="0"/>
      <w:marRight w:val="0"/>
      <w:marTop w:val="0"/>
      <w:marBottom w:val="0"/>
      <w:divBdr>
        <w:top w:val="none" w:sz="0" w:space="0" w:color="auto"/>
        <w:left w:val="none" w:sz="0" w:space="0" w:color="auto"/>
        <w:bottom w:val="none" w:sz="0" w:space="0" w:color="auto"/>
        <w:right w:val="none" w:sz="0" w:space="0" w:color="auto"/>
      </w:divBdr>
    </w:div>
    <w:div w:id="1373966916">
      <w:bodyDiv w:val="1"/>
      <w:marLeft w:val="0"/>
      <w:marRight w:val="0"/>
      <w:marTop w:val="0"/>
      <w:marBottom w:val="0"/>
      <w:divBdr>
        <w:top w:val="none" w:sz="0" w:space="0" w:color="auto"/>
        <w:left w:val="none" w:sz="0" w:space="0" w:color="auto"/>
        <w:bottom w:val="none" w:sz="0" w:space="0" w:color="auto"/>
        <w:right w:val="none" w:sz="0" w:space="0" w:color="auto"/>
      </w:divBdr>
    </w:div>
    <w:div w:id="1374769851">
      <w:bodyDiv w:val="1"/>
      <w:marLeft w:val="0"/>
      <w:marRight w:val="0"/>
      <w:marTop w:val="0"/>
      <w:marBottom w:val="0"/>
      <w:divBdr>
        <w:top w:val="none" w:sz="0" w:space="0" w:color="auto"/>
        <w:left w:val="none" w:sz="0" w:space="0" w:color="auto"/>
        <w:bottom w:val="none" w:sz="0" w:space="0" w:color="auto"/>
        <w:right w:val="none" w:sz="0" w:space="0" w:color="auto"/>
      </w:divBdr>
    </w:div>
    <w:div w:id="1375544711">
      <w:bodyDiv w:val="1"/>
      <w:marLeft w:val="0"/>
      <w:marRight w:val="0"/>
      <w:marTop w:val="0"/>
      <w:marBottom w:val="0"/>
      <w:divBdr>
        <w:top w:val="none" w:sz="0" w:space="0" w:color="auto"/>
        <w:left w:val="none" w:sz="0" w:space="0" w:color="auto"/>
        <w:bottom w:val="none" w:sz="0" w:space="0" w:color="auto"/>
        <w:right w:val="none" w:sz="0" w:space="0" w:color="auto"/>
      </w:divBdr>
    </w:div>
    <w:div w:id="1377270140">
      <w:bodyDiv w:val="1"/>
      <w:marLeft w:val="0"/>
      <w:marRight w:val="0"/>
      <w:marTop w:val="0"/>
      <w:marBottom w:val="0"/>
      <w:divBdr>
        <w:top w:val="none" w:sz="0" w:space="0" w:color="auto"/>
        <w:left w:val="none" w:sz="0" w:space="0" w:color="auto"/>
        <w:bottom w:val="none" w:sz="0" w:space="0" w:color="auto"/>
        <w:right w:val="none" w:sz="0" w:space="0" w:color="auto"/>
      </w:divBdr>
    </w:div>
    <w:div w:id="1377702741">
      <w:bodyDiv w:val="1"/>
      <w:marLeft w:val="0"/>
      <w:marRight w:val="0"/>
      <w:marTop w:val="0"/>
      <w:marBottom w:val="0"/>
      <w:divBdr>
        <w:top w:val="none" w:sz="0" w:space="0" w:color="auto"/>
        <w:left w:val="none" w:sz="0" w:space="0" w:color="auto"/>
        <w:bottom w:val="none" w:sz="0" w:space="0" w:color="auto"/>
        <w:right w:val="none" w:sz="0" w:space="0" w:color="auto"/>
      </w:divBdr>
    </w:div>
    <w:div w:id="1377924541">
      <w:bodyDiv w:val="1"/>
      <w:marLeft w:val="0"/>
      <w:marRight w:val="0"/>
      <w:marTop w:val="0"/>
      <w:marBottom w:val="0"/>
      <w:divBdr>
        <w:top w:val="none" w:sz="0" w:space="0" w:color="auto"/>
        <w:left w:val="none" w:sz="0" w:space="0" w:color="auto"/>
        <w:bottom w:val="none" w:sz="0" w:space="0" w:color="auto"/>
        <w:right w:val="none" w:sz="0" w:space="0" w:color="auto"/>
      </w:divBdr>
    </w:div>
    <w:div w:id="1378747357">
      <w:bodyDiv w:val="1"/>
      <w:marLeft w:val="0"/>
      <w:marRight w:val="0"/>
      <w:marTop w:val="0"/>
      <w:marBottom w:val="0"/>
      <w:divBdr>
        <w:top w:val="none" w:sz="0" w:space="0" w:color="auto"/>
        <w:left w:val="none" w:sz="0" w:space="0" w:color="auto"/>
        <w:bottom w:val="none" w:sz="0" w:space="0" w:color="auto"/>
        <w:right w:val="none" w:sz="0" w:space="0" w:color="auto"/>
      </w:divBdr>
    </w:div>
    <w:div w:id="1378772517">
      <w:bodyDiv w:val="1"/>
      <w:marLeft w:val="0"/>
      <w:marRight w:val="0"/>
      <w:marTop w:val="0"/>
      <w:marBottom w:val="0"/>
      <w:divBdr>
        <w:top w:val="none" w:sz="0" w:space="0" w:color="auto"/>
        <w:left w:val="none" w:sz="0" w:space="0" w:color="auto"/>
        <w:bottom w:val="none" w:sz="0" w:space="0" w:color="auto"/>
        <w:right w:val="none" w:sz="0" w:space="0" w:color="auto"/>
      </w:divBdr>
    </w:div>
    <w:div w:id="1378814484">
      <w:bodyDiv w:val="1"/>
      <w:marLeft w:val="0"/>
      <w:marRight w:val="0"/>
      <w:marTop w:val="0"/>
      <w:marBottom w:val="0"/>
      <w:divBdr>
        <w:top w:val="none" w:sz="0" w:space="0" w:color="auto"/>
        <w:left w:val="none" w:sz="0" w:space="0" w:color="auto"/>
        <w:bottom w:val="none" w:sz="0" w:space="0" w:color="auto"/>
        <w:right w:val="none" w:sz="0" w:space="0" w:color="auto"/>
      </w:divBdr>
    </w:div>
    <w:div w:id="1378893624">
      <w:bodyDiv w:val="1"/>
      <w:marLeft w:val="0"/>
      <w:marRight w:val="0"/>
      <w:marTop w:val="0"/>
      <w:marBottom w:val="0"/>
      <w:divBdr>
        <w:top w:val="none" w:sz="0" w:space="0" w:color="auto"/>
        <w:left w:val="none" w:sz="0" w:space="0" w:color="auto"/>
        <w:bottom w:val="none" w:sz="0" w:space="0" w:color="auto"/>
        <w:right w:val="none" w:sz="0" w:space="0" w:color="auto"/>
      </w:divBdr>
    </w:div>
    <w:div w:id="1380200508">
      <w:bodyDiv w:val="1"/>
      <w:marLeft w:val="0"/>
      <w:marRight w:val="0"/>
      <w:marTop w:val="0"/>
      <w:marBottom w:val="0"/>
      <w:divBdr>
        <w:top w:val="none" w:sz="0" w:space="0" w:color="auto"/>
        <w:left w:val="none" w:sz="0" w:space="0" w:color="auto"/>
        <w:bottom w:val="none" w:sz="0" w:space="0" w:color="auto"/>
        <w:right w:val="none" w:sz="0" w:space="0" w:color="auto"/>
      </w:divBdr>
    </w:div>
    <w:div w:id="1380469666">
      <w:bodyDiv w:val="1"/>
      <w:marLeft w:val="0"/>
      <w:marRight w:val="0"/>
      <w:marTop w:val="0"/>
      <w:marBottom w:val="0"/>
      <w:divBdr>
        <w:top w:val="none" w:sz="0" w:space="0" w:color="auto"/>
        <w:left w:val="none" w:sz="0" w:space="0" w:color="auto"/>
        <w:bottom w:val="none" w:sz="0" w:space="0" w:color="auto"/>
        <w:right w:val="none" w:sz="0" w:space="0" w:color="auto"/>
      </w:divBdr>
    </w:div>
    <w:div w:id="1380855683">
      <w:bodyDiv w:val="1"/>
      <w:marLeft w:val="0"/>
      <w:marRight w:val="0"/>
      <w:marTop w:val="0"/>
      <w:marBottom w:val="0"/>
      <w:divBdr>
        <w:top w:val="none" w:sz="0" w:space="0" w:color="auto"/>
        <w:left w:val="none" w:sz="0" w:space="0" w:color="auto"/>
        <w:bottom w:val="none" w:sz="0" w:space="0" w:color="auto"/>
        <w:right w:val="none" w:sz="0" w:space="0" w:color="auto"/>
      </w:divBdr>
    </w:div>
    <w:div w:id="1381130611">
      <w:bodyDiv w:val="1"/>
      <w:marLeft w:val="0"/>
      <w:marRight w:val="0"/>
      <w:marTop w:val="0"/>
      <w:marBottom w:val="0"/>
      <w:divBdr>
        <w:top w:val="none" w:sz="0" w:space="0" w:color="auto"/>
        <w:left w:val="none" w:sz="0" w:space="0" w:color="auto"/>
        <w:bottom w:val="none" w:sz="0" w:space="0" w:color="auto"/>
        <w:right w:val="none" w:sz="0" w:space="0" w:color="auto"/>
      </w:divBdr>
    </w:div>
    <w:div w:id="1383361117">
      <w:bodyDiv w:val="1"/>
      <w:marLeft w:val="0"/>
      <w:marRight w:val="0"/>
      <w:marTop w:val="0"/>
      <w:marBottom w:val="0"/>
      <w:divBdr>
        <w:top w:val="none" w:sz="0" w:space="0" w:color="auto"/>
        <w:left w:val="none" w:sz="0" w:space="0" w:color="auto"/>
        <w:bottom w:val="none" w:sz="0" w:space="0" w:color="auto"/>
        <w:right w:val="none" w:sz="0" w:space="0" w:color="auto"/>
      </w:divBdr>
    </w:div>
    <w:div w:id="1383476411">
      <w:bodyDiv w:val="1"/>
      <w:marLeft w:val="0"/>
      <w:marRight w:val="0"/>
      <w:marTop w:val="0"/>
      <w:marBottom w:val="0"/>
      <w:divBdr>
        <w:top w:val="none" w:sz="0" w:space="0" w:color="auto"/>
        <w:left w:val="none" w:sz="0" w:space="0" w:color="auto"/>
        <w:bottom w:val="none" w:sz="0" w:space="0" w:color="auto"/>
        <w:right w:val="none" w:sz="0" w:space="0" w:color="auto"/>
      </w:divBdr>
    </w:div>
    <w:div w:id="1384912246">
      <w:bodyDiv w:val="1"/>
      <w:marLeft w:val="0"/>
      <w:marRight w:val="0"/>
      <w:marTop w:val="0"/>
      <w:marBottom w:val="0"/>
      <w:divBdr>
        <w:top w:val="none" w:sz="0" w:space="0" w:color="auto"/>
        <w:left w:val="none" w:sz="0" w:space="0" w:color="auto"/>
        <w:bottom w:val="none" w:sz="0" w:space="0" w:color="auto"/>
        <w:right w:val="none" w:sz="0" w:space="0" w:color="auto"/>
      </w:divBdr>
    </w:div>
    <w:div w:id="1385444791">
      <w:bodyDiv w:val="1"/>
      <w:marLeft w:val="0"/>
      <w:marRight w:val="0"/>
      <w:marTop w:val="0"/>
      <w:marBottom w:val="0"/>
      <w:divBdr>
        <w:top w:val="none" w:sz="0" w:space="0" w:color="auto"/>
        <w:left w:val="none" w:sz="0" w:space="0" w:color="auto"/>
        <w:bottom w:val="none" w:sz="0" w:space="0" w:color="auto"/>
        <w:right w:val="none" w:sz="0" w:space="0" w:color="auto"/>
      </w:divBdr>
    </w:div>
    <w:div w:id="1385449336">
      <w:bodyDiv w:val="1"/>
      <w:marLeft w:val="0"/>
      <w:marRight w:val="0"/>
      <w:marTop w:val="0"/>
      <w:marBottom w:val="0"/>
      <w:divBdr>
        <w:top w:val="none" w:sz="0" w:space="0" w:color="auto"/>
        <w:left w:val="none" w:sz="0" w:space="0" w:color="auto"/>
        <w:bottom w:val="none" w:sz="0" w:space="0" w:color="auto"/>
        <w:right w:val="none" w:sz="0" w:space="0" w:color="auto"/>
      </w:divBdr>
    </w:div>
    <w:div w:id="1387411374">
      <w:bodyDiv w:val="1"/>
      <w:marLeft w:val="0"/>
      <w:marRight w:val="0"/>
      <w:marTop w:val="0"/>
      <w:marBottom w:val="0"/>
      <w:divBdr>
        <w:top w:val="none" w:sz="0" w:space="0" w:color="auto"/>
        <w:left w:val="none" w:sz="0" w:space="0" w:color="auto"/>
        <w:bottom w:val="none" w:sz="0" w:space="0" w:color="auto"/>
        <w:right w:val="none" w:sz="0" w:space="0" w:color="auto"/>
      </w:divBdr>
    </w:div>
    <w:div w:id="1388189231">
      <w:bodyDiv w:val="1"/>
      <w:marLeft w:val="0"/>
      <w:marRight w:val="0"/>
      <w:marTop w:val="0"/>
      <w:marBottom w:val="0"/>
      <w:divBdr>
        <w:top w:val="none" w:sz="0" w:space="0" w:color="auto"/>
        <w:left w:val="none" w:sz="0" w:space="0" w:color="auto"/>
        <w:bottom w:val="none" w:sz="0" w:space="0" w:color="auto"/>
        <w:right w:val="none" w:sz="0" w:space="0" w:color="auto"/>
      </w:divBdr>
    </w:div>
    <w:div w:id="1388719912">
      <w:bodyDiv w:val="1"/>
      <w:marLeft w:val="0"/>
      <w:marRight w:val="0"/>
      <w:marTop w:val="0"/>
      <w:marBottom w:val="0"/>
      <w:divBdr>
        <w:top w:val="none" w:sz="0" w:space="0" w:color="auto"/>
        <w:left w:val="none" w:sz="0" w:space="0" w:color="auto"/>
        <w:bottom w:val="none" w:sz="0" w:space="0" w:color="auto"/>
        <w:right w:val="none" w:sz="0" w:space="0" w:color="auto"/>
      </w:divBdr>
    </w:div>
    <w:div w:id="1388799607">
      <w:bodyDiv w:val="1"/>
      <w:marLeft w:val="0"/>
      <w:marRight w:val="0"/>
      <w:marTop w:val="0"/>
      <w:marBottom w:val="0"/>
      <w:divBdr>
        <w:top w:val="none" w:sz="0" w:space="0" w:color="auto"/>
        <w:left w:val="none" w:sz="0" w:space="0" w:color="auto"/>
        <w:bottom w:val="none" w:sz="0" w:space="0" w:color="auto"/>
        <w:right w:val="none" w:sz="0" w:space="0" w:color="auto"/>
      </w:divBdr>
    </w:div>
    <w:div w:id="1389844423">
      <w:bodyDiv w:val="1"/>
      <w:marLeft w:val="0"/>
      <w:marRight w:val="0"/>
      <w:marTop w:val="0"/>
      <w:marBottom w:val="0"/>
      <w:divBdr>
        <w:top w:val="none" w:sz="0" w:space="0" w:color="auto"/>
        <w:left w:val="none" w:sz="0" w:space="0" w:color="auto"/>
        <w:bottom w:val="none" w:sz="0" w:space="0" w:color="auto"/>
        <w:right w:val="none" w:sz="0" w:space="0" w:color="auto"/>
      </w:divBdr>
    </w:div>
    <w:div w:id="1391033496">
      <w:bodyDiv w:val="1"/>
      <w:marLeft w:val="0"/>
      <w:marRight w:val="0"/>
      <w:marTop w:val="0"/>
      <w:marBottom w:val="0"/>
      <w:divBdr>
        <w:top w:val="none" w:sz="0" w:space="0" w:color="auto"/>
        <w:left w:val="none" w:sz="0" w:space="0" w:color="auto"/>
        <w:bottom w:val="none" w:sz="0" w:space="0" w:color="auto"/>
        <w:right w:val="none" w:sz="0" w:space="0" w:color="auto"/>
      </w:divBdr>
    </w:div>
    <w:div w:id="1392733569">
      <w:bodyDiv w:val="1"/>
      <w:marLeft w:val="0"/>
      <w:marRight w:val="0"/>
      <w:marTop w:val="0"/>
      <w:marBottom w:val="0"/>
      <w:divBdr>
        <w:top w:val="none" w:sz="0" w:space="0" w:color="auto"/>
        <w:left w:val="none" w:sz="0" w:space="0" w:color="auto"/>
        <w:bottom w:val="none" w:sz="0" w:space="0" w:color="auto"/>
        <w:right w:val="none" w:sz="0" w:space="0" w:color="auto"/>
      </w:divBdr>
    </w:div>
    <w:div w:id="1394618761">
      <w:bodyDiv w:val="1"/>
      <w:marLeft w:val="0"/>
      <w:marRight w:val="0"/>
      <w:marTop w:val="0"/>
      <w:marBottom w:val="0"/>
      <w:divBdr>
        <w:top w:val="none" w:sz="0" w:space="0" w:color="auto"/>
        <w:left w:val="none" w:sz="0" w:space="0" w:color="auto"/>
        <w:bottom w:val="none" w:sz="0" w:space="0" w:color="auto"/>
        <w:right w:val="none" w:sz="0" w:space="0" w:color="auto"/>
      </w:divBdr>
    </w:div>
    <w:div w:id="1395155059">
      <w:bodyDiv w:val="1"/>
      <w:marLeft w:val="0"/>
      <w:marRight w:val="0"/>
      <w:marTop w:val="0"/>
      <w:marBottom w:val="0"/>
      <w:divBdr>
        <w:top w:val="none" w:sz="0" w:space="0" w:color="auto"/>
        <w:left w:val="none" w:sz="0" w:space="0" w:color="auto"/>
        <w:bottom w:val="none" w:sz="0" w:space="0" w:color="auto"/>
        <w:right w:val="none" w:sz="0" w:space="0" w:color="auto"/>
      </w:divBdr>
    </w:div>
    <w:div w:id="1395542588">
      <w:bodyDiv w:val="1"/>
      <w:marLeft w:val="0"/>
      <w:marRight w:val="0"/>
      <w:marTop w:val="0"/>
      <w:marBottom w:val="0"/>
      <w:divBdr>
        <w:top w:val="none" w:sz="0" w:space="0" w:color="auto"/>
        <w:left w:val="none" w:sz="0" w:space="0" w:color="auto"/>
        <w:bottom w:val="none" w:sz="0" w:space="0" w:color="auto"/>
        <w:right w:val="none" w:sz="0" w:space="0" w:color="auto"/>
      </w:divBdr>
    </w:div>
    <w:div w:id="1397774623">
      <w:bodyDiv w:val="1"/>
      <w:marLeft w:val="0"/>
      <w:marRight w:val="0"/>
      <w:marTop w:val="0"/>
      <w:marBottom w:val="0"/>
      <w:divBdr>
        <w:top w:val="none" w:sz="0" w:space="0" w:color="auto"/>
        <w:left w:val="none" w:sz="0" w:space="0" w:color="auto"/>
        <w:bottom w:val="none" w:sz="0" w:space="0" w:color="auto"/>
        <w:right w:val="none" w:sz="0" w:space="0" w:color="auto"/>
      </w:divBdr>
    </w:div>
    <w:div w:id="1398019850">
      <w:bodyDiv w:val="1"/>
      <w:marLeft w:val="0"/>
      <w:marRight w:val="0"/>
      <w:marTop w:val="0"/>
      <w:marBottom w:val="0"/>
      <w:divBdr>
        <w:top w:val="none" w:sz="0" w:space="0" w:color="auto"/>
        <w:left w:val="none" w:sz="0" w:space="0" w:color="auto"/>
        <w:bottom w:val="none" w:sz="0" w:space="0" w:color="auto"/>
        <w:right w:val="none" w:sz="0" w:space="0" w:color="auto"/>
      </w:divBdr>
    </w:div>
    <w:div w:id="1398746469">
      <w:bodyDiv w:val="1"/>
      <w:marLeft w:val="0"/>
      <w:marRight w:val="0"/>
      <w:marTop w:val="0"/>
      <w:marBottom w:val="0"/>
      <w:divBdr>
        <w:top w:val="none" w:sz="0" w:space="0" w:color="auto"/>
        <w:left w:val="none" w:sz="0" w:space="0" w:color="auto"/>
        <w:bottom w:val="none" w:sz="0" w:space="0" w:color="auto"/>
        <w:right w:val="none" w:sz="0" w:space="0" w:color="auto"/>
      </w:divBdr>
    </w:div>
    <w:div w:id="1398816633">
      <w:bodyDiv w:val="1"/>
      <w:marLeft w:val="0"/>
      <w:marRight w:val="0"/>
      <w:marTop w:val="0"/>
      <w:marBottom w:val="0"/>
      <w:divBdr>
        <w:top w:val="none" w:sz="0" w:space="0" w:color="auto"/>
        <w:left w:val="none" w:sz="0" w:space="0" w:color="auto"/>
        <w:bottom w:val="none" w:sz="0" w:space="0" w:color="auto"/>
        <w:right w:val="none" w:sz="0" w:space="0" w:color="auto"/>
      </w:divBdr>
    </w:div>
    <w:div w:id="1399128956">
      <w:bodyDiv w:val="1"/>
      <w:marLeft w:val="0"/>
      <w:marRight w:val="0"/>
      <w:marTop w:val="0"/>
      <w:marBottom w:val="0"/>
      <w:divBdr>
        <w:top w:val="none" w:sz="0" w:space="0" w:color="auto"/>
        <w:left w:val="none" w:sz="0" w:space="0" w:color="auto"/>
        <w:bottom w:val="none" w:sz="0" w:space="0" w:color="auto"/>
        <w:right w:val="none" w:sz="0" w:space="0" w:color="auto"/>
      </w:divBdr>
    </w:div>
    <w:div w:id="1399202881">
      <w:bodyDiv w:val="1"/>
      <w:marLeft w:val="0"/>
      <w:marRight w:val="0"/>
      <w:marTop w:val="0"/>
      <w:marBottom w:val="0"/>
      <w:divBdr>
        <w:top w:val="none" w:sz="0" w:space="0" w:color="auto"/>
        <w:left w:val="none" w:sz="0" w:space="0" w:color="auto"/>
        <w:bottom w:val="none" w:sz="0" w:space="0" w:color="auto"/>
        <w:right w:val="none" w:sz="0" w:space="0" w:color="auto"/>
      </w:divBdr>
    </w:div>
    <w:div w:id="1400862770">
      <w:bodyDiv w:val="1"/>
      <w:marLeft w:val="0"/>
      <w:marRight w:val="0"/>
      <w:marTop w:val="0"/>
      <w:marBottom w:val="0"/>
      <w:divBdr>
        <w:top w:val="none" w:sz="0" w:space="0" w:color="auto"/>
        <w:left w:val="none" w:sz="0" w:space="0" w:color="auto"/>
        <w:bottom w:val="none" w:sz="0" w:space="0" w:color="auto"/>
        <w:right w:val="none" w:sz="0" w:space="0" w:color="auto"/>
      </w:divBdr>
    </w:div>
    <w:div w:id="1401368621">
      <w:bodyDiv w:val="1"/>
      <w:marLeft w:val="0"/>
      <w:marRight w:val="0"/>
      <w:marTop w:val="0"/>
      <w:marBottom w:val="0"/>
      <w:divBdr>
        <w:top w:val="none" w:sz="0" w:space="0" w:color="auto"/>
        <w:left w:val="none" w:sz="0" w:space="0" w:color="auto"/>
        <w:bottom w:val="none" w:sz="0" w:space="0" w:color="auto"/>
        <w:right w:val="none" w:sz="0" w:space="0" w:color="auto"/>
      </w:divBdr>
    </w:div>
    <w:div w:id="1402409002">
      <w:bodyDiv w:val="1"/>
      <w:marLeft w:val="0"/>
      <w:marRight w:val="0"/>
      <w:marTop w:val="0"/>
      <w:marBottom w:val="0"/>
      <w:divBdr>
        <w:top w:val="none" w:sz="0" w:space="0" w:color="auto"/>
        <w:left w:val="none" w:sz="0" w:space="0" w:color="auto"/>
        <w:bottom w:val="none" w:sz="0" w:space="0" w:color="auto"/>
        <w:right w:val="none" w:sz="0" w:space="0" w:color="auto"/>
      </w:divBdr>
    </w:div>
    <w:div w:id="1403791628">
      <w:bodyDiv w:val="1"/>
      <w:marLeft w:val="0"/>
      <w:marRight w:val="0"/>
      <w:marTop w:val="0"/>
      <w:marBottom w:val="0"/>
      <w:divBdr>
        <w:top w:val="none" w:sz="0" w:space="0" w:color="auto"/>
        <w:left w:val="none" w:sz="0" w:space="0" w:color="auto"/>
        <w:bottom w:val="none" w:sz="0" w:space="0" w:color="auto"/>
        <w:right w:val="none" w:sz="0" w:space="0" w:color="auto"/>
      </w:divBdr>
    </w:div>
    <w:div w:id="1404835307">
      <w:bodyDiv w:val="1"/>
      <w:marLeft w:val="0"/>
      <w:marRight w:val="0"/>
      <w:marTop w:val="0"/>
      <w:marBottom w:val="0"/>
      <w:divBdr>
        <w:top w:val="none" w:sz="0" w:space="0" w:color="auto"/>
        <w:left w:val="none" w:sz="0" w:space="0" w:color="auto"/>
        <w:bottom w:val="none" w:sz="0" w:space="0" w:color="auto"/>
        <w:right w:val="none" w:sz="0" w:space="0" w:color="auto"/>
      </w:divBdr>
    </w:div>
    <w:div w:id="1406492188">
      <w:bodyDiv w:val="1"/>
      <w:marLeft w:val="0"/>
      <w:marRight w:val="0"/>
      <w:marTop w:val="0"/>
      <w:marBottom w:val="0"/>
      <w:divBdr>
        <w:top w:val="none" w:sz="0" w:space="0" w:color="auto"/>
        <w:left w:val="none" w:sz="0" w:space="0" w:color="auto"/>
        <w:bottom w:val="none" w:sz="0" w:space="0" w:color="auto"/>
        <w:right w:val="none" w:sz="0" w:space="0" w:color="auto"/>
      </w:divBdr>
    </w:div>
    <w:div w:id="1407193004">
      <w:bodyDiv w:val="1"/>
      <w:marLeft w:val="0"/>
      <w:marRight w:val="0"/>
      <w:marTop w:val="0"/>
      <w:marBottom w:val="0"/>
      <w:divBdr>
        <w:top w:val="none" w:sz="0" w:space="0" w:color="auto"/>
        <w:left w:val="none" w:sz="0" w:space="0" w:color="auto"/>
        <w:bottom w:val="none" w:sz="0" w:space="0" w:color="auto"/>
        <w:right w:val="none" w:sz="0" w:space="0" w:color="auto"/>
      </w:divBdr>
    </w:div>
    <w:div w:id="1407261354">
      <w:bodyDiv w:val="1"/>
      <w:marLeft w:val="0"/>
      <w:marRight w:val="0"/>
      <w:marTop w:val="0"/>
      <w:marBottom w:val="0"/>
      <w:divBdr>
        <w:top w:val="none" w:sz="0" w:space="0" w:color="auto"/>
        <w:left w:val="none" w:sz="0" w:space="0" w:color="auto"/>
        <w:bottom w:val="none" w:sz="0" w:space="0" w:color="auto"/>
        <w:right w:val="none" w:sz="0" w:space="0" w:color="auto"/>
      </w:divBdr>
    </w:div>
    <w:div w:id="1409494981">
      <w:bodyDiv w:val="1"/>
      <w:marLeft w:val="0"/>
      <w:marRight w:val="0"/>
      <w:marTop w:val="0"/>
      <w:marBottom w:val="0"/>
      <w:divBdr>
        <w:top w:val="none" w:sz="0" w:space="0" w:color="auto"/>
        <w:left w:val="none" w:sz="0" w:space="0" w:color="auto"/>
        <w:bottom w:val="none" w:sz="0" w:space="0" w:color="auto"/>
        <w:right w:val="none" w:sz="0" w:space="0" w:color="auto"/>
      </w:divBdr>
    </w:div>
    <w:div w:id="1409499323">
      <w:bodyDiv w:val="1"/>
      <w:marLeft w:val="0"/>
      <w:marRight w:val="0"/>
      <w:marTop w:val="0"/>
      <w:marBottom w:val="0"/>
      <w:divBdr>
        <w:top w:val="none" w:sz="0" w:space="0" w:color="auto"/>
        <w:left w:val="none" w:sz="0" w:space="0" w:color="auto"/>
        <w:bottom w:val="none" w:sz="0" w:space="0" w:color="auto"/>
        <w:right w:val="none" w:sz="0" w:space="0" w:color="auto"/>
      </w:divBdr>
    </w:div>
    <w:div w:id="1410808287">
      <w:bodyDiv w:val="1"/>
      <w:marLeft w:val="0"/>
      <w:marRight w:val="0"/>
      <w:marTop w:val="0"/>
      <w:marBottom w:val="0"/>
      <w:divBdr>
        <w:top w:val="none" w:sz="0" w:space="0" w:color="auto"/>
        <w:left w:val="none" w:sz="0" w:space="0" w:color="auto"/>
        <w:bottom w:val="none" w:sz="0" w:space="0" w:color="auto"/>
        <w:right w:val="none" w:sz="0" w:space="0" w:color="auto"/>
      </w:divBdr>
    </w:div>
    <w:div w:id="1411928968">
      <w:bodyDiv w:val="1"/>
      <w:marLeft w:val="0"/>
      <w:marRight w:val="0"/>
      <w:marTop w:val="0"/>
      <w:marBottom w:val="0"/>
      <w:divBdr>
        <w:top w:val="none" w:sz="0" w:space="0" w:color="auto"/>
        <w:left w:val="none" w:sz="0" w:space="0" w:color="auto"/>
        <w:bottom w:val="none" w:sz="0" w:space="0" w:color="auto"/>
        <w:right w:val="none" w:sz="0" w:space="0" w:color="auto"/>
      </w:divBdr>
    </w:div>
    <w:div w:id="1413431705">
      <w:bodyDiv w:val="1"/>
      <w:marLeft w:val="0"/>
      <w:marRight w:val="0"/>
      <w:marTop w:val="0"/>
      <w:marBottom w:val="0"/>
      <w:divBdr>
        <w:top w:val="none" w:sz="0" w:space="0" w:color="auto"/>
        <w:left w:val="none" w:sz="0" w:space="0" w:color="auto"/>
        <w:bottom w:val="none" w:sz="0" w:space="0" w:color="auto"/>
        <w:right w:val="none" w:sz="0" w:space="0" w:color="auto"/>
      </w:divBdr>
    </w:div>
    <w:div w:id="1413772530">
      <w:bodyDiv w:val="1"/>
      <w:marLeft w:val="0"/>
      <w:marRight w:val="0"/>
      <w:marTop w:val="0"/>
      <w:marBottom w:val="0"/>
      <w:divBdr>
        <w:top w:val="none" w:sz="0" w:space="0" w:color="auto"/>
        <w:left w:val="none" w:sz="0" w:space="0" w:color="auto"/>
        <w:bottom w:val="none" w:sz="0" w:space="0" w:color="auto"/>
        <w:right w:val="none" w:sz="0" w:space="0" w:color="auto"/>
      </w:divBdr>
    </w:div>
    <w:div w:id="1414621196">
      <w:bodyDiv w:val="1"/>
      <w:marLeft w:val="0"/>
      <w:marRight w:val="0"/>
      <w:marTop w:val="0"/>
      <w:marBottom w:val="0"/>
      <w:divBdr>
        <w:top w:val="none" w:sz="0" w:space="0" w:color="auto"/>
        <w:left w:val="none" w:sz="0" w:space="0" w:color="auto"/>
        <w:bottom w:val="none" w:sz="0" w:space="0" w:color="auto"/>
        <w:right w:val="none" w:sz="0" w:space="0" w:color="auto"/>
      </w:divBdr>
    </w:div>
    <w:div w:id="1414739798">
      <w:bodyDiv w:val="1"/>
      <w:marLeft w:val="0"/>
      <w:marRight w:val="0"/>
      <w:marTop w:val="0"/>
      <w:marBottom w:val="0"/>
      <w:divBdr>
        <w:top w:val="none" w:sz="0" w:space="0" w:color="auto"/>
        <w:left w:val="none" w:sz="0" w:space="0" w:color="auto"/>
        <w:bottom w:val="none" w:sz="0" w:space="0" w:color="auto"/>
        <w:right w:val="none" w:sz="0" w:space="0" w:color="auto"/>
      </w:divBdr>
    </w:div>
    <w:div w:id="1416436840">
      <w:bodyDiv w:val="1"/>
      <w:marLeft w:val="0"/>
      <w:marRight w:val="0"/>
      <w:marTop w:val="0"/>
      <w:marBottom w:val="0"/>
      <w:divBdr>
        <w:top w:val="none" w:sz="0" w:space="0" w:color="auto"/>
        <w:left w:val="none" w:sz="0" w:space="0" w:color="auto"/>
        <w:bottom w:val="none" w:sz="0" w:space="0" w:color="auto"/>
        <w:right w:val="none" w:sz="0" w:space="0" w:color="auto"/>
      </w:divBdr>
    </w:div>
    <w:div w:id="1416710766">
      <w:bodyDiv w:val="1"/>
      <w:marLeft w:val="0"/>
      <w:marRight w:val="0"/>
      <w:marTop w:val="0"/>
      <w:marBottom w:val="0"/>
      <w:divBdr>
        <w:top w:val="none" w:sz="0" w:space="0" w:color="auto"/>
        <w:left w:val="none" w:sz="0" w:space="0" w:color="auto"/>
        <w:bottom w:val="none" w:sz="0" w:space="0" w:color="auto"/>
        <w:right w:val="none" w:sz="0" w:space="0" w:color="auto"/>
      </w:divBdr>
    </w:div>
    <w:div w:id="1417021416">
      <w:bodyDiv w:val="1"/>
      <w:marLeft w:val="0"/>
      <w:marRight w:val="0"/>
      <w:marTop w:val="0"/>
      <w:marBottom w:val="0"/>
      <w:divBdr>
        <w:top w:val="none" w:sz="0" w:space="0" w:color="auto"/>
        <w:left w:val="none" w:sz="0" w:space="0" w:color="auto"/>
        <w:bottom w:val="none" w:sz="0" w:space="0" w:color="auto"/>
        <w:right w:val="none" w:sz="0" w:space="0" w:color="auto"/>
      </w:divBdr>
    </w:div>
    <w:div w:id="1417509288">
      <w:bodyDiv w:val="1"/>
      <w:marLeft w:val="0"/>
      <w:marRight w:val="0"/>
      <w:marTop w:val="0"/>
      <w:marBottom w:val="0"/>
      <w:divBdr>
        <w:top w:val="none" w:sz="0" w:space="0" w:color="auto"/>
        <w:left w:val="none" w:sz="0" w:space="0" w:color="auto"/>
        <w:bottom w:val="none" w:sz="0" w:space="0" w:color="auto"/>
        <w:right w:val="none" w:sz="0" w:space="0" w:color="auto"/>
      </w:divBdr>
    </w:div>
    <w:div w:id="1420566358">
      <w:bodyDiv w:val="1"/>
      <w:marLeft w:val="0"/>
      <w:marRight w:val="0"/>
      <w:marTop w:val="0"/>
      <w:marBottom w:val="0"/>
      <w:divBdr>
        <w:top w:val="none" w:sz="0" w:space="0" w:color="auto"/>
        <w:left w:val="none" w:sz="0" w:space="0" w:color="auto"/>
        <w:bottom w:val="none" w:sz="0" w:space="0" w:color="auto"/>
        <w:right w:val="none" w:sz="0" w:space="0" w:color="auto"/>
      </w:divBdr>
    </w:div>
    <w:div w:id="1421830198">
      <w:bodyDiv w:val="1"/>
      <w:marLeft w:val="0"/>
      <w:marRight w:val="0"/>
      <w:marTop w:val="0"/>
      <w:marBottom w:val="0"/>
      <w:divBdr>
        <w:top w:val="none" w:sz="0" w:space="0" w:color="auto"/>
        <w:left w:val="none" w:sz="0" w:space="0" w:color="auto"/>
        <w:bottom w:val="none" w:sz="0" w:space="0" w:color="auto"/>
        <w:right w:val="none" w:sz="0" w:space="0" w:color="auto"/>
      </w:divBdr>
    </w:div>
    <w:div w:id="1423800752">
      <w:bodyDiv w:val="1"/>
      <w:marLeft w:val="0"/>
      <w:marRight w:val="0"/>
      <w:marTop w:val="0"/>
      <w:marBottom w:val="0"/>
      <w:divBdr>
        <w:top w:val="none" w:sz="0" w:space="0" w:color="auto"/>
        <w:left w:val="none" w:sz="0" w:space="0" w:color="auto"/>
        <w:bottom w:val="none" w:sz="0" w:space="0" w:color="auto"/>
        <w:right w:val="none" w:sz="0" w:space="0" w:color="auto"/>
      </w:divBdr>
    </w:div>
    <w:div w:id="1423839388">
      <w:bodyDiv w:val="1"/>
      <w:marLeft w:val="0"/>
      <w:marRight w:val="0"/>
      <w:marTop w:val="0"/>
      <w:marBottom w:val="0"/>
      <w:divBdr>
        <w:top w:val="none" w:sz="0" w:space="0" w:color="auto"/>
        <w:left w:val="none" w:sz="0" w:space="0" w:color="auto"/>
        <w:bottom w:val="none" w:sz="0" w:space="0" w:color="auto"/>
        <w:right w:val="none" w:sz="0" w:space="0" w:color="auto"/>
      </w:divBdr>
    </w:div>
    <w:div w:id="1424104191">
      <w:bodyDiv w:val="1"/>
      <w:marLeft w:val="0"/>
      <w:marRight w:val="0"/>
      <w:marTop w:val="0"/>
      <w:marBottom w:val="0"/>
      <w:divBdr>
        <w:top w:val="none" w:sz="0" w:space="0" w:color="auto"/>
        <w:left w:val="none" w:sz="0" w:space="0" w:color="auto"/>
        <w:bottom w:val="none" w:sz="0" w:space="0" w:color="auto"/>
        <w:right w:val="none" w:sz="0" w:space="0" w:color="auto"/>
      </w:divBdr>
    </w:div>
    <w:div w:id="1427068405">
      <w:bodyDiv w:val="1"/>
      <w:marLeft w:val="0"/>
      <w:marRight w:val="0"/>
      <w:marTop w:val="0"/>
      <w:marBottom w:val="0"/>
      <w:divBdr>
        <w:top w:val="none" w:sz="0" w:space="0" w:color="auto"/>
        <w:left w:val="none" w:sz="0" w:space="0" w:color="auto"/>
        <w:bottom w:val="none" w:sz="0" w:space="0" w:color="auto"/>
        <w:right w:val="none" w:sz="0" w:space="0" w:color="auto"/>
      </w:divBdr>
    </w:div>
    <w:div w:id="1427535486">
      <w:bodyDiv w:val="1"/>
      <w:marLeft w:val="0"/>
      <w:marRight w:val="0"/>
      <w:marTop w:val="0"/>
      <w:marBottom w:val="0"/>
      <w:divBdr>
        <w:top w:val="none" w:sz="0" w:space="0" w:color="auto"/>
        <w:left w:val="none" w:sz="0" w:space="0" w:color="auto"/>
        <w:bottom w:val="none" w:sz="0" w:space="0" w:color="auto"/>
        <w:right w:val="none" w:sz="0" w:space="0" w:color="auto"/>
      </w:divBdr>
    </w:div>
    <w:div w:id="1428111580">
      <w:bodyDiv w:val="1"/>
      <w:marLeft w:val="0"/>
      <w:marRight w:val="0"/>
      <w:marTop w:val="0"/>
      <w:marBottom w:val="0"/>
      <w:divBdr>
        <w:top w:val="none" w:sz="0" w:space="0" w:color="auto"/>
        <w:left w:val="none" w:sz="0" w:space="0" w:color="auto"/>
        <w:bottom w:val="none" w:sz="0" w:space="0" w:color="auto"/>
        <w:right w:val="none" w:sz="0" w:space="0" w:color="auto"/>
      </w:divBdr>
    </w:div>
    <w:div w:id="1429883884">
      <w:bodyDiv w:val="1"/>
      <w:marLeft w:val="0"/>
      <w:marRight w:val="0"/>
      <w:marTop w:val="0"/>
      <w:marBottom w:val="0"/>
      <w:divBdr>
        <w:top w:val="none" w:sz="0" w:space="0" w:color="auto"/>
        <w:left w:val="none" w:sz="0" w:space="0" w:color="auto"/>
        <w:bottom w:val="none" w:sz="0" w:space="0" w:color="auto"/>
        <w:right w:val="none" w:sz="0" w:space="0" w:color="auto"/>
      </w:divBdr>
    </w:div>
    <w:div w:id="1429890920">
      <w:bodyDiv w:val="1"/>
      <w:marLeft w:val="0"/>
      <w:marRight w:val="0"/>
      <w:marTop w:val="0"/>
      <w:marBottom w:val="0"/>
      <w:divBdr>
        <w:top w:val="none" w:sz="0" w:space="0" w:color="auto"/>
        <w:left w:val="none" w:sz="0" w:space="0" w:color="auto"/>
        <w:bottom w:val="none" w:sz="0" w:space="0" w:color="auto"/>
        <w:right w:val="none" w:sz="0" w:space="0" w:color="auto"/>
      </w:divBdr>
    </w:div>
    <w:div w:id="1431583542">
      <w:bodyDiv w:val="1"/>
      <w:marLeft w:val="0"/>
      <w:marRight w:val="0"/>
      <w:marTop w:val="0"/>
      <w:marBottom w:val="0"/>
      <w:divBdr>
        <w:top w:val="none" w:sz="0" w:space="0" w:color="auto"/>
        <w:left w:val="none" w:sz="0" w:space="0" w:color="auto"/>
        <w:bottom w:val="none" w:sz="0" w:space="0" w:color="auto"/>
        <w:right w:val="none" w:sz="0" w:space="0" w:color="auto"/>
      </w:divBdr>
    </w:div>
    <w:div w:id="1433042369">
      <w:bodyDiv w:val="1"/>
      <w:marLeft w:val="0"/>
      <w:marRight w:val="0"/>
      <w:marTop w:val="0"/>
      <w:marBottom w:val="0"/>
      <w:divBdr>
        <w:top w:val="none" w:sz="0" w:space="0" w:color="auto"/>
        <w:left w:val="none" w:sz="0" w:space="0" w:color="auto"/>
        <w:bottom w:val="none" w:sz="0" w:space="0" w:color="auto"/>
        <w:right w:val="none" w:sz="0" w:space="0" w:color="auto"/>
      </w:divBdr>
    </w:div>
    <w:div w:id="1433548865">
      <w:bodyDiv w:val="1"/>
      <w:marLeft w:val="0"/>
      <w:marRight w:val="0"/>
      <w:marTop w:val="0"/>
      <w:marBottom w:val="0"/>
      <w:divBdr>
        <w:top w:val="none" w:sz="0" w:space="0" w:color="auto"/>
        <w:left w:val="none" w:sz="0" w:space="0" w:color="auto"/>
        <w:bottom w:val="none" w:sz="0" w:space="0" w:color="auto"/>
        <w:right w:val="none" w:sz="0" w:space="0" w:color="auto"/>
      </w:divBdr>
    </w:div>
    <w:div w:id="1434932613">
      <w:bodyDiv w:val="1"/>
      <w:marLeft w:val="0"/>
      <w:marRight w:val="0"/>
      <w:marTop w:val="0"/>
      <w:marBottom w:val="0"/>
      <w:divBdr>
        <w:top w:val="none" w:sz="0" w:space="0" w:color="auto"/>
        <w:left w:val="none" w:sz="0" w:space="0" w:color="auto"/>
        <w:bottom w:val="none" w:sz="0" w:space="0" w:color="auto"/>
        <w:right w:val="none" w:sz="0" w:space="0" w:color="auto"/>
      </w:divBdr>
    </w:div>
    <w:div w:id="1436635396">
      <w:bodyDiv w:val="1"/>
      <w:marLeft w:val="0"/>
      <w:marRight w:val="0"/>
      <w:marTop w:val="0"/>
      <w:marBottom w:val="0"/>
      <w:divBdr>
        <w:top w:val="none" w:sz="0" w:space="0" w:color="auto"/>
        <w:left w:val="none" w:sz="0" w:space="0" w:color="auto"/>
        <w:bottom w:val="none" w:sz="0" w:space="0" w:color="auto"/>
        <w:right w:val="none" w:sz="0" w:space="0" w:color="auto"/>
      </w:divBdr>
    </w:div>
    <w:div w:id="1437091556">
      <w:bodyDiv w:val="1"/>
      <w:marLeft w:val="0"/>
      <w:marRight w:val="0"/>
      <w:marTop w:val="0"/>
      <w:marBottom w:val="0"/>
      <w:divBdr>
        <w:top w:val="none" w:sz="0" w:space="0" w:color="auto"/>
        <w:left w:val="none" w:sz="0" w:space="0" w:color="auto"/>
        <w:bottom w:val="none" w:sz="0" w:space="0" w:color="auto"/>
        <w:right w:val="none" w:sz="0" w:space="0" w:color="auto"/>
      </w:divBdr>
    </w:div>
    <w:div w:id="1437403291">
      <w:bodyDiv w:val="1"/>
      <w:marLeft w:val="0"/>
      <w:marRight w:val="0"/>
      <w:marTop w:val="0"/>
      <w:marBottom w:val="0"/>
      <w:divBdr>
        <w:top w:val="none" w:sz="0" w:space="0" w:color="auto"/>
        <w:left w:val="none" w:sz="0" w:space="0" w:color="auto"/>
        <w:bottom w:val="none" w:sz="0" w:space="0" w:color="auto"/>
        <w:right w:val="none" w:sz="0" w:space="0" w:color="auto"/>
      </w:divBdr>
    </w:div>
    <w:div w:id="1437943950">
      <w:bodyDiv w:val="1"/>
      <w:marLeft w:val="0"/>
      <w:marRight w:val="0"/>
      <w:marTop w:val="0"/>
      <w:marBottom w:val="0"/>
      <w:divBdr>
        <w:top w:val="none" w:sz="0" w:space="0" w:color="auto"/>
        <w:left w:val="none" w:sz="0" w:space="0" w:color="auto"/>
        <w:bottom w:val="none" w:sz="0" w:space="0" w:color="auto"/>
        <w:right w:val="none" w:sz="0" w:space="0" w:color="auto"/>
      </w:divBdr>
    </w:div>
    <w:div w:id="1438060900">
      <w:bodyDiv w:val="1"/>
      <w:marLeft w:val="0"/>
      <w:marRight w:val="0"/>
      <w:marTop w:val="0"/>
      <w:marBottom w:val="0"/>
      <w:divBdr>
        <w:top w:val="none" w:sz="0" w:space="0" w:color="auto"/>
        <w:left w:val="none" w:sz="0" w:space="0" w:color="auto"/>
        <w:bottom w:val="none" w:sz="0" w:space="0" w:color="auto"/>
        <w:right w:val="none" w:sz="0" w:space="0" w:color="auto"/>
      </w:divBdr>
    </w:div>
    <w:div w:id="1438137004">
      <w:bodyDiv w:val="1"/>
      <w:marLeft w:val="0"/>
      <w:marRight w:val="0"/>
      <w:marTop w:val="0"/>
      <w:marBottom w:val="0"/>
      <w:divBdr>
        <w:top w:val="none" w:sz="0" w:space="0" w:color="auto"/>
        <w:left w:val="none" w:sz="0" w:space="0" w:color="auto"/>
        <w:bottom w:val="none" w:sz="0" w:space="0" w:color="auto"/>
        <w:right w:val="none" w:sz="0" w:space="0" w:color="auto"/>
      </w:divBdr>
    </w:div>
    <w:div w:id="1438401274">
      <w:bodyDiv w:val="1"/>
      <w:marLeft w:val="0"/>
      <w:marRight w:val="0"/>
      <w:marTop w:val="0"/>
      <w:marBottom w:val="0"/>
      <w:divBdr>
        <w:top w:val="none" w:sz="0" w:space="0" w:color="auto"/>
        <w:left w:val="none" w:sz="0" w:space="0" w:color="auto"/>
        <w:bottom w:val="none" w:sz="0" w:space="0" w:color="auto"/>
        <w:right w:val="none" w:sz="0" w:space="0" w:color="auto"/>
      </w:divBdr>
    </w:div>
    <w:div w:id="1439787531">
      <w:bodyDiv w:val="1"/>
      <w:marLeft w:val="0"/>
      <w:marRight w:val="0"/>
      <w:marTop w:val="0"/>
      <w:marBottom w:val="0"/>
      <w:divBdr>
        <w:top w:val="none" w:sz="0" w:space="0" w:color="auto"/>
        <w:left w:val="none" w:sz="0" w:space="0" w:color="auto"/>
        <w:bottom w:val="none" w:sz="0" w:space="0" w:color="auto"/>
        <w:right w:val="none" w:sz="0" w:space="0" w:color="auto"/>
      </w:divBdr>
    </w:div>
    <w:div w:id="1439789347">
      <w:bodyDiv w:val="1"/>
      <w:marLeft w:val="0"/>
      <w:marRight w:val="0"/>
      <w:marTop w:val="0"/>
      <w:marBottom w:val="0"/>
      <w:divBdr>
        <w:top w:val="none" w:sz="0" w:space="0" w:color="auto"/>
        <w:left w:val="none" w:sz="0" w:space="0" w:color="auto"/>
        <w:bottom w:val="none" w:sz="0" w:space="0" w:color="auto"/>
        <w:right w:val="none" w:sz="0" w:space="0" w:color="auto"/>
      </w:divBdr>
    </w:div>
    <w:div w:id="1443528074">
      <w:bodyDiv w:val="1"/>
      <w:marLeft w:val="0"/>
      <w:marRight w:val="0"/>
      <w:marTop w:val="0"/>
      <w:marBottom w:val="0"/>
      <w:divBdr>
        <w:top w:val="none" w:sz="0" w:space="0" w:color="auto"/>
        <w:left w:val="none" w:sz="0" w:space="0" w:color="auto"/>
        <w:bottom w:val="none" w:sz="0" w:space="0" w:color="auto"/>
        <w:right w:val="none" w:sz="0" w:space="0" w:color="auto"/>
      </w:divBdr>
    </w:div>
    <w:div w:id="1443957754">
      <w:bodyDiv w:val="1"/>
      <w:marLeft w:val="0"/>
      <w:marRight w:val="0"/>
      <w:marTop w:val="0"/>
      <w:marBottom w:val="0"/>
      <w:divBdr>
        <w:top w:val="none" w:sz="0" w:space="0" w:color="auto"/>
        <w:left w:val="none" w:sz="0" w:space="0" w:color="auto"/>
        <w:bottom w:val="none" w:sz="0" w:space="0" w:color="auto"/>
        <w:right w:val="none" w:sz="0" w:space="0" w:color="auto"/>
      </w:divBdr>
    </w:div>
    <w:div w:id="1446267881">
      <w:bodyDiv w:val="1"/>
      <w:marLeft w:val="0"/>
      <w:marRight w:val="0"/>
      <w:marTop w:val="0"/>
      <w:marBottom w:val="0"/>
      <w:divBdr>
        <w:top w:val="none" w:sz="0" w:space="0" w:color="auto"/>
        <w:left w:val="none" w:sz="0" w:space="0" w:color="auto"/>
        <w:bottom w:val="none" w:sz="0" w:space="0" w:color="auto"/>
        <w:right w:val="none" w:sz="0" w:space="0" w:color="auto"/>
      </w:divBdr>
    </w:div>
    <w:div w:id="1447308071">
      <w:bodyDiv w:val="1"/>
      <w:marLeft w:val="0"/>
      <w:marRight w:val="0"/>
      <w:marTop w:val="0"/>
      <w:marBottom w:val="0"/>
      <w:divBdr>
        <w:top w:val="none" w:sz="0" w:space="0" w:color="auto"/>
        <w:left w:val="none" w:sz="0" w:space="0" w:color="auto"/>
        <w:bottom w:val="none" w:sz="0" w:space="0" w:color="auto"/>
        <w:right w:val="none" w:sz="0" w:space="0" w:color="auto"/>
      </w:divBdr>
    </w:div>
    <w:div w:id="1447654111">
      <w:bodyDiv w:val="1"/>
      <w:marLeft w:val="0"/>
      <w:marRight w:val="0"/>
      <w:marTop w:val="0"/>
      <w:marBottom w:val="0"/>
      <w:divBdr>
        <w:top w:val="none" w:sz="0" w:space="0" w:color="auto"/>
        <w:left w:val="none" w:sz="0" w:space="0" w:color="auto"/>
        <w:bottom w:val="none" w:sz="0" w:space="0" w:color="auto"/>
        <w:right w:val="none" w:sz="0" w:space="0" w:color="auto"/>
      </w:divBdr>
    </w:div>
    <w:div w:id="1448087892">
      <w:bodyDiv w:val="1"/>
      <w:marLeft w:val="0"/>
      <w:marRight w:val="0"/>
      <w:marTop w:val="0"/>
      <w:marBottom w:val="0"/>
      <w:divBdr>
        <w:top w:val="none" w:sz="0" w:space="0" w:color="auto"/>
        <w:left w:val="none" w:sz="0" w:space="0" w:color="auto"/>
        <w:bottom w:val="none" w:sz="0" w:space="0" w:color="auto"/>
        <w:right w:val="none" w:sz="0" w:space="0" w:color="auto"/>
      </w:divBdr>
    </w:div>
    <w:div w:id="1448698716">
      <w:bodyDiv w:val="1"/>
      <w:marLeft w:val="0"/>
      <w:marRight w:val="0"/>
      <w:marTop w:val="0"/>
      <w:marBottom w:val="0"/>
      <w:divBdr>
        <w:top w:val="none" w:sz="0" w:space="0" w:color="auto"/>
        <w:left w:val="none" w:sz="0" w:space="0" w:color="auto"/>
        <w:bottom w:val="none" w:sz="0" w:space="0" w:color="auto"/>
        <w:right w:val="none" w:sz="0" w:space="0" w:color="auto"/>
      </w:divBdr>
    </w:div>
    <w:div w:id="1449356482">
      <w:bodyDiv w:val="1"/>
      <w:marLeft w:val="0"/>
      <w:marRight w:val="0"/>
      <w:marTop w:val="0"/>
      <w:marBottom w:val="0"/>
      <w:divBdr>
        <w:top w:val="none" w:sz="0" w:space="0" w:color="auto"/>
        <w:left w:val="none" w:sz="0" w:space="0" w:color="auto"/>
        <w:bottom w:val="none" w:sz="0" w:space="0" w:color="auto"/>
        <w:right w:val="none" w:sz="0" w:space="0" w:color="auto"/>
      </w:divBdr>
    </w:div>
    <w:div w:id="1449471410">
      <w:bodyDiv w:val="1"/>
      <w:marLeft w:val="0"/>
      <w:marRight w:val="0"/>
      <w:marTop w:val="0"/>
      <w:marBottom w:val="0"/>
      <w:divBdr>
        <w:top w:val="none" w:sz="0" w:space="0" w:color="auto"/>
        <w:left w:val="none" w:sz="0" w:space="0" w:color="auto"/>
        <w:bottom w:val="none" w:sz="0" w:space="0" w:color="auto"/>
        <w:right w:val="none" w:sz="0" w:space="0" w:color="auto"/>
      </w:divBdr>
    </w:div>
    <w:div w:id="1449662836">
      <w:bodyDiv w:val="1"/>
      <w:marLeft w:val="0"/>
      <w:marRight w:val="0"/>
      <w:marTop w:val="0"/>
      <w:marBottom w:val="0"/>
      <w:divBdr>
        <w:top w:val="none" w:sz="0" w:space="0" w:color="auto"/>
        <w:left w:val="none" w:sz="0" w:space="0" w:color="auto"/>
        <w:bottom w:val="none" w:sz="0" w:space="0" w:color="auto"/>
        <w:right w:val="none" w:sz="0" w:space="0" w:color="auto"/>
      </w:divBdr>
    </w:div>
    <w:div w:id="1450318375">
      <w:bodyDiv w:val="1"/>
      <w:marLeft w:val="0"/>
      <w:marRight w:val="0"/>
      <w:marTop w:val="0"/>
      <w:marBottom w:val="0"/>
      <w:divBdr>
        <w:top w:val="none" w:sz="0" w:space="0" w:color="auto"/>
        <w:left w:val="none" w:sz="0" w:space="0" w:color="auto"/>
        <w:bottom w:val="none" w:sz="0" w:space="0" w:color="auto"/>
        <w:right w:val="none" w:sz="0" w:space="0" w:color="auto"/>
      </w:divBdr>
    </w:div>
    <w:div w:id="1451044837">
      <w:bodyDiv w:val="1"/>
      <w:marLeft w:val="0"/>
      <w:marRight w:val="0"/>
      <w:marTop w:val="0"/>
      <w:marBottom w:val="0"/>
      <w:divBdr>
        <w:top w:val="none" w:sz="0" w:space="0" w:color="auto"/>
        <w:left w:val="none" w:sz="0" w:space="0" w:color="auto"/>
        <w:bottom w:val="none" w:sz="0" w:space="0" w:color="auto"/>
        <w:right w:val="none" w:sz="0" w:space="0" w:color="auto"/>
      </w:divBdr>
    </w:div>
    <w:div w:id="1451047046">
      <w:bodyDiv w:val="1"/>
      <w:marLeft w:val="0"/>
      <w:marRight w:val="0"/>
      <w:marTop w:val="0"/>
      <w:marBottom w:val="0"/>
      <w:divBdr>
        <w:top w:val="none" w:sz="0" w:space="0" w:color="auto"/>
        <w:left w:val="none" w:sz="0" w:space="0" w:color="auto"/>
        <w:bottom w:val="none" w:sz="0" w:space="0" w:color="auto"/>
        <w:right w:val="none" w:sz="0" w:space="0" w:color="auto"/>
      </w:divBdr>
    </w:div>
    <w:div w:id="1452280775">
      <w:bodyDiv w:val="1"/>
      <w:marLeft w:val="0"/>
      <w:marRight w:val="0"/>
      <w:marTop w:val="0"/>
      <w:marBottom w:val="0"/>
      <w:divBdr>
        <w:top w:val="none" w:sz="0" w:space="0" w:color="auto"/>
        <w:left w:val="none" w:sz="0" w:space="0" w:color="auto"/>
        <w:bottom w:val="none" w:sz="0" w:space="0" w:color="auto"/>
        <w:right w:val="none" w:sz="0" w:space="0" w:color="auto"/>
      </w:divBdr>
    </w:div>
    <w:div w:id="1452281727">
      <w:bodyDiv w:val="1"/>
      <w:marLeft w:val="0"/>
      <w:marRight w:val="0"/>
      <w:marTop w:val="0"/>
      <w:marBottom w:val="0"/>
      <w:divBdr>
        <w:top w:val="none" w:sz="0" w:space="0" w:color="auto"/>
        <w:left w:val="none" w:sz="0" w:space="0" w:color="auto"/>
        <w:bottom w:val="none" w:sz="0" w:space="0" w:color="auto"/>
        <w:right w:val="none" w:sz="0" w:space="0" w:color="auto"/>
      </w:divBdr>
    </w:div>
    <w:div w:id="1452900027">
      <w:bodyDiv w:val="1"/>
      <w:marLeft w:val="0"/>
      <w:marRight w:val="0"/>
      <w:marTop w:val="0"/>
      <w:marBottom w:val="0"/>
      <w:divBdr>
        <w:top w:val="none" w:sz="0" w:space="0" w:color="auto"/>
        <w:left w:val="none" w:sz="0" w:space="0" w:color="auto"/>
        <w:bottom w:val="none" w:sz="0" w:space="0" w:color="auto"/>
        <w:right w:val="none" w:sz="0" w:space="0" w:color="auto"/>
      </w:divBdr>
    </w:div>
    <w:div w:id="1454782841">
      <w:bodyDiv w:val="1"/>
      <w:marLeft w:val="0"/>
      <w:marRight w:val="0"/>
      <w:marTop w:val="0"/>
      <w:marBottom w:val="0"/>
      <w:divBdr>
        <w:top w:val="none" w:sz="0" w:space="0" w:color="auto"/>
        <w:left w:val="none" w:sz="0" w:space="0" w:color="auto"/>
        <w:bottom w:val="none" w:sz="0" w:space="0" w:color="auto"/>
        <w:right w:val="none" w:sz="0" w:space="0" w:color="auto"/>
      </w:divBdr>
    </w:div>
    <w:div w:id="1455712826">
      <w:bodyDiv w:val="1"/>
      <w:marLeft w:val="0"/>
      <w:marRight w:val="0"/>
      <w:marTop w:val="0"/>
      <w:marBottom w:val="0"/>
      <w:divBdr>
        <w:top w:val="none" w:sz="0" w:space="0" w:color="auto"/>
        <w:left w:val="none" w:sz="0" w:space="0" w:color="auto"/>
        <w:bottom w:val="none" w:sz="0" w:space="0" w:color="auto"/>
        <w:right w:val="none" w:sz="0" w:space="0" w:color="auto"/>
      </w:divBdr>
    </w:div>
    <w:div w:id="1456370203">
      <w:bodyDiv w:val="1"/>
      <w:marLeft w:val="0"/>
      <w:marRight w:val="0"/>
      <w:marTop w:val="0"/>
      <w:marBottom w:val="0"/>
      <w:divBdr>
        <w:top w:val="none" w:sz="0" w:space="0" w:color="auto"/>
        <w:left w:val="none" w:sz="0" w:space="0" w:color="auto"/>
        <w:bottom w:val="none" w:sz="0" w:space="0" w:color="auto"/>
        <w:right w:val="none" w:sz="0" w:space="0" w:color="auto"/>
      </w:divBdr>
    </w:div>
    <w:div w:id="1457019397">
      <w:bodyDiv w:val="1"/>
      <w:marLeft w:val="0"/>
      <w:marRight w:val="0"/>
      <w:marTop w:val="0"/>
      <w:marBottom w:val="0"/>
      <w:divBdr>
        <w:top w:val="none" w:sz="0" w:space="0" w:color="auto"/>
        <w:left w:val="none" w:sz="0" w:space="0" w:color="auto"/>
        <w:bottom w:val="none" w:sz="0" w:space="0" w:color="auto"/>
        <w:right w:val="none" w:sz="0" w:space="0" w:color="auto"/>
      </w:divBdr>
    </w:div>
    <w:div w:id="1458723922">
      <w:bodyDiv w:val="1"/>
      <w:marLeft w:val="0"/>
      <w:marRight w:val="0"/>
      <w:marTop w:val="0"/>
      <w:marBottom w:val="0"/>
      <w:divBdr>
        <w:top w:val="none" w:sz="0" w:space="0" w:color="auto"/>
        <w:left w:val="none" w:sz="0" w:space="0" w:color="auto"/>
        <w:bottom w:val="none" w:sz="0" w:space="0" w:color="auto"/>
        <w:right w:val="none" w:sz="0" w:space="0" w:color="auto"/>
      </w:divBdr>
    </w:div>
    <w:div w:id="1459840857">
      <w:bodyDiv w:val="1"/>
      <w:marLeft w:val="0"/>
      <w:marRight w:val="0"/>
      <w:marTop w:val="0"/>
      <w:marBottom w:val="0"/>
      <w:divBdr>
        <w:top w:val="none" w:sz="0" w:space="0" w:color="auto"/>
        <w:left w:val="none" w:sz="0" w:space="0" w:color="auto"/>
        <w:bottom w:val="none" w:sz="0" w:space="0" w:color="auto"/>
        <w:right w:val="none" w:sz="0" w:space="0" w:color="auto"/>
      </w:divBdr>
    </w:div>
    <w:div w:id="1460537939">
      <w:bodyDiv w:val="1"/>
      <w:marLeft w:val="0"/>
      <w:marRight w:val="0"/>
      <w:marTop w:val="0"/>
      <w:marBottom w:val="0"/>
      <w:divBdr>
        <w:top w:val="none" w:sz="0" w:space="0" w:color="auto"/>
        <w:left w:val="none" w:sz="0" w:space="0" w:color="auto"/>
        <w:bottom w:val="none" w:sz="0" w:space="0" w:color="auto"/>
        <w:right w:val="none" w:sz="0" w:space="0" w:color="auto"/>
      </w:divBdr>
    </w:div>
    <w:div w:id="1460681485">
      <w:bodyDiv w:val="1"/>
      <w:marLeft w:val="0"/>
      <w:marRight w:val="0"/>
      <w:marTop w:val="0"/>
      <w:marBottom w:val="0"/>
      <w:divBdr>
        <w:top w:val="none" w:sz="0" w:space="0" w:color="auto"/>
        <w:left w:val="none" w:sz="0" w:space="0" w:color="auto"/>
        <w:bottom w:val="none" w:sz="0" w:space="0" w:color="auto"/>
        <w:right w:val="none" w:sz="0" w:space="0" w:color="auto"/>
      </w:divBdr>
    </w:div>
    <w:div w:id="1462110082">
      <w:bodyDiv w:val="1"/>
      <w:marLeft w:val="0"/>
      <w:marRight w:val="0"/>
      <w:marTop w:val="0"/>
      <w:marBottom w:val="0"/>
      <w:divBdr>
        <w:top w:val="none" w:sz="0" w:space="0" w:color="auto"/>
        <w:left w:val="none" w:sz="0" w:space="0" w:color="auto"/>
        <w:bottom w:val="none" w:sz="0" w:space="0" w:color="auto"/>
        <w:right w:val="none" w:sz="0" w:space="0" w:color="auto"/>
      </w:divBdr>
    </w:div>
    <w:div w:id="1462383225">
      <w:bodyDiv w:val="1"/>
      <w:marLeft w:val="0"/>
      <w:marRight w:val="0"/>
      <w:marTop w:val="0"/>
      <w:marBottom w:val="0"/>
      <w:divBdr>
        <w:top w:val="none" w:sz="0" w:space="0" w:color="auto"/>
        <w:left w:val="none" w:sz="0" w:space="0" w:color="auto"/>
        <w:bottom w:val="none" w:sz="0" w:space="0" w:color="auto"/>
        <w:right w:val="none" w:sz="0" w:space="0" w:color="auto"/>
      </w:divBdr>
    </w:div>
    <w:div w:id="1462648464">
      <w:bodyDiv w:val="1"/>
      <w:marLeft w:val="0"/>
      <w:marRight w:val="0"/>
      <w:marTop w:val="0"/>
      <w:marBottom w:val="0"/>
      <w:divBdr>
        <w:top w:val="none" w:sz="0" w:space="0" w:color="auto"/>
        <w:left w:val="none" w:sz="0" w:space="0" w:color="auto"/>
        <w:bottom w:val="none" w:sz="0" w:space="0" w:color="auto"/>
        <w:right w:val="none" w:sz="0" w:space="0" w:color="auto"/>
      </w:divBdr>
    </w:div>
    <w:div w:id="1466043011">
      <w:bodyDiv w:val="1"/>
      <w:marLeft w:val="0"/>
      <w:marRight w:val="0"/>
      <w:marTop w:val="0"/>
      <w:marBottom w:val="0"/>
      <w:divBdr>
        <w:top w:val="none" w:sz="0" w:space="0" w:color="auto"/>
        <w:left w:val="none" w:sz="0" w:space="0" w:color="auto"/>
        <w:bottom w:val="none" w:sz="0" w:space="0" w:color="auto"/>
        <w:right w:val="none" w:sz="0" w:space="0" w:color="auto"/>
      </w:divBdr>
    </w:div>
    <w:div w:id="1466580647">
      <w:bodyDiv w:val="1"/>
      <w:marLeft w:val="0"/>
      <w:marRight w:val="0"/>
      <w:marTop w:val="0"/>
      <w:marBottom w:val="0"/>
      <w:divBdr>
        <w:top w:val="none" w:sz="0" w:space="0" w:color="auto"/>
        <w:left w:val="none" w:sz="0" w:space="0" w:color="auto"/>
        <w:bottom w:val="none" w:sz="0" w:space="0" w:color="auto"/>
        <w:right w:val="none" w:sz="0" w:space="0" w:color="auto"/>
      </w:divBdr>
    </w:div>
    <w:div w:id="1466854552">
      <w:bodyDiv w:val="1"/>
      <w:marLeft w:val="0"/>
      <w:marRight w:val="0"/>
      <w:marTop w:val="0"/>
      <w:marBottom w:val="0"/>
      <w:divBdr>
        <w:top w:val="none" w:sz="0" w:space="0" w:color="auto"/>
        <w:left w:val="none" w:sz="0" w:space="0" w:color="auto"/>
        <w:bottom w:val="none" w:sz="0" w:space="0" w:color="auto"/>
        <w:right w:val="none" w:sz="0" w:space="0" w:color="auto"/>
      </w:divBdr>
    </w:div>
    <w:div w:id="1467235422">
      <w:bodyDiv w:val="1"/>
      <w:marLeft w:val="0"/>
      <w:marRight w:val="0"/>
      <w:marTop w:val="0"/>
      <w:marBottom w:val="0"/>
      <w:divBdr>
        <w:top w:val="none" w:sz="0" w:space="0" w:color="auto"/>
        <w:left w:val="none" w:sz="0" w:space="0" w:color="auto"/>
        <w:bottom w:val="none" w:sz="0" w:space="0" w:color="auto"/>
        <w:right w:val="none" w:sz="0" w:space="0" w:color="auto"/>
      </w:divBdr>
    </w:div>
    <w:div w:id="1468082936">
      <w:bodyDiv w:val="1"/>
      <w:marLeft w:val="0"/>
      <w:marRight w:val="0"/>
      <w:marTop w:val="0"/>
      <w:marBottom w:val="0"/>
      <w:divBdr>
        <w:top w:val="none" w:sz="0" w:space="0" w:color="auto"/>
        <w:left w:val="none" w:sz="0" w:space="0" w:color="auto"/>
        <w:bottom w:val="none" w:sz="0" w:space="0" w:color="auto"/>
        <w:right w:val="none" w:sz="0" w:space="0" w:color="auto"/>
      </w:divBdr>
    </w:div>
    <w:div w:id="1468665070">
      <w:bodyDiv w:val="1"/>
      <w:marLeft w:val="0"/>
      <w:marRight w:val="0"/>
      <w:marTop w:val="0"/>
      <w:marBottom w:val="0"/>
      <w:divBdr>
        <w:top w:val="none" w:sz="0" w:space="0" w:color="auto"/>
        <w:left w:val="none" w:sz="0" w:space="0" w:color="auto"/>
        <w:bottom w:val="none" w:sz="0" w:space="0" w:color="auto"/>
        <w:right w:val="none" w:sz="0" w:space="0" w:color="auto"/>
      </w:divBdr>
    </w:div>
    <w:div w:id="1469278547">
      <w:bodyDiv w:val="1"/>
      <w:marLeft w:val="0"/>
      <w:marRight w:val="0"/>
      <w:marTop w:val="0"/>
      <w:marBottom w:val="0"/>
      <w:divBdr>
        <w:top w:val="none" w:sz="0" w:space="0" w:color="auto"/>
        <w:left w:val="none" w:sz="0" w:space="0" w:color="auto"/>
        <w:bottom w:val="none" w:sz="0" w:space="0" w:color="auto"/>
        <w:right w:val="none" w:sz="0" w:space="0" w:color="auto"/>
      </w:divBdr>
    </w:div>
    <w:div w:id="1469324201">
      <w:bodyDiv w:val="1"/>
      <w:marLeft w:val="0"/>
      <w:marRight w:val="0"/>
      <w:marTop w:val="0"/>
      <w:marBottom w:val="0"/>
      <w:divBdr>
        <w:top w:val="none" w:sz="0" w:space="0" w:color="auto"/>
        <w:left w:val="none" w:sz="0" w:space="0" w:color="auto"/>
        <w:bottom w:val="none" w:sz="0" w:space="0" w:color="auto"/>
        <w:right w:val="none" w:sz="0" w:space="0" w:color="auto"/>
      </w:divBdr>
    </w:div>
    <w:div w:id="1470397099">
      <w:bodyDiv w:val="1"/>
      <w:marLeft w:val="0"/>
      <w:marRight w:val="0"/>
      <w:marTop w:val="0"/>
      <w:marBottom w:val="0"/>
      <w:divBdr>
        <w:top w:val="none" w:sz="0" w:space="0" w:color="auto"/>
        <w:left w:val="none" w:sz="0" w:space="0" w:color="auto"/>
        <w:bottom w:val="none" w:sz="0" w:space="0" w:color="auto"/>
        <w:right w:val="none" w:sz="0" w:space="0" w:color="auto"/>
      </w:divBdr>
    </w:div>
    <w:div w:id="1471707149">
      <w:bodyDiv w:val="1"/>
      <w:marLeft w:val="0"/>
      <w:marRight w:val="0"/>
      <w:marTop w:val="0"/>
      <w:marBottom w:val="0"/>
      <w:divBdr>
        <w:top w:val="none" w:sz="0" w:space="0" w:color="auto"/>
        <w:left w:val="none" w:sz="0" w:space="0" w:color="auto"/>
        <w:bottom w:val="none" w:sz="0" w:space="0" w:color="auto"/>
        <w:right w:val="none" w:sz="0" w:space="0" w:color="auto"/>
      </w:divBdr>
    </w:div>
    <w:div w:id="1473332264">
      <w:bodyDiv w:val="1"/>
      <w:marLeft w:val="0"/>
      <w:marRight w:val="0"/>
      <w:marTop w:val="0"/>
      <w:marBottom w:val="0"/>
      <w:divBdr>
        <w:top w:val="none" w:sz="0" w:space="0" w:color="auto"/>
        <w:left w:val="none" w:sz="0" w:space="0" w:color="auto"/>
        <w:bottom w:val="none" w:sz="0" w:space="0" w:color="auto"/>
        <w:right w:val="none" w:sz="0" w:space="0" w:color="auto"/>
      </w:divBdr>
    </w:div>
    <w:div w:id="1476217409">
      <w:bodyDiv w:val="1"/>
      <w:marLeft w:val="0"/>
      <w:marRight w:val="0"/>
      <w:marTop w:val="0"/>
      <w:marBottom w:val="0"/>
      <w:divBdr>
        <w:top w:val="none" w:sz="0" w:space="0" w:color="auto"/>
        <w:left w:val="none" w:sz="0" w:space="0" w:color="auto"/>
        <w:bottom w:val="none" w:sz="0" w:space="0" w:color="auto"/>
        <w:right w:val="none" w:sz="0" w:space="0" w:color="auto"/>
      </w:divBdr>
    </w:div>
    <w:div w:id="1476557622">
      <w:bodyDiv w:val="1"/>
      <w:marLeft w:val="0"/>
      <w:marRight w:val="0"/>
      <w:marTop w:val="0"/>
      <w:marBottom w:val="0"/>
      <w:divBdr>
        <w:top w:val="none" w:sz="0" w:space="0" w:color="auto"/>
        <w:left w:val="none" w:sz="0" w:space="0" w:color="auto"/>
        <w:bottom w:val="none" w:sz="0" w:space="0" w:color="auto"/>
        <w:right w:val="none" w:sz="0" w:space="0" w:color="auto"/>
      </w:divBdr>
    </w:div>
    <w:div w:id="1477449239">
      <w:bodyDiv w:val="1"/>
      <w:marLeft w:val="0"/>
      <w:marRight w:val="0"/>
      <w:marTop w:val="0"/>
      <w:marBottom w:val="0"/>
      <w:divBdr>
        <w:top w:val="none" w:sz="0" w:space="0" w:color="auto"/>
        <w:left w:val="none" w:sz="0" w:space="0" w:color="auto"/>
        <w:bottom w:val="none" w:sz="0" w:space="0" w:color="auto"/>
        <w:right w:val="none" w:sz="0" w:space="0" w:color="auto"/>
      </w:divBdr>
    </w:div>
    <w:div w:id="1477916310">
      <w:bodyDiv w:val="1"/>
      <w:marLeft w:val="0"/>
      <w:marRight w:val="0"/>
      <w:marTop w:val="0"/>
      <w:marBottom w:val="0"/>
      <w:divBdr>
        <w:top w:val="none" w:sz="0" w:space="0" w:color="auto"/>
        <w:left w:val="none" w:sz="0" w:space="0" w:color="auto"/>
        <w:bottom w:val="none" w:sz="0" w:space="0" w:color="auto"/>
        <w:right w:val="none" w:sz="0" w:space="0" w:color="auto"/>
      </w:divBdr>
    </w:div>
    <w:div w:id="1478760130">
      <w:bodyDiv w:val="1"/>
      <w:marLeft w:val="0"/>
      <w:marRight w:val="0"/>
      <w:marTop w:val="0"/>
      <w:marBottom w:val="0"/>
      <w:divBdr>
        <w:top w:val="none" w:sz="0" w:space="0" w:color="auto"/>
        <w:left w:val="none" w:sz="0" w:space="0" w:color="auto"/>
        <w:bottom w:val="none" w:sz="0" w:space="0" w:color="auto"/>
        <w:right w:val="none" w:sz="0" w:space="0" w:color="auto"/>
      </w:divBdr>
    </w:div>
    <w:div w:id="1479348251">
      <w:bodyDiv w:val="1"/>
      <w:marLeft w:val="0"/>
      <w:marRight w:val="0"/>
      <w:marTop w:val="0"/>
      <w:marBottom w:val="0"/>
      <w:divBdr>
        <w:top w:val="none" w:sz="0" w:space="0" w:color="auto"/>
        <w:left w:val="none" w:sz="0" w:space="0" w:color="auto"/>
        <w:bottom w:val="none" w:sz="0" w:space="0" w:color="auto"/>
        <w:right w:val="none" w:sz="0" w:space="0" w:color="auto"/>
      </w:divBdr>
    </w:div>
    <w:div w:id="1479608741">
      <w:bodyDiv w:val="1"/>
      <w:marLeft w:val="0"/>
      <w:marRight w:val="0"/>
      <w:marTop w:val="0"/>
      <w:marBottom w:val="0"/>
      <w:divBdr>
        <w:top w:val="none" w:sz="0" w:space="0" w:color="auto"/>
        <w:left w:val="none" w:sz="0" w:space="0" w:color="auto"/>
        <w:bottom w:val="none" w:sz="0" w:space="0" w:color="auto"/>
        <w:right w:val="none" w:sz="0" w:space="0" w:color="auto"/>
      </w:divBdr>
    </w:div>
    <w:div w:id="1480221863">
      <w:bodyDiv w:val="1"/>
      <w:marLeft w:val="0"/>
      <w:marRight w:val="0"/>
      <w:marTop w:val="0"/>
      <w:marBottom w:val="0"/>
      <w:divBdr>
        <w:top w:val="none" w:sz="0" w:space="0" w:color="auto"/>
        <w:left w:val="none" w:sz="0" w:space="0" w:color="auto"/>
        <w:bottom w:val="none" w:sz="0" w:space="0" w:color="auto"/>
        <w:right w:val="none" w:sz="0" w:space="0" w:color="auto"/>
      </w:divBdr>
    </w:div>
    <w:div w:id="1480682620">
      <w:bodyDiv w:val="1"/>
      <w:marLeft w:val="0"/>
      <w:marRight w:val="0"/>
      <w:marTop w:val="0"/>
      <w:marBottom w:val="0"/>
      <w:divBdr>
        <w:top w:val="none" w:sz="0" w:space="0" w:color="auto"/>
        <w:left w:val="none" w:sz="0" w:space="0" w:color="auto"/>
        <w:bottom w:val="none" w:sz="0" w:space="0" w:color="auto"/>
        <w:right w:val="none" w:sz="0" w:space="0" w:color="auto"/>
      </w:divBdr>
    </w:div>
    <w:div w:id="1481800016">
      <w:bodyDiv w:val="1"/>
      <w:marLeft w:val="0"/>
      <w:marRight w:val="0"/>
      <w:marTop w:val="0"/>
      <w:marBottom w:val="0"/>
      <w:divBdr>
        <w:top w:val="none" w:sz="0" w:space="0" w:color="auto"/>
        <w:left w:val="none" w:sz="0" w:space="0" w:color="auto"/>
        <w:bottom w:val="none" w:sz="0" w:space="0" w:color="auto"/>
        <w:right w:val="none" w:sz="0" w:space="0" w:color="auto"/>
      </w:divBdr>
    </w:div>
    <w:div w:id="1482386822">
      <w:bodyDiv w:val="1"/>
      <w:marLeft w:val="0"/>
      <w:marRight w:val="0"/>
      <w:marTop w:val="0"/>
      <w:marBottom w:val="0"/>
      <w:divBdr>
        <w:top w:val="none" w:sz="0" w:space="0" w:color="auto"/>
        <w:left w:val="none" w:sz="0" w:space="0" w:color="auto"/>
        <w:bottom w:val="none" w:sz="0" w:space="0" w:color="auto"/>
        <w:right w:val="none" w:sz="0" w:space="0" w:color="auto"/>
      </w:divBdr>
    </w:div>
    <w:div w:id="1482652343">
      <w:bodyDiv w:val="1"/>
      <w:marLeft w:val="0"/>
      <w:marRight w:val="0"/>
      <w:marTop w:val="0"/>
      <w:marBottom w:val="0"/>
      <w:divBdr>
        <w:top w:val="none" w:sz="0" w:space="0" w:color="auto"/>
        <w:left w:val="none" w:sz="0" w:space="0" w:color="auto"/>
        <w:bottom w:val="none" w:sz="0" w:space="0" w:color="auto"/>
        <w:right w:val="none" w:sz="0" w:space="0" w:color="auto"/>
      </w:divBdr>
    </w:div>
    <w:div w:id="1483691091">
      <w:bodyDiv w:val="1"/>
      <w:marLeft w:val="0"/>
      <w:marRight w:val="0"/>
      <w:marTop w:val="0"/>
      <w:marBottom w:val="0"/>
      <w:divBdr>
        <w:top w:val="none" w:sz="0" w:space="0" w:color="auto"/>
        <w:left w:val="none" w:sz="0" w:space="0" w:color="auto"/>
        <w:bottom w:val="none" w:sz="0" w:space="0" w:color="auto"/>
        <w:right w:val="none" w:sz="0" w:space="0" w:color="auto"/>
      </w:divBdr>
    </w:div>
    <w:div w:id="1484273208">
      <w:bodyDiv w:val="1"/>
      <w:marLeft w:val="0"/>
      <w:marRight w:val="0"/>
      <w:marTop w:val="0"/>
      <w:marBottom w:val="0"/>
      <w:divBdr>
        <w:top w:val="none" w:sz="0" w:space="0" w:color="auto"/>
        <w:left w:val="none" w:sz="0" w:space="0" w:color="auto"/>
        <w:bottom w:val="none" w:sz="0" w:space="0" w:color="auto"/>
        <w:right w:val="none" w:sz="0" w:space="0" w:color="auto"/>
      </w:divBdr>
    </w:div>
    <w:div w:id="1484807297">
      <w:bodyDiv w:val="1"/>
      <w:marLeft w:val="0"/>
      <w:marRight w:val="0"/>
      <w:marTop w:val="0"/>
      <w:marBottom w:val="0"/>
      <w:divBdr>
        <w:top w:val="none" w:sz="0" w:space="0" w:color="auto"/>
        <w:left w:val="none" w:sz="0" w:space="0" w:color="auto"/>
        <w:bottom w:val="none" w:sz="0" w:space="0" w:color="auto"/>
        <w:right w:val="none" w:sz="0" w:space="0" w:color="auto"/>
      </w:divBdr>
    </w:div>
    <w:div w:id="1487286788">
      <w:bodyDiv w:val="1"/>
      <w:marLeft w:val="0"/>
      <w:marRight w:val="0"/>
      <w:marTop w:val="0"/>
      <w:marBottom w:val="0"/>
      <w:divBdr>
        <w:top w:val="none" w:sz="0" w:space="0" w:color="auto"/>
        <w:left w:val="none" w:sz="0" w:space="0" w:color="auto"/>
        <w:bottom w:val="none" w:sz="0" w:space="0" w:color="auto"/>
        <w:right w:val="none" w:sz="0" w:space="0" w:color="auto"/>
      </w:divBdr>
    </w:div>
    <w:div w:id="1487667681">
      <w:bodyDiv w:val="1"/>
      <w:marLeft w:val="0"/>
      <w:marRight w:val="0"/>
      <w:marTop w:val="0"/>
      <w:marBottom w:val="0"/>
      <w:divBdr>
        <w:top w:val="none" w:sz="0" w:space="0" w:color="auto"/>
        <w:left w:val="none" w:sz="0" w:space="0" w:color="auto"/>
        <w:bottom w:val="none" w:sz="0" w:space="0" w:color="auto"/>
        <w:right w:val="none" w:sz="0" w:space="0" w:color="auto"/>
      </w:divBdr>
    </w:div>
    <w:div w:id="1487823113">
      <w:bodyDiv w:val="1"/>
      <w:marLeft w:val="0"/>
      <w:marRight w:val="0"/>
      <w:marTop w:val="0"/>
      <w:marBottom w:val="0"/>
      <w:divBdr>
        <w:top w:val="none" w:sz="0" w:space="0" w:color="auto"/>
        <w:left w:val="none" w:sz="0" w:space="0" w:color="auto"/>
        <w:bottom w:val="none" w:sz="0" w:space="0" w:color="auto"/>
        <w:right w:val="none" w:sz="0" w:space="0" w:color="auto"/>
      </w:divBdr>
    </w:div>
    <w:div w:id="1488014034">
      <w:bodyDiv w:val="1"/>
      <w:marLeft w:val="0"/>
      <w:marRight w:val="0"/>
      <w:marTop w:val="0"/>
      <w:marBottom w:val="0"/>
      <w:divBdr>
        <w:top w:val="none" w:sz="0" w:space="0" w:color="auto"/>
        <w:left w:val="none" w:sz="0" w:space="0" w:color="auto"/>
        <w:bottom w:val="none" w:sz="0" w:space="0" w:color="auto"/>
        <w:right w:val="none" w:sz="0" w:space="0" w:color="auto"/>
      </w:divBdr>
    </w:div>
    <w:div w:id="1488666866">
      <w:bodyDiv w:val="1"/>
      <w:marLeft w:val="0"/>
      <w:marRight w:val="0"/>
      <w:marTop w:val="0"/>
      <w:marBottom w:val="0"/>
      <w:divBdr>
        <w:top w:val="none" w:sz="0" w:space="0" w:color="auto"/>
        <w:left w:val="none" w:sz="0" w:space="0" w:color="auto"/>
        <w:bottom w:val="none" w:sz="0" w:space="0" w:color="auto"/>
        <w:right w:val="none" w:sz="0" w:space="0" w:color="auto"/>
      </w:divBdr>
    </w:div>
    <w:div w:id="1489246377">
      <w:bodyDiv w:val="1"/>
      <w:marLeft w:val="0"/>
      <w:marRight w:val="0"/>
      <w:marTop w:val="0"/>
      <w:marBottom w:val="0"/>
      <w:divBdr>
        <w:top w:val="none" w:sz="0" w:space="0" w:color="auto"/>
        <w:left w:val="none" w:sz="0" w:space="0" w:color="auto"/>
        <w:bottom w:val="none" w:sz="0" w:space="0" w:color="auto"/>
        <w:right w:val="none" w:sz="0" w:space="0" w:color="auto"/>
      </w:divBdr>
    </w:div>
    <w:div w:id="1491402856">
      <w:bodyDiv w:val="1"/>
      <w:marLeft w:val="0"/>
      <w:marRight w:val="0"/>
      <w:marTop w:val="0"/>
      <w:marBottom w:val="0"/>
      <w:divBdr>
        <w:top w:val="none" w:sz="0" w:space="0" w:color="auto"/>
        <w:left w:val="none" w:sz="0" w:space="0" w:color="auto"/>
        <w:bottom w:val="none" w:sz="0" w:space="0" w:color="auto"/>
        <w:right w:val="none" w:sz="0" w:space="0" w:color="auto"/>
      </w:divBdr>
    </w:div>
    <w:div w:id="1492067438">
      <w:bodyDiv w:val="1"/>
      <w:marLeft w:val="0"/>
      <w:marRight w:val="0"/>
      <w:marTop w:val="0"/>
      <w:marBottom w:val="0"/>
      <w:divBdr>
        <w:top w:val="none" w:sz="0" w:space="0" w:color="auto"/>
        <w:left w:val="none" w:sz="0" w:space="0" w:color="auto"/>
        <w:bottom w:val="none" w:sz="0" w:space="0" w:color="auto"/>
        <w:right w:val="none" w:sz="0" w:space="0" w:color="auto"/>
      </w:divBdr>
    </w:div>
    <w:div w:id="1494294606">
      <w:bodyDiv w:val="1"/>
      <w:marLeft w:val="0"/>
      <w:marRight w:val="0"/>
      <w:marTop w:val="0"/>
      <w:marBottom w:val="0"/>
      <w:divBdr>
        <w:top w:val="none" w:sz="0" w:space="0" w:color="auto"/>
        <w:left w:val="none" w:sz="0" w:space="0" w:color="auto"/>
        <w:bottom w:val="none" w:sz="0" w:space="0" w:color="auto"/>
        <w:right w:val="none" w:sz="0" w:space="0" w:color="auto"/>
      </w:divBdr>
    </w:div>
    <w:div w:id="1494638683">
      <w:bodyDiv w:val="1"/>
      <w:marLeft w:val="0"/>
      <w:marRight w:val="0"/>
      <w:marTop w:val="0"/>
      <w:marBottom w:val="0"/>
      <w:divBdr>
        <w:top w:val="none" w:sz="0" w:space="0" w:color="auto"/>
        <w:left w:val="none" w:sz="0" w:space="0" w:color="auto"/>
        <w:bottom w:val="none" w:sz="0" w:space="0" w:color="auto"/>
        <w:right w:val="none" w:sz="0" w:space="0" w:color="auto"/>
      </w:divBdr>
    </w:div>
    <w:div w:id="1495336922">
      <w:bodyDiv w:val="1"/>
      <w:marLeft w:val="0"/>
      <w:marRight w:val="0"/>
      <w:marTop w:val="0"/>
      <w:marBottom w:val="0"/>
      <w:divBdr>
        <w:top w:val="none" w:sz="0" w:space="0" w:color="auto"/>
        <w:left w:val="none" w:sz="0" w:space="0" w:color="auto"/>
        <w:bottom w:val="none" w:sz="0" w:space="0" w:color="auto"/>
        <w:right w:val="none" w:sz="0" w:space="0" w:color="auto"/>
      </w:divBdr>
    </w:div>
    <w:div w:id="1495338185">
      <w:bodyDiv w:val="1"/>
      <w:marLeft w:val="0"/>
      <w:marRight w:val="0"/>
      <w:marTop w:val="0"/>
      <w:marBottom w:val="0"/>
      <w:divBdr>
        <w:top w:val="none" w:sz="0" w:space="0" w:color="auto"/>
        <w:left w:val="none" w:sz="0" w:space="0" w:color="auto"/>
        <w:bottom w:val="none" w:sz="0" w:space="0" w:color="auto"/>
        <w:right w:val="none" w:sz="0" w:space="0" w:color="auto"/>
      </w:divBdr>
    </w:div>
    <w:div w:id="1495996166">
      <w:bodyDiv w:val="1"/>
      <w:marLeft w:val="0"/>
      <w:marRight w:val="0"/>
      <w:marTop w:val="0"/>
      <w:marBottom w:val="0"/>
      <w:divBdr>
        <w:top w:val="none" w:sz="0" w:space="0" w:color="auto"/>
        <w:left w:val="none" w:sz="0" w:space="0" w:color="auto"/>
        <w:bottom w:val="none" w:sz="0" w:space="0" w:color="auto"/>
        <w:right w:val="none" w:sz="0" w:space="0" w:color="auto"/>
      </w:divBdr>
    </w:div>
    <w:div w:id="1496874413">
      <w:bodyDiv w:val="1"/>
      <w:marLeft w:val="0"/>
      <w:marRight w:val="0"/>
      <w:marTop w:val="0"/>
      <w:marBottom w:val="0"/>
      <w:divBdr>
        <w:top w:val="none" w:sz="0" w:space="0" w:color="auto"/>
        <w:left w:val="none" w:sz="0" w:space="0" w:color="auto"/>
        <w:bottom w:val="none" w:sz="0" w:space="0" w:color="auto"/>
        <w:right w:val="none" w:sz="0" w:space="0" w:color="auto"/>
      </w:divBdr>
    </w:div>
    <w:div w:id="1497265525">
      <w:bodyDiv w:val="1"/>
      <w:marLeft w:val="0"/>
      <w:marRight w:val="0"/>
      <w:marTop w:val="0"/>
      <w:marBottom w:val="0"/>
      <w:divBdr>
        <w:top w:val="none" w:sz="0" w:space="0" w:color="auto"/>
        <w:left w:val="none" w:sz="0" w:space="0" w:color="auto"/>
        <w:bottom w:val="none" w:sz="0" w:space="0" w:color="auto"/>
        <w:right w:val="none" w:sz="0" w:space="0" w:color="auto"/>
      </w:divBdr>
    </w:div>
    <w:div w:id="1497964039">
      <w:bodyDiv w:val="1"/>
      <w:marLeft w:val="0"/>
      <w:marRight w:val="0"/>
      <w:marTop w:val="0"/>
      <w:marBottom w:val="0"/>
      <w:divBdr>
        <w:top w:val="none" w:sz="0" w:space="0" w:color="auto"/>
        <w:left w:val="none" w:sz="0" w:space="0" w:color="auto"/>
        <w:bottom w:val="none" w:sz="0" w:space="0" w:color="auto"/>
        <w:right w:val="none" w:sz="0" w:space="0" w:color="auto"/>
      </w:divBdr>
    </w:div>
    <w:div w:id="1498183879">
      <w:bodyDiv w:val="1"/>
      <w:marLeft w:val="0"/>
      <w:marRight w:val="0"/>
      <w:marTop w:val="0"/>
      <w:marBottom w:val="0"/>
      <w:divBdr>
        <w:top w:val="none" w:sz="0" w:space="0" w:color="auto"/>
        <w:left w:val="none" w:sz="0" w:space="0" w:color="auto"/>
        <w:bottom w:val="none" w:sz="0" w:space="0" w:color="auto"/>
        <w:right w:val="none" w:sz="0" w:space="0" w:color="auto"/>
      </w:divBdr>
    </w:div>
    <w:div w:id="1498812970">
      <w:bodyDiv w:val="1"/>
      <w:marLeft w:val="0"/>
      <w:marRight w:val="0"/>
      <w:marTop w:val="0"/>
      <w:marBottom w:val="0"/>
      <w:divBdr>
        <w:top w:val="none" w:sz="0" w:space="0" w:color="auto"/>
        <w:left w:val="none" w:sz="0" w:space="0" w:color="auto"/>
        <w:bottom w:val="none" w:sz="0" w:space="0" w:color="auto"/>
        <w:right w:val="none" w:sz="0" w:space="0" w:color="auto"/>
      </w:divBdr>
    </w:div>
    <w:div w:id="1501888748">
      <w:bodyDiv w:val="1"/>
      <w:marLeft w:val="0"/>
      <w:marRight w:val="0"/>
      <w:marTop w:val="0"/>
      <w:marBottom w:val="0"/>
      <w:divBdr>
        <w:top w:val="none" w:sz="0" w:space="0" w:color="auto"/>
        <w:left w:val="none" w:sz="0" w:space="0" w:color="auto"/>
        <w:bottom w:val="none" w:sz="0" w:space="0" w:color="auto"/>
        <w:right w:val="none" w:sz="0" w:space="0" w:color="auto"/>
      </w:divBdr>
    </w:div>
    <w:div w:id="1502156075">
      <w:bodyDiv w:val="1"/>
      <w:marLeft w:val="0"/>
      <w:marRight w:val="0"/>
      <w:marTop w:val="0"/>
      <w:marBottom w:val="0"/>
      <w:divBdr>
        <w:top w:val="none" w:sz="0" w:space="0" w:color="auto"/>
        <w:left w:val="none" w:sz="0" w:space="0" w:color="auto"/>
        <w:bottom w:val="none" w:sz="0" w:space="0" w:color="auto"/>
        <w:right w:val="none" w:sz="0" w:space="0" w:color="auto"/>
      </w:divBdr>
    </w:div>
    <w:div w:id="1502309554">
      <w:bodyDiv w:val="1"/>
      <w:marLeft w:val="0"/>
      <w:marRight w:val="0"/>
      <w:marTop w:val="0"/>
      <w:marBottom w:val="0"/>
      <w:divBdr>
        <w:top w:val="none" w:sz="0" w:space="0" w:color="auto"/>
        <w:left w:val="none" w:sz="0" w:space="0" w:color="auto"/>
        <w:bottom w:val="none" w:sz="0" w:space="0" w:color="auto"/>
        <w:right w:val="none" w:sz="0" w:space="0" w:color="auto"/>
      </w:divBdr>
    </w:div>
    <w:div w:id="1502702528">
      <w:bodyDiv w:val="1"/>
      <w:marLeft w:val="0"/>
      <w:marRight w:val="0"/>
      <w:marTop w:val="0"/>
      <w:marBottom w:val="0"/>
      <w:divBdr>
        <w:top w:val="none" w:sz="0" w:space="0" w:color="auto"/>
        <w:left w:val="none" w:sz="0" w:space="0" w:color="auto"/>
        <w:bottom w:val="none" w:sz="0" w:space="0" w:color="auto"/>
        <w:right w:val="none" w:sz="0" w:space="0" w:color="auto"/>
      </w:divBdr>
    </w:div>
    <w:div w:id="1503473548">
      <w:bodyDiv w:val="1"/>
      <w:marLeft w:val="0"/>
      <w:marRight w:val="0"/>
      <w:marTop w:val="0"/>
      <w:marBottom w:val="0"/>
      <w:divBdr>
        <w:top w:val="none" w:sz="0" w:space="0" w:color="auto"/>
        <w:left w:val="none" w:sz="0" w:space="0" w:color="auto"/>
        <w:bottom w:val="none" w:sz="0" w:space="0" w:color="auto"/>
        <w:right w:val="none" w:sz="0" w:space="0" w:color="auto"/>
      </w:divBdr>
    </w:div>
    <w:div w:id="1504977552">
      <w:bodyDiv w:val="1"/>
      <w:marLeft w:val="0"/>
      <w:marRight w:val="0"/>
      <w:marTop w:val="0"/>
      <w:marBottom w:val="0"/>
      <w:divBdr>
        <w:top w:val="none" w:sz="0" w:space="0" w:color="auto"/>
        <w:left w:val="none" w:sz="0" w:space="0" w:color="auto"/>
        <w:bottom w:val="none" w:sz="0" w:space="0" w:color="auto"/>
        <w:right w:val="none" w:sz="0" w:space="0" w:color="auto"/>
      </w:divBdr>
    </w:div>
    <w:div w:id="1505046187">
      <w:bodyDiv w:val="1"/>
      <w:marLeft w:val="0"/>
      <w:marRight w:val="0"/>
      <w:marTop w:val="0"/>
      <w:marBottom w:val="0"/>
      <w:divBdr>
        <w:top w:val="none" w:sz="0" w:space="0" w:color="auto"/>
        <w:left w:val="none" w:sz="0" w:space="0" w:color="auto"/>
        <w:bottom w:val="none" w:sz="0" w:space="0" w:color="auto"/>
        <w:right w:val="none" w:sz="0" w:space="0" w:color="auto"/>
      </w:divBdr>
    </w:div>
    <w:div w:id="1505054382">
      <w:bodyDiv w:val="1"/>
      <w:marLeft w:val="0"/>
      <w:marRight w:val="0"/>
      <w:marTop w:val="0"/>
      <w:marBottom w:val="0"/>
      <w:divBdr>
        <w:top w:val="none" w:sz="0" w:space="0" w:color="auto"/>
        <w:left w:val="none" w:sz="0" w:space="0" w:color="auto"/>
        <w:bottom w:val="none" w:sz="0" w:space="0" w:color="auto"/>
        <w:right w:val="none" w:sz="0" w:space="0" w:color="auto"/>
      </w:divBdr>
    </w:div>
    <w:div w:id="1505973601">
      <w:bodyDiv w:val="1"/>
      <w:marLeft w:val="0"/>
      <w:marRight w:val="0"/>
      <w:marTop w:val="0"/>
      <w:marBottom w:val="0"/>
      <w:divBdr>
        <w:top w:val="none" w:sz="0" w:space="0" w:color="auto"/>
        <w:left w:val="none" w:sz="0" w:space="0" w:color="auto"/>
        <w:bottom w:val="none" w:sz="0" w:space="0" w:color="auto"/>
        <w:right w:val="none" w:sz="0" w:space="0" w:color="auto"/>
      </w:divBdr>
    </w:div>
    <w:div w:id="1506555013">
      <w:bodyDiv w:val="1"/>
      <w:marLeft w:val="0"/>
      <w:marRight w:val="0"/>
      <w:marTop w:val="0"/>
      <w:marBottom w:val="0"/>
      <w:divBdr>
        <w:top w:val="none" w:sz="0" w:space="0" w:color="auto"/>
        <w:left w:val="none" w:sz="0" w:space="0" w:color="auto"/>
        <w:bottom w:val="none" w:sz="0" w:space="0" w:color="auto"/>
        <w:right w:val="none" w:sz="0" w:space="0" w:color="auto"/>
      </w:divBdr>
    </w:div>
    <w:div w:id="1507138328">
      <w:bodyDiv w:val="1"/>
      <w:marLeft w:val="0"/>
      <w:marRight w:val="0"/>
      <w:marTop w:val="0"/>
      <w:marBottom w:val="0"/>
      <w:divBdr>
        <w:top w:val="none" w:sz="0" w:space="0" w:color="auto"/>
        <w:left w:val="none" w:sz="0" w:space="0" w:color="auto"/>
        <w:bottom w:val="none" w:sz="0" w:space="0" w:color="auto"/>
        <w:right w:val="none" w:sz="0" w:space="0" w:color="auto"/>
      </w:divBdr>
    </w:div>
    <w:div w:id="1508792985">
      <w:bodyDiv w:val="1"/>
      <w:marLeft w:val="0"/>
      <w:marRight w:val="0"/>
      <w:marTop w:val="0"/>
      <w:marBottom w:val="0"/>
      <w:divBdr>
        <w:top w:val="none" w:sz="0" w:space="0" w:color="auto"/>
        <w:left w:val="none" w:sz="0" w:space="0" w:color="auto"/>
        <w:bottom w:val="none" w:sz="0" w:space="0" w:color="auto"/>
        <w:right w:val="none" w:sz="0" w:space="0" w:color="auto"/>
      </w:divBdr>
    </w:div>
    <w:div w:id="1509709545">
      <w:bodyDiv w:val="1"/>
      <w:marLeft w:val="0"/>
      <w:marRight w:val="0"/>
      <w:marTop w:val="0"/>
      <w:marBottom w:val="0"/>
      <w:divBdr>
        <w:top w:val="none" w:sz="0" w:space="0" w:color="auto"/>
        <w:left w:val="none" w:sz="0" w:space="0" w:color="auto"/>
        <w:bottom w:val="none" w:sz="0" w:space="0" w:color="auto"/>
        <w:right w:val="none" w:sz="0" w:space="0" w:color="auto"/>
      </w:divBdr>
    </w:div>
    <w:div w:id="1510605874">
      <w:bodyDiv w:val="1"/>
      <w:marLeft w:val="0"/>
      <w:marRight w:val="0"/>
      <w:marTop w:val="0"/>
      <w:marBottom w:val="0"/>
      <w:divBdr>
        <w:top w:val="none" w:sz="0" w:space="0" w:color="auto"/>
        <w:left w:val="none" w:sz="0" w:space="0" w:color="auto"/>
        <w:bottom w:val="none" w:sz="0" w:space="0" w:color="auto"/>
        <w:right w:val="none" w:sz="0" w:space="0" w:color="auto"/>
      </w:divBdr>
    </w:div>
    <w:div w:id="1513226611">
      <w:bodyDiv w:val="1"/>
      <w:marLeft w:val="0"/>
      <w:marRight w:val="0"/>
      <w:marTop w:val="0"/>
      <w:marBottom w:val="0"/>
      <w:divBdr>
        <w:top w:val="none" w:sz="0" w:space="0" w:color="auto"/>
        <w:left w:val="none" w:sz="0" w:space="0" w:color="auto"/>
        <w:bottom w:val="none" w:sz="0" w:space="0" w:color="auto"/>
        <w:right w:val="none" w:sz="0" w:space="0" w:color="auto"/>
      </w:divBdr>
    </w:div>
    <w:div w:id="1514757973">
      <w:bodyDiv w:val="1"/>
      <w:marLeft w:val="0"/>
      <w:marRight w:val="0"/>
      <w:marTop w:val="0"/>
      <w:marBottom w:val="0"/>
      <w:divBdr>
        <w:top w:val="none" w:sz="0" w:space="0" w:color="auto"/>
        <w:left w:val="none" w:sz="0" w:space="0" w:color="auto"/>
        <w:bottom w:val="none" w:sz="0" w:space="0" w:color="auto"/>
        <w:right w:val="none" w:sz="0" w:space="0" w:color="auto"/>
      </w:divBdr>
    </w:div>
    <w:div w:id="1515925748">
      <w:bodyDiv w:val="1"/>
      <w:marLeft w:val="0"/>
      <w:marRight w:val="0"/>
      <w:marTop w:val="0"/>
      <w:marBottom w:val="0"/>
      <w:divBdr>
        <w:top w:val="none" w:sz="0" w:space="0" w:color="auto"/>
        <w:left w:val="none" w:sz="0" w:space="0" w:color="auto"/>
        <w:bottom w:val="none" w:sz="0" w:space="0" w:color="auto"/>
        <w:right w:val="none" w:sz="0" w:space="0" w:color="auto"/>
      </w:divBdr>
    </w:div>
    <w:div w:id="1516917462">
      <w:bodyDiv w:val="1"/>
      <w:marLeft w:val="0"/>
      <w:marRight w:val="0"/>
      <w:marTop w:val="0"/>
      <w:marBottom w:val="0"/>
      <w:divBdr>
        <w:top w:val="none" w:sz="0" w:space="0" w:color="auto"/>
        <w:left w:val="none" w:sz="0" w:space="0" w:color="auto"/>
        <w:bottom w:val="none" w:sz="0" w:space="0" w:color="auto"/>
        <w:right w:val="none" w:sz="0" w:space="0" w:color="auto"/>
      </w:divBdr>
    </w:div>
    <w:div w:id="1517308243">
      <w:bodyDiv w:val="1"/>
      <w:marLeft w:val="0"/>
      <w:marRight w:val="0"/>
      <w:marTop w:val="0"/>
      <w:marBottom w:val="0"/>
      <w:divBdr>
        <w:top w:val="none" w:sz="0" w:space="0" w:color="auto"/>
        <w:left w:val="none" w:sz="0" w:space="0" w:color="auto"/>
        <w:bottom w:val="none" w:sz="0" w:space="0" w:color="auto"/>
        <w:right w:val="none" w:sz="0" w:space="0" w:color="auto"/>
      </w:divBdr>
    </w:div>
    <w:div w:id="1518696966">
      <w:bodyDiv w:val="1"/>
      <w:marLeft w:val="0"/>
      <w:marRight w:val="0"/>
      <w:marTop w:val="0"/>
      <w:marBottom w:val="0"/>
      <w:divBdr>
        <w:top w:val="none" w:sz="0" w:space="0" w:color="auto"/>
        <w:left w:val="none" w:sz="0" w:space="0" w:color="auto"/>
        <w:bottom w:val="none" w:sz="0" w:space="0" w:color="auto"/>
        <w:right w:val="none" w:sz="0" w:space="0" w:color="auto"/>
      </w:divBdr>
    </w:div>
    <w:div w:id="1519270228">
      <w:bodyDiv w:val="1"/>
      <w:marLeft w:val="0"/>
      <w:marRight w:val="0"/>
      <w:marTop w:val="0"/>
      <w:marBottom w:val="0"/>
      <w:divBdr>
        <w:top w:val="none" w:sz="0" w:space="0" w:color="auto"/>
        <w:left w:val="none" w:sz="0" w:space="0" w:color="auto"/>
        <w:bottom w:val="none" w:sz="0" w:space="0" w:color="auto"/>
        <w:right w:val="none" w:sz="0" w:space="0" w:color="auto"/>
      </w:divBdr>
    </w:div>
    <w:div w:id="1519848066">
      <w:bodyDiv w:val="1"/>
      <w:marLeft w:val="0"/>
      <w:marRight w:val="0"/>
      <w:marTop w:val="0"/>
      <w:marBottom w:val="0"/>
      <w:divBdr>
        <w:top w:val="none" w:sz="0" w:space="0" w:color="auto"/>
        <w:left w:val="none" w:sz="0" w:space="0" w:color="auto"/>
        <w:bottom w:val="none" w:sz="0" w:space="0" w:color="auto"/>
        <w:right w:val="none" w:sz="0" w:space="0" w:color="auto"/>
      </w:divBdr>
    </w:div>
    <w:div w:id="1520659383">
      <w:bodyDiv w:val="1"/>
      <w:marLeft w:val="0"/>
      <w:marRight w:val="0"/>
      <w:marTop w:val="0"/>
      <w:marBottom w:val="0"/>
      <w:divBdr>
        <w:top w:val="none" w:sz="0" w:space="0" w:color="auto"/>
        <w:left w:val="none" w:sz="0" w:space="0" w:color="auto"/>
        <w:bottom w:val="none" w:sz="0" w:space="0" w:color="auto"/>
        <w:right w:val="none" w:sz="0" w:space="0" w:color="auto"/>
      </w:divBdr>
    </w:div>
    <w:div w:id="1520703730">
      <w:bodyDiv w:val="1"/>
      <w:marLeft w:val="0"/>
      <w:marRight w:val="0"/>
      <w:marTop w:val="0"/>
      <w:marBottom w:val="0"/>
      <w:divBdr>
        <w:top w:val="none" w:sz="0" w:space="0" w:color="auto"/>
        <w:left w:val="none" w:sz="0" w:space="0" w:color="auto"/>
        <w:bottom w:val="none" w:sz="0" w:space="0" w:color="auto"/>
        <w:right w:val="none" w:sz="0" w:space="0" w:color="auto"/>
      </w:divBdr>
    </w:div>
    <w:div w:id="1521580728">
      <w:bodyDiv w:val="1"/>
      <w:marLeft w:val="0"/>
      <w:marRight w:val="0"/>
      <w:marTop w:val="0"/>
      <w:marBottom w:val="0"/>
      <w:divBdr>
        <w:top w:val="none" w:sz="0" w:space="0" w:color="auto"/>
        <w:left w:val="none" w:sz="0" w:space="0" w:color="auto"/>
        <w:bottom w:val="none" w:sz="0" w:space="0" w:color="auto"/>
        <w:right w:val="none" w:sz="0" w:space="0" w:color="auto"/>
      </w:divBdr>
    </w:div>
    <w:div w:id="1521698001">
      <w:bodyDiv w:val="1"/>
      <w:marLeft w:val="0"/>
      <w:marRight w:val="0"/>
      <w:marTop w:val="0"/>
      <w:marBottom w:val="0"/>
      <w:divBdr>
        <w:top w:val="none" w:sz="0" w:space="0" w:color="auto"/>
        <w:left w:val="none" w:sz="0" w:space="0" w:color="auto"/>
        <w:bottom w:val="none" w:sz="0" w:space="0" w:color="auto"/>
        <w:right w:val="none" w:sz="0" w:space="0" w:color="auto"/>
      </w:divBdr>
    </w:div>
    <w:div w:id="1521895358">
      <w:bodyDiv w:val="1"/>
      <w:marLeft w:val="0"/>
      <w:marRight w:val="0"/>
      <w:marTop w:val="0"/>
      <w:marBottom w:val="0"/>
      <w:divBdr>
        <w:top w:val="none" w:sz="0" w:space="0" w:color="auto"/>
        <w:left w:val="none" w:sz="0" w:space="0" w:color="auto"/>
        <w:bottom w:val="none" w:sz="0" w:space="0" w:color="auto"/>
        <w:right w:val="none" w:sz="0" w:space="0" w:color="auto"/>
      </w:divBdr>
    </w:div>
    <w:div w:id="1521966611">
      <w:bodyDiv w:val="1"/>
      <w:marLeft w:val="0"/>
      <w:marRight w:val="0"/>
      <w:marTop w:val="0"/>
      <w:marBottom w:val="0"/>
      <w:divBdr>
        <w:top w:val="none" w:sz="0" w:space="0" w:color="auto"/>
        <w:left w:val="none" w:sz="0" w:space="0" w:color="auto"/>
        <w:bottom w:val="none" w:sz="0" w:space="0" w:color="auto"/>
        <w:right w:val="none" w:sz="0" w:space="0" w:color="auto"/>
      </w:divBdr>
    </w:div>
    <w:div w:id="1523401276">
      <w:bodyDiv w:val="1"/>
      <w:marLeft w:val="0"/>
      <w:marRight w:val="0"/>
      <w:marTop w:val="0"/>
      <w:marBottom w:val="0"/>
      <w:divBdr>
        <w:top w:val="none" w:sz="0" w:space="0" w:color="auto"/>
        <w:left w:val="none" w:sz="0" w:space="0" w:color="auto"/>
        <w:bottom w:val="none" w:sz="0" w:space="0" w:color="auto"/>
        <w:right w:val="none" w:sz="0" w:space="0" w:color="auto"/>
      </w:divBdr>
    </w:div>
    <w:div w:id="1523857688">
      <w:bodyDiv w:val="1"/>
      <w:marLeft w:val="0"/>
      <w:marRight w:val="0"/>
      <w:marTop w:val="0"/>
      <w:marBottom w:val="0"/>
      <w:divBdr>
        <w:top w:val="none" w:sz="0" w:space="0" w:color="auto"/>
        <w:left w:val="none" w:sz="0" w:space="0" w:color="auto"/>
        <w:bottom w:val="none" w:sz="0" w:space="0" w:color="auto"/>
        <w:right w:val="none" w:sz="0" w:space="0" w:color="auto"/>
      </w:divBdr>
    </w:div>
    <w:div w:id="1524322817">
      <w:bodyDiv w:val="1"/>
      <w:marLeft w:val="0"/>
      <w:marRight w:val="0"/>
      <w:marTop w:val="0"/>
      <w:marBottom w:val="0"/>
      <w:divBdr>
        <w:top w:val="none" w:sz="0" w:space="0" w:color="auto"/>
        <w:left w:val="none" w:sz="0" w:space="0" w:color="auto"/>
        <w:bottom w:val="none" w:sz="0" w:space="0" w:color="auto"/>
        <w:right w:val="none" w:sz="0" w:space="0" w:color="auto"/>
      </w:divBdr>
    </w:div>
    <w:div w:id="1524588941">
      <w:bodyDiv w:val="1"/>
      <w:marLeft w:val="0"/>
      <w:marRight w:val="0"/>
      <w:marTop w:val="0"/>
      <w:marBottom w:val="0"/>
      <w:divBdr>
        <w:top w:val="none" w:sz="0" w:space="0" w:color="auto"/>
        <w:left w:val="none" w:sz="0" w:space="0" w:color="auto"/>
        <w:bottom w:val="none" w:sz="0" w:space="0" w:color="auto"/>
        <w:right w:val="none" w:sz="0" w:space="0" w:color="auto"/>
      </w:divBdr>
    </w:div>
    <w:div w:id="1524636854">
      <w:bodyDiv w:val="1"/>
      <w:marLeft w:val="0"/>
      <w:marRight w:val="0"/>
      <w:marTop w:val="0"/>
      <w:marBottom w:val="0"/>
      <w:divBdr>
        <w:top w:val="none" w:sz="0" w:space="0" w:color="auto"/>
        <w:left w:val="none" w:sz="0" w:space="0" w:color="auto"/>
        <w:bottom w:val="none" w:sz="0" w:space="0" w:color="auto"/>
        <w:right w:val="none" w:sz="0" w:space="0" w:color="auto"/>
      </w:divBdr>
    </w:div>
    <w:div w:id="1525748644">
      <w:bodyDiv w:val="1"/>
      <w:marLeft w:val="0"/>
      <w:marRight w:val="0"/>
      <w:marTop w:val="0"/>
      <w:marBottom w:val="0"/>
      <w:divBdr>
        <w:top w:val="none" w:sz="0" w:space="0" w:color="auto"/>
        <w:left w:val="none" w:sz="0" w:space="0" w:color="auto"/>
        <w:bottom w:val="none" w:sz="0" w:space="0" w:color="auto"/>
        <w:right w:val="none" w:sz="0" w:space="0" w:color="auto"/>
      </w:divBdr>
    </w:div>
    <w:div w:id="1527479361">
      <w:bodyDiv w:val="1"/>
      <w:marLeft w:val="0"/>
      <w:marRight w:val="0"/>
      <w:marTop w:val="0"/>
      <w:marBottom w:val="0"/>
      <w:divBdr>
        <w:top w:val="none" w:sz="0" w:space="0" w:color="auto"/>
        <w:left w:val="none" w:sz="0" w:space="0" w:color="auto"/>
        <w:bottom w:val="none" w:sz="0" w:space="0" w:color="auto"/>
        <w:right w:val="none" w:sz="0" w:space="0" w:color="auto"/>
      </w:divBdr>
    </w:div>
    <w:div w:id="1527984065">
      <w:bodyDiv w:val="1"/>
      <w:marLeft w:val="0"/>
      <w:marRight w:val="0"/>
      <w:marTop w:val="0"/>
      <w:marBottom w:val="0"/>
      <w:divBdr>
        <w:top w:val="none" w:sz="0" w:space="0" w:color="auto"/>
        <w:left w:val="none" w:sz="0" w:space="0" w:color="auto"/>
        <w:bottom w:val="none" w:sz="0" w:space="0" w:color="auto"/>
        <w:right w:val="none" w:sz="0" w:space="0" w:color="auto"/>
      </w:divBdr>
    </w:div>
    <w:div w:id="1531649200">
      <w:bodyDiv w:val="1"/>
      <w:marLeft w:val="0"/>
      <w:marRight w:val="0"/>
      <w:marTop w:val="0"/>
      <w:marBottom w:val="0"/>
      <w:divBdr>
        <w:top w:val="none" w:sz="0" w:space="0" w:color="auto"/>
        <w:left w:val="none" w:sz="0" w:space="0" w:color="auto"/>
        <w:bottom w:val="none" w:sz="0" w:space="0" w:color="auto"/>
        <w:right w:val="none" w:sz="0" w:space="0" w:color="auto"/>
      </w:divBdr>
    </w:div>
    <w:div w:id="1531987218">
      <w:bodyDiv w:val="1"/>
      <w:marLeft w:val="0"/>
      <w:marRight w:val="0"/>
      <w:marTop w:val="0"/>
      <w:marBottom w:val="0"/>
      <w:divBdr>
        <w:top w:val="none" w:sz="0" w:space="0" w:color="auto"/>
        <w:left w:val="none" w:sz="0" w:space="0" w:color="auto"/>
        <w:bottom w:val="none" w:sz="0" w:space="0" w:color="auto"/>
        <w:right w:val="none" w:sz="0" w:space="0" w:color="auto"/>
      </w:divBdr>
    </w:div>
    <w:div w:id="1532495960">
      <w:bodyDiv w:val="1"/>
      <w:marLeft w:val="0"/>
      <w:marRight w:val="0"/>
      <w:marTop w:val="0"/>
      <w:marBottom w:val="0"/>
      <w:divBdr>
        <w:top w:val="none" w:sz="0" w:space="0" w:color="auto"/>
        <w:left w:val="none" w:sz="0" w:space="0" w:color="auto"/>
        <w:bottom w:val="none" w:sz="0" w:space="0" w:color="auto"/>
        <w:right w:val="none" w:sz="0" w:space="0" w:color="auto"/>
      </w:divBdr>
    </w:div>
    <w:div w:id="1533223574">
      <w:bodyDiv w:val="1"/>
      <w:marLeft w:val="0"/>
      <w:marRight w:val="0"/>
      <w:marTop w:val="0"/>
      <w:marBottom w:val="0"/>
      <w:divBdr>
        <w:top w:val="none" w:sz="0" w:space="0" w:color="auto"/>
        <w:left w:val="none" w:sz="0" w:space="0" w:color="auto"/>
        <w:bottom w:val="none" w:sz="0" w:space="0" w:color="auto"/>
        <w:right w:val="none" w:sz="0" w:space="0" w:color="auto"/>
      </w:divBdr>
    </w:div>
    <w:div w:id="1533224543">
      <w:bodyDiv w:val="1"/>
      <w:marLeft w:val="0"/>
      <w:marRight w:val="0"/>
      <w:marTop w:val="0"/>
      <w:marBottom w:val="0"/>
      <w:divBdr>
        <w:top w:val="none" w:sz="0" w:space="0" w:color="auto"/>
        <w:left w:val="none" w:sz="0" w:space="0" w:color="auto"/>
        <w:bottom w:val="none" w:sz="0" w:space="0" w:color="auto"/>
        <w:right w:val="none" w:sz="0" w:space="0" w:color="auto"/>
      </w:divBdr>
    </w:div>
    <w:div w:id="1533616399">
      <w:bodyDiv w:val="1"/>
      <w:marLeft w:val="0"/>
      <w:marRight w:val="0"/>
      <w:marTop w:val="0"/>
      <w:marBottom w:val="0"/>
      <w:divBdr>
        <w:top w:val="none" w:sz="0" w:space="0" w:color="auto"/>
        <w:left w:val="none" w:sz="0" w:space="0" w:color="auto"/>
        <w:bottom w:val="none" w:sz="0" w:space="0" w:color="auto"/>
        <w:right w:val="none" w:sz="0" w:space="0" w:color="auto"/>
      </w:divBdr>
    </w:div>
    <w:div w:id="1533883250">
      <w:bodyDiv w:val="1"/>
      <w:marLeft w:val="0"/>
      <w:marRight w:val="0"/>
      <w:marTop w:val="0"/>
      <w:marBottom w:val="0"/>
      <w:divBdr>
        <w:top w:val="none" w:sz="0" w:space="0" w:color="auto"/>
        <w:left w:val="none" w:sz="0" w:space="0" w:color="auto"/>
        <w:bottom w:val="none" w:sz="0" w:space="0" w:color="auto"/>
        <w:right w:val="none" w:sz="0" w:space="0" w:color="auto"/>
      </w:divBdr>
    </w:div>
    <w:div w:id="1533884186">
      <w:bodyDiv w:val="1"/>
      <w:marLeft w:val="0"/>
      <w:marRight w:val="0"/>
      <w:marTop w:val="0"/>
      <w:marBottom w:val="0"/>
      <w:divBdr>
        <w:top w:val="none" w:sz="0" w:space="0" w:color="auto"/>
        <w:left w:val="none" w:sz="0" w:space="0" w:color="auto"/>
        <w:bottom w:val="none" w:sz="0" w:space="0" w:color="auto"/>
        <w:right w:val="none" w:sz="0" w:space="0" w:color="auto"/>
      </w:divBdr>
    </w:div>
    <w:div w:id="1536120635">
      <w:bodyDiv w:val="1"/>
      <w:marLeft w:val="0"/>
      <w:marRight w:val="0"/>
      <w:marTop w:val="0"/>
      <w:marBottom w:val="0"/>
      <w:divBdr>
        <w:top w:val="none" w:sz="0" w:space="0" w:color="auto"/>
        <w:left w:val="none" w:sz="0" w:space="0" w:color="auto"/>
        <w:bottom w:val="none" w:sz="0" w:space="0" w:color="auto"/>
        <w:right w:val="none" w:sz="0" w:space="0" w:color="auto"/>
      </w:divBdr>
    </w:div>
    <w:div w:id="1537505393">
      <w:bodyDiv w:val="1"/>
      <w:marLeft w:val="0"/>
      <w:marRight w:val="0"/>
      <w:marTop w:val="0"/>
      <w:marBottom w:val="0"/>
      <w:divBdr>
        <w:top w:val="none" w:sz="0" w:space="0" w:color="auto"/>
        <w:left w:val="none" w:sz="0" w:space="0" w:color="auto"/>
        <w:bottom w:val="none" w:sz="0" w:space="0" w:color="auto"/>
        <w:right w:val="none" w:sz="0" w:space="0" w:color="auto"/>
      </w:divBdr>
    </w:div>
    <w:div w:id="1538349335">
      <w:bodyDiv w:val="1"/>
      <w:marLeft w:val="0"/>
      <w:marRight w:val="0"/>
      <w:marTop w:val="0"/>
      <w:marBottom w:val="0"/>
      <w:divBdr>
        <w:top w:val="none" w:sz="0" w:space="0" w:color="auto"/>
        <w:left w:val="none" w:sz="0" w:space="0" w:color="auto"/>
        <w:bottom w:val="none" w:sz="0" w:space="0" w:color="auto"/>
        <w:right w:val="none" w:sz="0" w:space="0" w:color="auto"/>
      </w:divBdr>
    </w:div>
    <w:div w:id="1540973884">
      <w:bodyDiv w:val="1"/>
      <w:marLeft w:val="0"/>
      <w:marRight w:val="0"/>
      <w:marTop w:val="0"/>
      <w:marBottom w:val="0"/>
      <w:divBdr>
        <w:top w:val="none" w:sz="0" w:space="0" w:color="auto"/>
        <w:left w:val="none" w:sz="0" w:space="0" w:color="auto"/>
        <w:bottom w:val="none" w:sz="0" w:space="0" w:color="auto"/>
        <w:right w:val="none" w:sz="0" w:space="0" w:color="auto"/>
      </w:divBdr>
    </w:div>
    <w:div w:id="1541089179">
      <w:bodyDiv w:val="1"/>
      <w:marLeft w:val="0"/>
      <w:marRight w:val="0"/>
      <w:marTop w:val="0"/>
      <w:marBottom w:val="0"/>
      <w:divBdr>
        <w:top w:val="none" w:sz="0" w:space="0" w:color="auto"/>
        <w:left w:val="none" w:sz="0" w:space="0" w:color="auto"/>
        <w:bottom w:val="none" w:sz="0" w:space="0" w:color="auto"/>
        <w:right w:val="none" w:sz="0" w:space="0" w:color="auto"/>
      </w:divBdr>
    </w:div>
    <w:div w:id="1541282843">
      <w:bodyDiv w:val="1"/>
      <w:marLeft w:val="0"/>
      <w:marRight w:val="0"/>
      <w:marTop w:val="0"/>
      <w:marBottom w:val="0"/>
      <w:divBdr>
        <w:top w:val="none" w:sz="0" w:space="0" w:color="auto"/>
        <w:left w:val="none" w:sz="0" w:space="0" w:color="auto"/>
        <w:bottom w:val="none" w:sz="0" w:space="0" w:color="auto"/>
        <w:right w:val="none" w:sz="0" w:space="0" w:color="auto"/>
      </w:divBdr>
    </w:div>
    <w:div w:id="1541935041">
      <w:bodyDiv w:val="1"/>
      <w:marLeft w:val="0"/>
      <w:marRight w:val="0"/>
      <w:marTop w:val="0"/>
      <w:marBottom w:val="0"/>
      <w:divBdr>
        <w:top w:val="none" w:sz="0" w:space="0" w:color="auto"/>
        <w:left w:val="none" w:sz="0" w:space="0" w:color="auto"/>
        <w:bottom w:val="none" w:sz="0" w:space="0" w:color="auto"/>
        <w:right w:val="none" w:sz="0" w:space="0" w:color="auto"/>
      </w:divBdr>
    </w:div>
    <w:div w:id="1541941685">
      <w:bodyDiv w:val="1"/>
      <w:marLeft w:val="0"/>
      <w:marRight w:val="0"/>
      <w:marTop w:val="0"/>
      <w:marBottom w:val="0"/>
      <w:divBdr>
        <w:top w:val="none" w:sz="0" w:space="0" w:color="auto"/>
        <w:left w:val="none" w:sz="0" w:space="0" w:color="auto"/>
        <w:bottom w:val="none" w:sz="0" w:space="0" w:color="auto"/>
        <w:right w:val="none" w:sz="0" w:space="0" w:color="auto"/>
      </w:divBdr>
    </w:div>
    <w:div w:id="1544095459">
      <w:bodyDiv w:val="1"/>
      <w:marLeft w:val="0"/>
      <w:marRight w:val="0"/>
      <w:marTop w:val="0"/>
      <w:marBottom w:val="0"/>
      <w:divBdr>
        <w:top w:val="none" w:sz="0" w:space="0" w:color="auto"/>
        <w:left w:val="none" w:sz="0" w:space="0" w:color="auto"/>
        <w:bottom w:val="none" w:sz="0" w:space="0" w:color="auto"/>
        <w:right w:val="none" w:sz="0" w:space="0" w:color="auto"/>
      </w:divBdr>
    </w:div>
    <w:div w:id="1544171997">
      <w:bodyDiv w:val="1"/>
      <w:marLeft w:val="0"/>
      <w:marRight w:val="0"/>
      <w:marTop w:val="0"/>
      <w:marBottom w:val="0"/>
      <w:divBdr>
        <w:top w:val="none" w:sz="0" w:space="0" w:color="auto"/>
        <w:left w:val="none" w:sz="0" w:space="0" w:color="auto"/>
        <w:bottom w:val="none" w:sz="0" w:space="0" w:color="auto"/>
        <w:right w:val="none" w:sz="0" w:space="0" w:color="auto"/>
      </w:divBdr>
    </w:div>
    <w:div w:id="1544437345">
      <w:bodyDiv w:val="1"/>
      <w:marLeft w:val="0"/>
      <w:marRight w:val="0"/>
      <w:marTop w:val="0"/>
      <w:marBottom w:val="0"/>
      <w:divBdr>
        <w:top w:val="none" w:sz="0" w:space="0" w:color="auto"/>
        <w:left w:val="none" w:sz="0" w:space="0" w:color="auto"/>
        <w:bottom w:val="none" w:sz="0" w:space="0" w:color="auto"/>
        <w:right w:val="none" w:sz="0" w:space="0" w:color="auto"/>
      </w:divBdr>
    </w:div>
    <w:div w:id="1544947786">
      <w:bodyDiv w:val="1"/>
      <w:marLeft w:val="0"/>
      <w:marRight w:val="0"/>
      <w:marTop w:val="0"/>
      <w:marBottom w:val="0"/>
      <w:divBdr>
        <w:top w:val="none" w:sz="0" w:space="0" w:color="auto"/>
        <w:left w:val="none" w:sz="0" w:space="0" w:color="auto"/>
        <w:bottom w:val="none" w:sz="0" w:space="0" w:color="auto"/>
        <w:right w:val="none" w:sz="0" w:space="0" w:color="auto"/>
      </w:divBdr>
    </w:div>
    <w:div w:id="1545018374">
      <w:bodyDiv w:val="1"/>
      <w:marLeft w:val="0"/>
      <w:marRight w:val="0"/>
      <w:marTop w:val="0"/>
      <w:marBottom w:val="0"/>
      <w:divBdr>
        <w:top w:val="none" w:sz="0" w:space="0" w:color="auto"/>
        <w:left w:val="none" w:sz="0" w:space="0" w:color="auto"/>
        <w:bottom w:val="none" w:sz="0" w:space="0" w:color="auto"/>
        <w:right w:val="none" w:sz="0" w:space="0" w:color="auto"/>
      </w:divBdr>
    </w:div>
    <w:div w:id="1546453078">
      <w:bodyDiv w:val="1"/>
      <w:marLeft w:val="0"/>
      <w:marRight w:val="0"/>
      <w:marTop w:val="0"/>
      <w:marBottom w:val="0"/>
      <w:divBdr>
        <w:top w:val="none" w:sz="0" w:space="0" w:color="auto"/>
        <w:left w:val="none" w:sz="0" w:space="0" w:color="auto"/>
        <w:bottom w:val="none" w:sz="0" w:space="0" w:color="auto"/>
        <w:right w:val="none" w:sz="0" w:space="0" w:color="auto"/>
      </w:divBdr>
    </w:div>
    <w:div w:id="1546715684">
      <w:bodyDiv w:val="1"/>
      <w:marLeft w:val="0"/>
      <w:marRight w:val="0"/>
      <w:marTop w:val="0"/>
      <w:marBottom w:val="0"/>
      <w:divBdr>
        <w:top w:val="none" w:sz="0" w:space="0" w:color="auto"/>
        <w:left w:val="none" w:sz="0" w:space="0" w:color="auto"/>
        <w:bottom w:val="none" w:sz="0" w:space="0" w:color="auto"/>
        <w:right w:val="none" w:sz="0" w:space="0" w:color="auto"/>
      </w:divBdr>
    </w:div>
    <w:div w:id="1547908032">
      <w:bodyDiv w:val="1"/>
      <w:marLeft w:val="0"/>
      <w:marRight w:val="0"/>
      <w:marTop w:val="0"/>
      <w:marBottom w:val="0"/>
      <w:divBdr>
        <w:top w:val="none" w:sz="0" w:space="0" w:color="auto"/>
        <w:left w:val="none" w:sz="0" w:space="0" w:color="auto"/>
        <w:bottom w:val="none" w:sz="0" w:space="0" w:color="auto"/>
        <w:right w:val="none" w:sz="0" w:space="0" w:color="auto"/>
      </w:divBdr>
    </w:div>
    <w:div w:id="1547910400">
      <w:bodyDiv w:val="1"/>
      <w:marLeft w:val="0"/>
      <w:marRight w:val="0"/>
      <w:marTop w:val="0"/>
      <w:marBottom w:val="0"/>
      <w:divBdr>
        <w:top w:val="none" w:sz="0" w:space="0" w:color="auto"/>
        <w:left w:val="none" w:sz="0" w:space="0" w:color="auto"/>
        <w:bottom w:val="none" w:sz="0" w:space="0" w:color="auto"/>
        <w:right w:val="none" w:sz="0" w:space="0" w:color="auto"/>
      </w:divBdr>
    </w:div>
    <w:div w:id="1549147094">
      <w:bodyDiv w:val="1"/>
      <w:marLeft w:val="0"/>
      <w:marRight w:val="0"/>
      <w:marTop w:val="0"/>
      <w:marBottom w:val="0"/>
      <w:divBdr>
        <w:top w:val="none" w:sz="0" w:space="0" w:color="auto"/>
        <w:left w:val="none" w:sz="0" w:space="0" w:color="auto"/>
        <w:bottom w:val="none" w:sz="0" w:space="0" w:color="auto"/>
        <w:right w:val="none" w:sz="0" w:space="0" w:color="auto"/>
      </w:divBdr>
    </w:div>
    <w:div w:id="1551452375">
      <w:bodyDiv w:val="1"/>
      <w:marLeft w:val="0"/>
      <w:marRight w:val="0"/>
      <w:marTop w:val="0"/>
      <w:marBottom w:val="0"/>
      <w:divBdr>
        <w:top w:val="none" w:sz="0" w:space="0" w:color="auto"/>
        <w:left w:val="none" w:sz="0" w:space="0" w:color="auto"/>
        <w:bottom w:val="none" w:sz="0" w:space="0" w:color="auto"/>
        <w:right w:val="none" w:sz="0" w:space="0" w:color="auto"/>
      </w:divBdr>
    </w:div>
    <w:div w:id="1552309452">
      <w:bodyDiv w:val="1"/>
      <w:marLeft w:val="0"/>
      <w:marRight w:val="0"/>
      <w:marTop w:val="0"/>
      <w:marBottom w:val="0"/>
      <w:divBdr>
        <w:top w:val="none" w:sz="0" w:space="0" w:color="auto"/>
        <w:left w:val="none" w:sz="0" w:space="0" w:color="auto"/>
        <w:bottom w:val="none" w:sz="0" w:space="0" w:color="auto"/>
        <w:right w:val="none" w:sz="0" w:space="0" w:color="auto"/>
      </w:divBdr>
    </w:div>
    <w:div w:id="1554384753">
      <w:bodyDiv w:val="1"/>
      <w:marLeft w:val="0"/>
      <w:marRight w:val="0"/>
      <w:marTop w:val="0"/>
      <w:marBottom w:val="0"/>
      <w:divBdr>
        <w:top w:val="none" w:sz="0" w:space="0" w:color="auto"/>
        <w:left w:val="none" w:sz="0" w:space="0" w:color="auto"/>
        <w:bottom w:val="none" w:sz="0" w:space="0" w:color="auto"/>
        <w:right w:val="none" w:sz="0" w:space="0" w:color="auto"/>
      </w:divBdr>
    </w:div>
    <w:div w:id="1554928277">
      <w:bodyDiv w:val="1"/>
      <w:marLeft w:val="0"/>
      <w:marRight w:val="0"/>
      <w:marTop w:val="0"/>
      <w:marBottom w:val="0"/>
      <w:divBdr>
        <w:top w:val="none" w:sz="0" w:space="0" w:color="auto"/>
        <w:left w:val="none" w:sz="0" w:space="0" w:color="auto"/>
        <w:bottom w:val="none" w:sz="0" w:space="0" w:color="auto"/>
        <w:right w:val="none" w:sz="0" w:space="0" w:color="auto"/>
      </w:divBdr>
    </w:div>
    <w:div w:id="1558008383">
      <w:bodyDiv w:val="1"/>
      <w:marLeft w:val="0"/>
      <w:marRight w:val="0"/>
      <w:marTop w:val="0"/>
      <w:marBottom w:val="0"/>
      <w:divBdr>
        <w:top w:val="none" w:sz="0" w:space="0" w:color="auto"/>
        <w:left w:val="none" w:sz="0" w:space="0" w:color="auto"/>
        <w:bottom w:val="none" w:sz="0" w:space="0" w:color="auto"/>
        <w:right w:val="none" w:sz="0" w:space="0" w:color="auto"/>
      </w:divBdr>
    </w:div>
    <w:div w:id="1558079924">
      <w:bodyDiv w:val="1"/>
      <w:marLeft w:val="0"/>
      <w:marRight w:val="0"/>
      <w:marTop w:val="0"/>
      <w:marBottom w:val="0"/>
      <w:divBdr>
        <w:top w:val="none" w:sz="0" w:space="0" w:color="auto"/>
        <w:left w:val="none" w:sz="0" w:space="0" w:color="auto"/>
        <w:bottom w:val="none" w:sz="0" w:space="0" w:color="auto"/>
        <w:right w:val="none" w:sz="0" w:space="0" w:color="auto"/>
      </w:divBdr>
    </w:div>
    <w:div w:id="1558587282">
      <w:bodyDiv w:val="1"/>
      <w:marLeft w:val="0"/>
      <w:marRight w:val="0"/>
      <w:marTop w:val="0"/>
      <w:marBottom w:val="0"/>
      <w:divBdr>
        <w:top w:val="none" w:sz="0" w:space="0" w:color="auto"/>
        <w:left w:val="none" w:sz="0" w:space="0" w:color="auto"/>
        <w:bottom w:val="none" w:sz="0" w:space="0" w:color="auto"/>
        <w:right w:val="none" w:sz="0" w:space="0" w:color="auto"/>
      </w:divBdr>
    </w:div>
    <w:div w:id="1558861051">
      <w:bodyDiv w:val="1"/>
      <w:marLeft w:val="0"/>
      <w:marRight w:val="0"/>
      <w:marTop w:val="0"/>
      <w:marBottom w:val="0"/>
      <w:divBdr>
        <w:top w:val="none" w:sz="0" w:space="0" w:color="auto"/>
        <w:left w:val="none" w:sz="0" w:space="0" w:color="auto"/>
        <w:bottom w:val="none" w:sz="0" w:space="0" w:color="auto"/>
        <w:right w:val="none" w:sz="0" w:space="0" w:color="auto"/>
      </w:divBdr>
    </w:div>
    <w:div w:id="1559783172">
      <w:bodyDiv w:val="1"/>
      <w:marLeft w:val="0"/>
      <w:marRight w:val="0"/>
      <w:marTop w:val="0"/>
      <w:marBottom w:val="0"/>
      <w:divBdr>
        <w:top w:val="none" w:sz="0" w:space="0" w:color="auto"/>
        <w:left w:val="none" w:sz="0" w:space="0" w:color="auto"/>
        <w:bottom w:val="none" w:sz="0" w:space="0" w:color="auto"/>
        <w:right w:val="none" w:sz="0" w:space="0" w:color="auto"/>
      </w:divBdr>
    </w:div>
    <w:div w:id="1559783326">
      <w:bodyDiv w:val="1"/>
      <w:marLeft w:val="0"/>
      <w:marRight w:val="0"/>
      <w:marTop w:val="0"/>
      <w:marBottom w:val="0"/>
      <w:divBdr>
        <w:top w:val="none" w:sz="0" w:space="0" w:color="auto"/>
        <w:left w:val="none" w:sz="0" w:space="0" w:color="auto"/>
        <w:bottom w:val="none" w:sz="0" w:space="0" w:color="auto"/>
        <w:right w:val="none" w:sz="0" w:space="0" w:color="auto"/>
      </w:divBdr>
    </w:div>
    <w:div w:id="1559903432">
      <w:bodyDiv w:val="1"/>
      <w:marLeft w:val="0"/>
      <w:marRight w:val="0"/>
      <w:marTop w:val="0"/>
      <w:marBottom w:val="0"/>
      <w:divBdr>
        <w:top w:val="none" w:sz="0" w:space="0" w:color="auto"/>
        <w:left w:val="none" w:sz="0" w:space="0" w:color="auto"/>
        <w:bottom w:val="none" w:sz="0" w:space="0" w:color="auto"/>
        <w:right w:val="none" w:sz="0" w:space="0" w:color="auto"/>
      </w:divBdr>
    </w:div>
    <w:div w:id="1560356596">
      <w:bodyDiv w:val="1"/>
      <w:marLeft w:val="0"/>
      <w:marRight w:val="0"/>
      <w:marTop w:val="0"/>
      <w:marBottom w:val="0"/>
      <w:divBdr>
        <w:top w:val="none" w:sz="0" w:space="0" w:color="auto"/>
        <w:left w:val="none" w:sz="0" w:space="0" w:color="auto"/>
        <w:bottom w:val="none" w:sz="0" w:space="0" w:color="auto"/>
        <w:right w:val="none" w:sz="0" w:space="0" w:color="auto"/>
      </w:divBdr>
    </w:div>
    <w:div w:id="1561941892">
      <w:bodyDiv w:val="1"/>
      <w:marLeft w:val="0"/>
      <w:marRight w:val="0"/>
      <w:marTop w:val="0"/>
      <w:marBottom w:val="0"/>
      <w:divBdr>
        <w:top w:val="none" w:sz="0" w:space="0" w:color="auto"/>
        <w:left w:val="none" w:sz="0" w:space="0" w:color="auto"/>
        <w:bottom w:val="none" w:sz="0" w:space="0" w:color="auto"/>
        <w:right w:val="none" w:sz="0" w:space="0" w:color="auto"/>
      </w:divBdr>
    </w:div>
    <w:div w:id="1561942306">
      <w:bodyDiv w:val="1"/>
      <w:marLeft w:val="0"/>
      <w:marRight w:val="0"/>
      <w:marTop w:val="0"/>
      <w:marBottom w:val="0"/>
      <w:divBdr>
        <w:top w:val="none" w:sz="0" w:space="0" w:color="auto"/>
        <w:left w:val="none" w:sz="0" w:space="0" w:color="auto"/>
        <w:bottom w:val="none" w:sz="0" w:space="0" w:color="auto"/>
        <w:right w:val="none" w:sz="0" w:space="0" w:color="auto"/>
      </w:divBdr>
    </w:div>
    <w:div w:id="1562786812">
      <w:bodyDiv w:val="1"/>
      <w:marLeft w:val="0"/>
      <w:marRight w:val="0"/>
      <w:marTop w:val="0"/>
      <w:marBottom w:val="0"/>
      <w:divBdr>
        <w:top w:val="none" w:sz="0" w:space="0" w:color="auto"/>
        <w:left w:val="none" w:sz="0" w:space="0" w:color="auto"/>
        <w:bottom w:val="none" w:sz="0" w:space="0" w:color="auto"/>
        <w:right w:val="none" w:sz="0" w:space="0" w:color="auto"/>
      </w:divBdr>
    </w:div>
    <w:div w:id="1563829024">
      <w:bodyDiv w:val="1"/>
      <w:marLeft w:val="0"/>
      <w:marRight w:val="0"/>
      <w:marTop w:val="0"/>
      <w:marBottom w:val="0"/>
      <w:divBdr>
        <w:top w:val="none" w:sz="0" w:space="0" w:color="auto"/>
        <w:left w:val="none" w:sz="0" w:space="0" w:color="auto"/>
        <w:bottom w:val="none" w:sz="0" w:space="0" w:color="auto"/>
        <w:right w:val="none" w:sz="0" w:space="0" w:color="auto"/>
      </w:divBdr>
    </w:div>
    <w:div w:id="1566447898">
      <w:bodyDiv w:val="1"/>
      <w:marLeft w:val="0"/>
      <w:marRight w:val="0"/>
      <w:marTop w:val="0"/>
      <w:marBottom w:val="0"/>
      <w:divBdr>
        <w:top w:val="none" w:sz="0" w:space="0" w:color="auto"/>
        <w:left w:val="none" w:sz="0" w:space="0" w:color="auto"/>
        <w:bottom w:val="none" w:sz="0" w:space="0" w:color="auto"/>
        <w:right w:val="none" w:sz="0" w:space="0" w:color="auto"/>
      </w:divBdr>
    </w:div>
    <w:div w:id="1571111935">
      <w:bodyDiv w:val="1"/>
      <w:marLeft w:val="0"/>
      <w:marRight w:val="0"/>
      <w:marTop w:val="0"/>
      <w:marBottom w:val="0"/>
      <w:divBdr>
        <w:top w:val="none" w:sz="0" w:space="0" w:color="auto"/>
        <w:left w:val="none" w:sz="0" w:space="0" w:color="auto"/>
        <w:bottom w:val="none" w:sz="0" w:space="0" w:color="auto"/>
        <w:right w:val="none" w:sz="0" w:space="0" w:color="auto"/>
      </w:divBdr>
    </w:div>
    <w:div w:id="1572082921">
      <w:bodyDiv w:val="1"/>
      <w:marLeft w:val="0"/>
      <w:marRight w:val="0"/>
      <w:marTop w:val="0"/>
      <w:marBottom w:val="0"/>
      <w:divBdr>
        <w:top w:val="none" w:sz="0" w:space="0" w:color="auto"/>
        <w:left w:val="none" w:sz="0" w:space="0" w:color="auto"/>
        <w:bottom w:val="none" w:sz="0" w:space="0" w:color="auto"/>
        <w:right w:val="none" w:sz="0" w:space="0" w:color="auto"/>
      </w:divBdr>
    </w:div>
    <w:div w:id="1573539282">
      <w:bodyDiv w:val="1"/>
      <w:marLeft w:val="0"/>
      <w:marRight w:val="0"/>
      <w:marTop w:val="0"/>
      <w:marBottom w:val="0"/>
      <w:divBdr>
        <w:top w:val="none" w:sz="0" w:space="0" w:color="auto"/>
        <w:left w:val="none" w:sz="0" w:space="0" w:color="auto"/>
        <w:bottom w:val="none" w:sz="0" w:space="0" w:color="auto"/>
        <w:right w:val="none" w:sz="0" w:space="0" w:color="auto"/>
      </w:divBdr>
    </w:div>
    <w:div w:id="1574123727">
      <w:bodyDiv w:val="1"/>
      <w:marLeft w:val="0"/>
      <w:marRight w:val="0"/>
      <w:marTop w:val="0"/>
      <w:marBottom w:val="0"/>
      <w:divBdr>
        <w:top w:val="none" w:sz="0" w:space="0" w:color="auto"/>
        <w:left w:val="none" w:sz="0" w:space="0" w:color="auto"/>
        <w:bottom w:val="none" w:sz="0" w:space="0" w:color="auto"/>
        <w:right w:val="none" w:sz="0" w:space="0" w:color="auto"/>
      </w:divBdr>
    </w:div>
    <w:div w:id="1576360616">
      <w:bodyDiv w:val="1"/>
      <w:marLeft w:val="0"/>
      <w:marRight w:val="0"/>
      <w:marTop w:val="0"/>
      <w:marBottom w:val="0"/>
      <w:divBdr>
        <w:top w:val="none" w:sz="0" w:space="0" w:color="auto"/>
        <w:left w:val="none" w:sz="0" w:space="0" w:color="auto"/>
        <w:bottom w:val="none" w:sz="0" w:space="0" w:color="auto"/>
        <w:right w:val="none" w:sz="0" w:space="0" w:color="auto"/>
      </w:divBdr>
    </w:div>
    <w:div w:id="1576622118">
      <w:bodyDiv w:val="1"/>
      <w:marLeft w:val="0"/>
      <w:marRight w:val="0"/>
      <w:marTop w:val="0"/>
      <w:marBottom w:val="0"/>
      <w:divBdr>
        <w:top w:val="none" w:sz="0" w:space="0" w:color="auto"/>
        <w:left w:val="none" w:sz="0" w:space="0" w:color="auto"/>
        <w:bottom w:val="none" w:sz="0" w:space="0" w:color="auto"/>
        <w:right w:val="none" w:sz="0" w:space="0" w:color="auto"/>
      </w:divBdr>
    </w:div>
    <w:div w:id="1576821903">
      <w:bodyDiv w:val="1"/>
      <w:marLeft w:val="0"/>
      <w:marRight w:val="0"/>
      <w:marTop w:val="0"/>
      <w:marBottom w:val="0"/>
      <w:divBdr>
        <w:top w:val="none" w:sz="0" w:space="0" w:color="auto"/>
        <w:left w:val="none" w:sz="0" w:space="0" w:color="auto"/>
        <w:bottom w:val="none" w:sz="0" w:space="0" w:color="auto"/>
        <w:right w:val="none" w:sz="0" w:space="0" w:color="auto"/>
      </w:divBdr>
    </w:div>
    <w:div w:id="1579050412">
      <w:bodyDiv w:val="1"/>
      <w:marLeft w:val="0"/>
      <w:marRight w:val="0"/>
      <w:marTop w:val="0"/>
      <w:marBottom w:val="0"/>
      <w:divBdr>
        <w:top w:val="none" w:sz="0" w:space="0" w:color="auto"/>
        <w:left w:val="none" w:sz="0" w:space="0" w:color="auto"/>
        <w:bottom w:val="none" w:sz="0" w:space="0" w:color="auto"/>
        <w:right w:val="none" w:sz="0" w:space="0" w:color="auto"/>
      </w:divBdr>
    </w:div>
    <w:div w:id="1579094575">
      <w:bodyDiv w:val="1"/>
      <w:marLeft w:val="0"/>
      <w:marRight w:val="0"/>
      <w:marTop w:val="0"/>
      <w:marBottom w:val="0"/>
      <w:divBdr>
        <w:top w:val="none" w:sz="0" w:space="0" w:color="auto"/>
        <w:left w:val="none" w:sz="0" w:space="0" w:color="auto"/>
        <w:bottom w:val="none" w:sz="0" w:space="0" w:color="auto"/>
        <w:right w:val="none" w:sz="0" w:space="0" w:color="auto"/>
      </w:divBdr>
    </w:div>
    <w:div w:id="1580865145">
      <w:bodyDiv w:val="1"/>
      <w:marLeft w:val="0"/>
      <w:marRight w:val="0"/>
      <w:marTop w:val="0"/>
      <w:marBottom w:val="0"/>
      <w:divBdr>
        <w:top w:val="none" w:sz="0" w:space="0" w:color="auto"/>
        <w:left w:val="none" w:sz="0" w:space="0" w:color="auto"/>
        <w:bottom w:val="none" w:sz="0" w:space="0" w:color="auto"/>
        <w:right w:val="none" w:sz="0" w:space="0" w:color="auto"/>
      </w:divBdr>
    </w:div>
    <w:div w:id="1582988745">
      <w:bodyDiv w:val="1"/>
      <w:marLeft w:val="0"/>
      <w:marRight w:val="0"/>
      <w:marTop w:val="0"/>
      <w:marBottom w:val="0"/>
      <w:divBdr>
        <w:top w:val="none" w:sz="0" w:space="0" w:color="auto"/>
        <w:left w:val="none" w:sz="0" w:space="0" w:color="auto"/>
        <w:bottom w:val="none" w:sz="0" w:space="0" w:color="auto"/>
        <w:right w:val="none" w:sz="0" w:space="0" w:color="auto"/>
      </w:divBdr>
    </w:div>
    <w:div w:id="1584411042">
      <w:bodyDiv w:val="1"/>
      <w:marLeft w:val="0"/>
      <w:marRight w:val="0"/>
      <w:marTop w:val="0"/>
      <w:marBottom w:val="0"/>
      <w:divBdr>
        <w:top w:val="none" w:sz="0" w:space="0" w:color="auto"/>
        <w:left w:val="none" w:sz="0" w:space="0" w:color="auto"/>
        <w:bottom w:val="none" w:sz="0" w:space="0" w:color="auto"/>
        <w:right w:val="none" w:sz="0" w:space="0" w:color="auto"/>
      </w:divBdr>
    </w:div>
    <w:div w:id="1585644183">
      <w:bodyDiv w:val="1"/>
      <w:marLeft w:val="0"/>
      <w:marRight w:val="0"/>
      <w:marTop w:val="0"/>
      <w:marBottom w:val="0"/>
      <w:divBdr>
        <w:top w:val="none" w:sz="0" w:space="0" w:color="auto"/>
        <w:left w:val="none" w:sz="0" w:space="0" w:color="auto"/>
        <w:bottom w:val="none" w:sz="0" w:space="0" w:color="auto"/>
        <w:right w:val="none" w:sz="0" w:space="0" w:color="auto"/>
      </w:divBdr>
    </w:div>
    <w:div w:id="1586303131">
      <w:bodyDiv w:val="1"/>
      <w:marLeft w:val="0"/>
      <w:marRight w:val="0"/>
      <w:marTop w:val="0"/>
      <w:marBottom w:val="0"/>
      <w:divBdr>
        <w:top w:val="none" w:sz="0" w:space="0" w:color="auto"/>
        <w:left w:val="none" w:sz="0" w:space="0" w:color="auto"/>
        <w:bottom w:val="none" w:sz="0" w:space="0" w:color="auto"/>
        <w:right w:val="none" w:sz="0" w:space="0" w:color="auto"/>
      </w:divBdr>
    </w:div>
    <w:div w:id="1588146970">
      <w:bodyDiv w:val="1"/>
      <w:marLeft w:val="0"/>
      <w:marRight w:val="0"/>
      <w:marTop w:val="0"/>
      <w:marBottom w:val="0"/>
      <w:divBdr>
        <w:top w:val="none" w:sz="0" w:space="0" w:color="auto"/>
        <w:left w:val="none" w:sz="0" w:space="0" w:color="auto"/>
        <w:bottom w:val="none" w:sz="0" w:space="0" w:color="auto"/>
        <w:right w:val="none" w:sz="0" w:space="0" w:color="auto"/>
      </w:divBdr>
    </w:div>
    <w:div w:id="1588731232">
      <w:bodyDiv w:val="1"/>
      <w:marLeft w:val="0"/>
      <w:marRight w:val="0"/>
      <w:marTop w:val="0"/>
      <w:marBottom w:val="0"/>
      <w:divBdr>
        <w:top w:val="none" w:sz="0" w:space="0" w:color="auto"/>
        <w:left w:val="none" w:sz="0" w:space="0" w:color="auto"/>
        <w:bottom w:val="none" w:sz="0" w:space="0" w:color="auto"/>
        <w:right w:val="none" w:sz="0" w:space="0" w:color="auto"/>
      </w:divBdr>
    </w:div>
    <w:div w:id="1588997919">
      <w:bodyDiv w:val="1"/>
      <w:marLeft w:val="0"/>
      <w:marRight w:val="0"/>
      <w:marTop w:val="0"/>
      <w:marBottom w:val="0"/>
      <w:divBdr>
        <w:top w:val="none" w:sz="0" w:space="0" w:color="auto"/>
        <w:left w:val="none" w:sz="0" w:space="0" w:color="auto"/>
        <w:bottom w:val="none" w:sz="0" w:space="0" w:color="auto"/>
        <w:right w:val="none" w:sz="0" w:space="0" w:color="auto"/>
      </w:divBdr>
    </w:div>
    <w:div w:id="1589272697">
      <w:bodyDiv w:val="1"/>
      <w:marLeft w:val="0"/>
      <w:marRight w:val="0"/>
      <w:marTop w:val="0"/>
      <w:marBottom w:val="0"/>
      <w:divBdr>
        <w:top w:val="none" w:sz="0" w:space="0" w:color="auto"/>
        <w:left w:val="none" w:sz="0" w:space="0" w:color="auto"/>
        <w:bottom w:val="none" w:sz="0" w:space="0" w:color="auto"/>
        <w:right w:val="none" w:sz="0" w:space="0" w:color="auto"/>
      </w:divBdr>
    </w:div>
    <w:div w:id="1590000862">
      <w:bodyDiv w:val="1"/>
      <w:marLeft w:val="0"/>
      <w:marRight w:val="0"/>
      <w:marTop w:val="0"/>
      <w:marBottom w:val="0"/>
      <w:divBdr>
        <w:top w:val="none" w:sz="0" w:space="0" w:color="auto"/>
        <w:left w:val="none" w:sz="0" w:space="0" w:color="auto"/>
        <w:bottom w:val="none" w:sz="0" w:space="0" w:color="auto"/>
        <w:right w:val="none" w:sz="0" w:space="0" w:color="auto"/>
      </w:divBdr>
    </w:div>
    <w:div w:id="1590116246">
      <w:bodyDiv w:val="1"/>
      <w:marLeft w:val="0"/>
      <w:marRight w:val="0"/>
      <w:marTop w:val="0"/>
      <w:marBottom w:val="0"/>
      <w:divBdr>
        <w:top w:val="none" w:sz="0" w:space="0" w:color="auto"/>
        <w:left w:val="none" w:sz="0" w:space="0" w:color="auto"/>
        <w:bottom w:val="none" w:sz="0" w:space="0" w:color="auto"/>
        <w:right w:val="none" w:sz="0" w:space="0" w:color="auto"/>
      </w:divBdr>
    </w:div>
    <w:div w:id="1590385356">
      <w:bodyDiv w:val="1"/>
      <w:marLeft w:val="0"/>
      <w:marRight w:val="0"/>
      <w:marTop w:val="0"/>
      <w:marBottom w:val="0"/>
      <w:divBdr>
        <w:top w:val="none" w:sz="0" w:space="0" w:color="auto"/>
        <w:left w:val="none" w:sz="0" w:space="0" w:color="auto"/>
        <w:bottom w:val="none" w:sz="0" w:space="0" w:color="auto"/>
        <w:right w:val="none" w:sz="0" w:space="0" w:color="auto"/>
      </w:divBdr>
    </w:div>
    <w:div w:id="1590845148">
      <w:bodyDiv w:val="1"/>
      <w:marLeft w:val="0"/>
      <w:marRight w:val="0"/>
      <w:marTop w:val="0"/>
      <w:marBottom w:val="0"/>
      <w:divBdr>
        <w:top w:val="none" w:sz="0" w:space="0" w:color="auto"/>
        <w:left w:val="none" w:sz="0" w:space="0" w:color="auto"/>
        <w:bottom w:val="none" w:sz="0" w:space="0" w:color="auto"/>
        <w:right w:val="none" w:sz="0" w:space="0" w:color="auto"/>
      </w:divBdr>
    </w:div>
    <w:div w:id="1591347894">
      <w:bodyDiv w:val="1"/>
      <w:marLeft w:val="0"/>
      <w:marRight w:val="0"/>
      <w:marTop w:val="0"/>
      <w:marBottom w:val="0"/>
      <w:divBdr>
        <w:top w:val="none" w:sz="0" w:space="0" w:color="auto"/>
        <w:left w:val="none" w:sz="0" w:space="0" w:color="auto"/>
        <w:bottom w:val="none" w:sz="0" w:space="0" w:color="auto"/>
        <w:right w:val="none" w:sz="0" w:space="0" w:color="auto"/>
      </w:divBdr>
    </w:div>
    <w:div w:id="1591692020">
      <w:bodyDiv w:val="1"/>
      <w:marLeft w:val="0"/>
      <w:marRight w:val="0"/>
      <w:marTop w:val="0"/>
      <w:marBottom w:val="0"/>
      <w:divBdr>
        <w:top w:val="none" w:sz="0" w:space="0" w:color="auto"/>
        <w:left w:val="none" w:sz="0" w:space="0" w:color="auto"/>
        <w:bottom w:val="none" w:sz="0" w:space="0" w:color="auto"/>
        <w:right w:val="none" w:sz="0" w:space="0" w:color="auto"/>
      </w:divBdr>
    </w:div>
    <w:div w:id="1591891670">
      <w:bodyDiv w:val="1"/>
      <w:marLeft w:val="0"/>
      <w:marRight w:val="0"/>
      <w:marTop w:val="0"/>
      <w:marBottom w:val="0"/>
      <w:divBdr>
        <w:top w:val="none" w:sz="0" w:space="0" w:color="auto"/>
        <w:left w:val="none" w:sz="0" w:space="0" w:color="auto"/>
        <w:bottom w:val="none" w:sz="0" w:space="0" w:color="auto"/>
        <w:right w:val="none" w:sz="0" w:space="0" w:color="auto"/>
      </w:divBdr>
    </w:div>
    <w:div w:id="1593122554">
      <w:bodyDiv w:val="1"/>
      <w:marLeft w:val="0"/>
      <w:marRight w:val="0"/>
      <w:marTop w:val="0"/>
      <w:marBottom w:val="0"/>
      <w:divBdr>
        <w:top w:val="none" w:sz="0" w:space="0" w:color="auto"/>
        <w:left w:val="none" w:sz="0" w:space="0" w:color="auto"/>
        <w:bottom w:val="none" w:sz="0" w:space="0" w:color="auto"/>
        <w:right w:val="none" w:sz="0" w:space="0" w:color="auto"/>
      </w:divBdr>
    </w:div>
    <w:div w:id="1595091093">
      <w:bodyDiv w:val="1"/>
      <w:marLeft w:val="0"/>
      <w:marRight w:val="0"/>
      <w:marTop w:val="0"/>
      <w:marBottom w:val="0"/>
      <w:divBdr>
        <w:top w:val="none" w:sz="0" w:space="0" w:color="auto"/>
        <w:left w:val="none" w:sz="0" w:space="0" w:color="auto"/>
        <w:bottom w:val="none" w:sz="0" w:space="0" w:color="auto"/>
        <w:right w:val="none" w:sz="0" w:space="0" w:color="auto"/>
      </w:divBdr>
    </w:div>
    <w:div w:id="1595700122">
      <w:bodyDiv w:val="1"/>
      <w:marLeft w:val="0"/>
      <w:marRight w:val="0"/>
      <w:marTop w:val="0"/>
      <w:marBottom w:val="0"/>
      <w:divBdr>
        <w:top w:val="none" w:sz="0" w:space="0" w:color="auto"/>
        <w:left w:val="none" w:sz="0" w:space="0" w:color="auto"/>
        <w:bottom w:val="none" w:sz="0" w:space="0" w:color="auto"/>
        <w:right w:val="none" w:sz="0" w:space="0" w:color="auto"/>
      </w:divBdr>
    </w:div>
    <w:div w:id="1596478388">
      <w:bodyDiv w:val="1"/>
      <w:marLeft w:val="0"/>
      <w:marRight w:val="0"/>
      <w:marTop w:val="0"/>
      <w:marBottom w:val="0"/>
      <w:divBdr>
        <w:top w:val="none" w:sz="0" w:space="0" w:color="auto"/>
        <w:left w:val="none" w:sz="0" w:space="0" w:color="auto"/>
        <w:bottom w:val="none" w:sz="0" w:space="0" w:color="auto"/>
        <w:right w:val="none" w:sz="0" w:space="0" w:color="auto"/>
      </w:divBdr>
    </w:div>
    <w:div w:id="1596865814">
      <w:bodyDiv w:val="1"/>
      <w:marLeft w:val="0"/>
      <w:marRight w:val="0"/>
      <w:marTop w:val="0"/>
      <w:marBottom w:val="0"/>
      <w:divBdr>
        <w:top w:val="none" w:sz="0" w:space="0" w:color="auto"/>
        <w:left w:val="none" w:sz="0" w:space="0" w:color="auto"/>
        <w:bottom w:val="none" w:sz="0" w:space="0" w:color="auto"/>
        <w:right w:val="none" w:sz="0" w:space="0" w:color="auto"/>
      </w:divBdr>
    </w:div>
    <w:div w:id="1600289211">
      <w:bodyDiv w:val="1"/>
      <w:marLeft w:val="0"/>
      <w:marRight w:val="0"/>
      <w:marTop w:val="0"/>
      <w:marBottom w:val="0"/>
      <w:divBdr>
        <w:top w:val="none" w:sz="0" w:space="0" w:color="auto"/>
        <w:left w:val="none" w:sz="0" w:space="0" w:color="auto"/>
        <w:bottom w:val="none" w:sz="0" w:space="0" w:color="auto"/>
        <w:right w:val="none" w:sz="0" w:space="0" w:color="auto"/>
      </w:divBdr>
    </w:div>
    <w:div w:id="1602180379">
      <w:bodyDiv w:val="1"/>
      <w:marLeft w:val="0"/>
      <w:marRight w:val="0"/>
      <w:marTop w:val="0"/>
      <w:marBottom w:val="0"/>
      <w:divBdr>
        <w:top w:val="none" w:sz="0" w:space="0" w:color="auto"/>
        <w:left w:val="none" w:sz="0" w:space="0" w:color="auto"/>
        <w:bottom w:val="none" w:sz="0" w:space="0" w:color="auto"/>
        <w:right w:val="none" w:sz="0" w:space="0" w:color="auto"/>
      </w:divBdr>
    </w:div>
    <w:div w:id="1602448602">
      <w:bodyDiv w:val="1"/>
      <w:marLeft w:val="0"/>
      <w:marRight w:val="0"/>
      <w:marTop w:val="0"/>
      <w:marBottom w:val="0"/>
      <w:divBdr>
        <w:top w:val="none" w:sz="0" w:space="0" w:color="auto"/>
        <w:left w:val="none" w:sz="0" w:space="0" w:color="auto"/>
        <w:bottom w:val="none" w:sz="0" w:space="0" w:color="auto"/>
        <w:right w:val="none" w:sz="0" w:space="0" w:color="auto"/>
      </w:divBdr>
    </w:div>
    <w:div w:id="1603604657">
      <w:bodyDiv w:val="1"/>
      <w:marLeft w:val="0"/>
      <w:marRight w:val="0"/>
      <w:marTop w:val="0"/>
      <w:marBottom w:val="0"/>
      <w:divBdr>
        <w:top w:val="none" w:sz="0" w:space="0" w:color="auto"/>
        <w:left w:val="none" w:sz="0" w:space="0" w:color="auto"/>
        <w:bottom w:val="none" w:sz="0" w:space="0" w:color="auto"/>
        <w:right w:val="none" w:sz="0" w:space="0" w:color="auto"/>
      </w:divBdr>
    </w:div>
    <w:div w:id="1603686450">
      <w:bodyDiv w:val="1"/>
      <w:marLeft w:val="0"/>
      <w:marRight w:val="0"/>
      <w:marTop w:val="0"/>
      <w:marBottom w:val="0"/>
      <w:divBdr>
        <w:top w:val="none" w:sz="0" w:space="0" w:color="auto"/>
        <w:left w:val="none" w:sz="0" w:space="0" w:color="auto"/>
        <w:bottom w:val="none" w:sz="0" w:space="0" w:color="auto"/>
        <w:right w:val="none" w:sz="0" w:space="0" w:color="auto"/>
      </w:divBdr>
    </w:div>
    <w:div w:id="1604265012">
      <w:bodyDiv w:val="1"/>
      <w:marLeft w:val="0"/>
      <w:marRight w:val="0"/>
      <w:marTop w:val="0"/>
      <w:marBottom w:val="0"/>
      <w:divBdr>
        <w:top w:val="none" w:sz="0" w:space="0" w:color="auto"/>
        <w:left w:val="none" w:sz="0" w:space="0" w:color="auto"/>
        <w:bottom w:val="none" w:sz="0" w:space="0" w:color="auto"/>
        <w:right w:val="none" w:sz="0" w:space="0" w:color="auto"/>
      </w:divBdr>
    </w:div>
    <w:div w:id="1604654968">
      <w:bodyDiv w:val="1"/>
      <w:marLeft w:val="0"/>
      <w:marRight w:val="0"/>
      <w:marTop w:val="0"/>
      <w:marBottom w:val="0"/>
      <w:divBdr>
        <w:top w:val="none" w:sz="0" w:space="0" w:color="auto"/>
        <w:left w:val="none" w:sz="0" w:space="0" w:color="auto"/>
        <w:bottom w:val="none" w:sz="0" w:space="0" w:color="auto"/>
        <w:right w:val="none" w:sz="0" w:space="0" w:color="auto"/>
      </w:divBdr>
    </w:div>
    <w:div w:id="1605071202">
      <w:bodyDiv w:val="1"/>
      <w:marLeft w:val="0"/>
      <w:marRight w:val="0"/>
      <w:marTop w:val="0"/>
      <w:marBottom w:val="0"/>
      <w:divBdr>
        <w:top w:val="none" w:sz="0" w:space="0" w:color="auto"/>
        <w:left w:val="none" w:sz="0" w:space="0" w:color="auto"/>
        <w:bottom w:val="none" w:sz="0" w:space="0" w:color="auto"/>
        <w:right w:val="none" w:sz="0" w:space="0" w:color="auto"/>
      </w:divBdr>
    </w:div>
    <w:div w:id="1605186112">
      <w:bodyDiv w:val="1"/>
      <w:marLeft w:val="0"/>
      <w:marRight w:val="0"/>
      <w:marTop w:val="0"/>
      <w:marBottom w:val="0"/>
      <w:divBdr>
        <w:top w:val="none" w:sz="0" w:space="0" w:color="auto"/>
        <w:left w:val="none" w:sz="0" w:space="0" w:color="auto"/>
        <w:bottom w:val="none" w:sz="0" w:space="0" w:color="auto"/>
        <w:right w:val="none" w:sz="0" w:space="0" w:color="auto"/>
      </w:divBdr>
    </w:div>
    <w:div w:id="1605530270">
      <w:bodyDiv w:val="1"/>
      <w:marLeft w:val="0"/>
      <w:marRight w:val="0"/>
      <w:marTop w:val="0"/>
      <w:marBottom w:val="0"/>
      <w:divBdr>
        <w:top w:val="none" w:sz="0" w:space="0" w:color="auto"/>
        <w:left w:val="none" w:sz="0" w:space="0" w:color="auto"/>
        <w:bottom w:val="none" w:sz="0" w:space="0" w:color="auto"/>
        <w:right w:val="none" w:sz="0" w:space="0" w:color="auto"/>
      </w:divBdr>
    </w:div>
    <w:div w:id="1605725623">
      <w:bodyDiv w:val="1"/>
      <w:marLeft w:val="0"/>
      <w:marRight w:val="0"/>
      <w:marTop w:val="0"/>
      <w:marBottom w:val="0"/>
      <w:divBdr>
        <w:top w:val="none" w:sz="0" w:space="0" w:color="auto"/>
        <w:left w:val="none" w:sz="0" w:space="0" w:color="auto"/>
        <w:bottom w:val="none" w:sz="0" w:space="0" w:color="auto"/>
        <w:right w:val="none" w:sz="0" w:space="0" w:color="auto"/>
      </w:divBdr>
    </w:div>
    <w:div w:id="1606113114">
      <w:bodyDiv w:val="1"/>
      <w:marLeft w:val="0"/>
      <w:marRight w:val="0"/>
      <w:marTop w:val="0"/>
      <w:marBottom w:val="0"/>
      <w:divBdr>
        <w:top w:val="none" w:sz="0" w:space="0" w:color="auto"/>
        <w:left w:val="none" w:sz="0" w:space="0" w:color="auto"/>
        <w:bottom w:val="none" w:sz="0" w:space="0" w:color="auto"/>
        <w:right w:val="none" w:sz="0" w:space="0" w:color="auto"/>
      </w:divBdr>
    </w:div>
    <w:div w:id="1606157351">
      <w:bodyDiv w:val="1"/>
      <w:marLeft w:val="0"/>
      <w:marRight w:val="0"/>
      <w:marTop w:val="0"/>
      <w:marBottom w:val="0"/>
      <w:divBdr>
        <w:top w:val="none" w:sz="0" w:space="0" w:color="auto"/>
        <w:left w:val="none" w:sz="0" w:space="0" w:color="auto"/>
        <w:bottom w:val="none" w:sz="0" w:space="0" w:color="auto"/>
        <w:right w:val="none" w:sz="0" w:space="0" w:color="auto"/>
      </w:divBdr>
    </w:div>
    <w:div w:id="1607344958">
      <w:bodyDiv w:val="1"/>
      <w:marLeft w:val="0"/>
      <w:marRight w:val="0"/>
      <w:marTop w:val="0"/>
      <w:marBottom w:val="0"/>
      <w:divBdr>
        <w:top w:val="none" w:sz="0" w:space="0" w:color="auto"/>
        <w:left w:val="none" w:sz="0" w:space="0" w:color="auto"/>
        <w:bottom w:val="none" w:sz="0" w:space="0" w:color="auto"/>
        <w:right w:val="none" w:sz="0" w:space="0" w:color="auto"/>
      </w:divBdr>
    </w:div>
    <w:div w:id="1611207813">
      <w:bodyDiv w:val="1"/>
      <w:marLeft w:val="0"/>
      <w:marRight w:val="0"/>
      <w:marTop w:val="0"/>
      <w:marBottom w:val="0"/>
      <w:divBdr>
        <w:top w:val="none" w:sz="0" w:space="0" w:color="auto"/>
        <w:left w:val="none" w:sz="0" w:space="0" w:color="auto"/>
        <w:bottom w:val="none" w:sz="0" w:space="0" w:color="auto"/>
        <w:right w:val="none" w:sz="0" w:space="0" w:color="auto"/>
      </w:divBdr>
    </w:div>
    <w:div w:id="1611467879">
      <w:bodyDiv w:val="1"/>
      <w:marLeft w:val="0"/>
      <w:marRight w:val="0"/>
      <w:marTop w:val="0"/>
      <w:marBottom w:val="0"/>
      <w:divBdr>
        <w:top w:val="none" w:sz="0" w:space="0" w:color="auto"/>
        <w:left w:val="none" w:sz="0" w:space="0" w:color="auto"/>
        <w:bottom w:val="none" w:sz="0" w:space="0" w:color="auto"/>
        <w:right w:val="none" w:sz="0" w:space="0" w:color="auto"/>
      </w:divBdr>
    </w:div>
    <w:div w:id="1611669998">
      <w:bodyDiv w:val="1"/>
      <w:marLeft w:val="0"/>
      <w:marRight w:val="0"/>
      <w:marTop w:val="0"/>
      <w:marBottom w:val="0"/>
      <w:divBdr>
        <w:top w:val="none" w:sz="0" w:space="0" w:color="auto"/>
        <w:left w:val="none" w:sz="0" w:space="0" w:color="auto"/>
        <w:bottom w:val="none" w:sz="0" w:space="0" w:color="auto"/>
        <w:right w:val="none" w:sz="0" w:space="0" w:color="auto"/>
      </w:divBdr>
    </w:div>
    <w:div w:id="1614049317">
      <w:bodyDiv w:val="1"/>
      <w:marLeft w:val="0"/>
      <w:marRight w:val="0"/>
      <w:marTop w:val="0"/>
      <w:marBottom w:val="0"/>
      <w:divBdr>
        <w:top w:val="none" w:sz="0" w:space="0" w:color="auto"/>
        <w:left w:val="none" w:sz="0" w:space="0" w:color="auto"/>
        <w:bottom w:val="none" w:sz="0" w:space="0" w:color="auto"/>
        <w:right w:val="none" w:sz="0" w:space="0" w:color="auto"/>
      </w:divBdr>
    </w:div>
    <w:div w:id="1614434278">
      <w:bodyDiv w:val="1"/>
      <w:marLeft w:val="0"/>
      <w:marRight w:val="0"/>
      <w:marTop w:val="0"/>
      <w:marBottom w:val="0"/>
      <w:divBdr>
        <w:top w:val="none" w:sz="0" w:space="0" w:color="auto"/>
        <w:left w:val="none" w:sz="0" w:space="0" w:color="auto"/>
        <w:bottom w:val="none" w:sz="0" w:space="0" w:color="auto"/>
        <w:right w:val="none" w:sz="0" w:space="0" w:color="auto"/>
      </w:divBdr>
    </w:div>
    <w:div w:id="1615092592">
      <w:bodyDiv w:val="1"/>
      <w:marLeft w:val="0"/>
      <w:marRight w:val="0"/>
      <w:marTop w:val="0"/>
      <w:marBottom w:val="0"/>
      <w:divBdr>
        <w:top w:val="none" w:sz="0" w:space="0" w:color="auto"/>
        <w:left w:val="none" w:sz="0" w:space="0" w:color="auto"/>
        <w:bottom w:val="none" w:sz="0" w:space="0" w:color="auto"/>
        <w:right w:val="none" w:sz="0" w:space="0" w:color="auto"/>
      </w:divBdr>
    </w:div>
    <w:div w:id="1615290096">
      <w:bodyDiv w:val="1"/>
      <w:marLeft w:val="0"/>
      <w:marRight w:val="0"/>
      <w:marTop w:val="0"/>
      <w:marBottom w:val="0"/>
      <w:divBdr>
        <w:top w:val="none" w:sz="0" w:space="0" w:color="auto"/>
        <w:left w:val="none" w:sz="0" w:space="0" w:color="auto"/>
        <w:bottom w:val="none" w:sz="0" w:space="0" w:color="auto"/>
        <w:right w:val="none" w:sz="0" w:space="0" w:color="auto"/>
      </w:divBdr>
    </w:div>
    <w:div w:id="1618028202">
      <w:bodyDiv w:val="1"/>
      <w:marLeft w:val="0"/>
      <w:marRight w:val="0"/>
      <w:marTop w:val="0"/>
      <w:marBottom w:val="0"/>
      <w:divBdr>
        <w:top w:val="none" w:sz="0" w:space="0" w:color="auto"/>
        <w:left w:val="none" w:sz="0" w:space="0" w:color="auto"/>
        <w:bottom w:val="none" w:sz="0" w:space="0" w:color="auto"/>
        <w:right w:val="none" w:sz="0" w:space="0" w:color="auto"/>
      </w:divBdr>
    </w:div>
    <w:div w:id="1618365651">
      <w:bodyDiv w:val="1"/>
      <w:marLeft w:val="0"/>
      <w:marRight w:val="0"/>
      <w:marTop w:val="0"/>
      <w:marBottom w:val="0"/>
      <w:divBdr>
        <w:top w:val="none" w:sz="0" w:space="0" w:color="auto"/>
        <w:left w:val="none" w:sz="0" w:space="0" w:color="auto"/>
        <w:bottom w:val="none" w:sz="0" w:space="0" w:color="auto"/>
        <w:right w:val="none" w:sz="0" w:space="0" w:color="auto"/>
      </w:divBdr>
    </w:div>
    <w:div w:id="1618561435">
      <w:bodyDiv w:val="1"/>
      <w:marLeft w:val="0"/>
      <w:marRight w:val="0"/>
      <w:marTop w:val="0"/>
      <w:marBottom w:val="0"/>
      <w:divBdr>
        <w:top w:val="none" w:sz="0" w:space="0" w:color="auto"/>
        <w:left w:val="none" w:sz="0" w:space="0" w:color="auto"/>
        <w:bottom w:val="none" w:sz="0" w:space="0" w:color="auto"/>
        <w:right w:val="none" w:sz="0" w:space="0" w:color="auto"/>
      </w:divBdr>
    </w:div>
    <w:div w:id="1619488916">
      <w:bodyDiv w:val="1"/>
      <w:marLeft w:val="0"/>
      <w:marRight w:val="0"/>
      <w:marTop w:val="0"/>
      <w:marBottom w:val="0"/>
      <w:divBdr>
        <w:top w:val="none" w:sz="0" w:space="0" w:color="auto"/>
        <w:left w:val="none" w:sz="0" w:space="0" w:color="auto"/>
        <w:bottom w:val="none" w:sz="0" w:space="0" w:color="auto"/>
        <w:right w:val="none" w:sz="0" w:space="0" w:color="auto"/>
      </w:divBdr>
    </w:div>
    <w:div w:id="1622422885">
      <w:bodyDiv w:val="1"/>
      <w:marLeft w:val="0"/>
      <w:marRight w:val="0"/>
      <w:marTop w:val="0"/>
      <w:marBottom w:val="0"/>
      <w:divBdr>
        <w:top w:val="none" w:sz="0" w:space="0" w:color="auto"/>
        <w:left w:val="none" w:sz="0" w:space="0" w:color="auto"/>
        <w:bottom w:val="none" w:sz="0" w:space="0" w:color="auto"/>
        <w:right w:val="none" w:sz="0" w:space="0" w:color="auto"/>
      </w:divBdr>
    </w:div>
    <w:div w:id="1623003094">
      <w:bodyDiv w:val="1"/>
      <w:marLeft w:val="0"/>
      <w:marRight w:val="0"/>
      <w:marTop w:val="0"/>
      <w:marBottom w:val="0"/>
      <w:divBdr>
        <w:top w:val="none" w:sz="0" w:space="0" w:color="auto"/>
        <w:left w:val="none" w:sz="0" w:space="0" w:color="auto"/>
        <w:bottom w:val="none" w:sz="0" w:space="0" w:color="auto"/>
        <w:right w:val="none" w:sz="0" w:space="0" w:color="auto"/>
      </w:divBdr>
    </w:div>
    <w:div w:id="1623920692">
      <w:bodyDiv w:val="1"/>
      <w:marLeft w:val="0"/>
      <w:marRight w:val="0"/>
      <w:marTop w:val="0"/>
      <w:marBottom w:val="0"/>
      <w:divBdr>
        <w:top w:val="none" w:sz="0" w:space="0" w:color="auto"/>
        <w:left w:val="none" w:sz="0" w:space="0" w:color="auto"/>
        <w:bottom w:val="none" w:sz="0" w:space="0" w:color="auto"/>
        <w:right w:val="none" w:sz="0" w:space="0" w:color="auto"/>
      </w:divBdr>
    </w:div>
    <w:div w:id="1624070130">
      <w:bodyDiv w:val="1"/>
      <w:marLeft w:val="0"/>
      <w:marRight w:val="0"/>
      <w:marTop w:val="0"/>
      <w:marBottom w:val="0"/>
      <w:divBdr>
        <w:top w:val="none" w:sz="0" w:space="0" w:color="auto"/>
        <w:left w:val="none" w:sz="0" w:space="0" w:color="auto"/>
        <w:bottom w:val="none" w:sz="0" w:space="0" w:color="auto"/>
        <w:right w:val="none" w:sz="0" w:space="0" w:color="auto"/>
      </w:divBdr>
    </w:div>
    <w:div w:id="1625504987">
      <w:bodyDiv w:val="1"/>
      <w:marLeft w:val="0"/>
      <w:marRight w:val="0"/>
      <w:marTop w:val="0"/>
      <w:marBottom w:val="0"/>
      <w:divBdr>
        <w:top w:val="none" w:sz="0" w:space="0" w:color="auto"/>
        <w:left w:val="none" w:sz="0" w:space="0" w:color="auto"/>
        <w:bottom w:val="none" w:sz="0" w:space="0" w:color="auto"/>
        <w:right w:val="none" w:sz="0" w:space="0" w:color="auto"/>
      </w:divBdr>
    </w:div>
    <w:div w:id="1626039332">
      <w:bodyDiv w:val="1"/>
      <w:marLeft w:val="0"/>
      <w:marRight w:val="0"/>
      <w:marTop w:val="0"/>
      <w:marBottom w:val="0"/>
      <w:divBdr>
        <w:top w:val="none" w:sz="0" w:space="0" w:color="auto"/>
        <w:left w:val="none" w:sz="0" w:space="0" w:color="auto"/>
        <w:bottom w:val="none" w:sz="0" w:space="0" w:color="auto"/>
        <w:right w:val="none" w:sz="0" w:space="0" w:color="auto"/>
      </w:divBdr>
    </w:div>
    <w:div w:id="1628927533">
      <w:bodyDiv w:val="1"/>
      <w:marLeft w:val="0"/>
      <w:marRight w:val="0"/>
      <w:marTop w:val="0"/>
      <w:marBottom w:val="0"/>
      <w:divBdr>
        <w:top w:val="none" w:sz="0" w:space="0" w:color="auto"/>
        <w:left w:val="none" w:sz="0" w:space="0" w:color="auto"/>
        <w:bottom w:val="none" w:sz="0" w:space="0" w:color="auto"/>
        <w:right w:val="none" w:sz="0" w:space="0" w:color="auto"/>
      </w:divBdr>
    </w:div>
    <w:div w:id="1629892617">
      <w:bodyDiv w:val="1"/>
      <w:marLeft w:val="0"/>
      <w:marRight w:val="0"/>
      <w:marTop w:val="0"/>
      <w:marBottom w:val="0"/>
      <w:divBdr>
        <w:top w:val="none" w:sz="0" w:space="0" w:color="auto"/>
        <w:left w:val="none" w:sz="0" w:space="0" w:color="auto"/>
        <w:bottom w:val="none" w:sz="0" w:space="0" w:color="auto"/>
        <w:right w:val="none" w:sz="0" w:space="0" w:color="auto"/>
      </w:divBdr>
    </w:div>
    <w:div w:id="1630209475">
      <w:bodyDiv w:val="1"/>
      <w:marLeft w:val="0"/>
      <w:marRight w:val="0"/>
      <w:marTop w:val="0"/>
      <w:marBottom w:val="0"/>
      <w:divBdr>
        <w:top w:val="none" w:sz="0" w:space="0" w:color="auto"/>
        <w:left w:val="none" w:sz="0" w:space="0" w:color="auto"/>
        <w:bottom w:val="none" w:sz="0" w:space="0" w:color="auto"/>
        <w:right w:val="none" w:sz="0" w:space="0" w:color="auto"/>
      </w:divBdr>
    </w:div>
    <w:div w:id="1631477025">
      <w:bodyDiv w:val="1"/>
      <w:marLeft w:val="0"/>
      <w:marRight w:val="0"/>
      <w:marTop w:val="0"/>
      <w:marBottom w:val="0"/>
      <w:divBdr>
        <w:top w:val="none" w:sz="0" w:space="0" w:color="auto"/>
        <w:left w:val="none" w:sz="0" w:space="0" w:color="auto"/>
        <w:bottom w:val="none" w:sz="0" w:space="0" w:color="auto"/>
        <w:right w:val="none" w:sz="0" w:space="0" w:color="auto"/>
      </w:divBdr>
    </w:div>
    <w:div w:id="1634411402">
      <w:bodyDiv w:val="1"/>
      <w:marLeft w:val="0"/>
      <w:marRight w:val="0"/>
      <w:marTop w:val="0"/>
      <w:marBottom w:val="0"/>
      <w:divBdr>
        <w:top w:val="none" w:sz="0" w:space="0" w:color="auto"/>
        <w:left w:val="none" w:sz="0" w:space="0" w:color="auto"/>
        <w:bottom w:val="none" w:sz="0" w:space="0" w:color="auto"/>
        <w:right w:val="none" w:sz="0" w:space="0" w:color="auto"/>
      </w:divBdr>
    </w:div>
    <w:div w:id="1634753347">
      <w:bodyDiv w:val="1"/>
      <w:marLeft w:val="0"/>
      <w:marRight w:val="0"/>
      <w:marTop w:val="0"/>
      <w:marBottom w:val="0"/>
      <w:divBdr>
        <w:top w:val="none" w:sz="0" w:space="0" w:color="auto"/>
        <w:left w:val="none" w:sz="0" w:space="0" w:color="auto"/>
        <w:bottom w:val="none" w:sz="0" w:space="0" w:color="auto"/>
        <w:right w:val="none" w:sz="0" w:space="0" w:color="auto"/>
      </w:divBdr>
    </w:div>
    <w:div w:id="1637104589">
      <w:bodyDiv w:val="1"/>
      <w:marLeft w:val="0"/>
      <w:marRight w:val="0"/>
      <w:marTop w:val="0"/>
      <w:marBottom w:val="0"/>
      <w:divBdr>
        <w:top w:val="none" w:sz="0" w:space="0" w:color="auto"/>
        <w:left w:val="none" w:sz="0" w:space="0" w:color="auto"/>
        <w:bottom w:val="none" w:sz="0" w:space="0" w:color="auto"/>
        <w:right w:val="none" w:sz="0" w:space="0" w:color="auto"/>
      </w:divBdr>
    </w:div>
    <w:div w:id="1637762983">
      <w:bodyDiv w:val="1"/>
      <w:marLeft w:val="0"/>
      <w:marRight w:val="0"/>
      <w:marTop w:val="0"/>
      <w:marBottom w:val="0"/>
      <w:divBdr>
        <w:top w:val="none" w:sz="0" w:space="0" w:color="auto"/>
        <w:left w:val="none" w:sz="0" w:space="0" w:color="auto"/>
        <w:bottom w:val="none" w:sz="0" w:space="0" w:color="auto"/>
        <w:right w:val="none" w:sz="0" w:space="0" w:color="auto"/>
      </w:divBdr>
    </w:div>
    <w:div w:id="1637907304">
      <w:bodyDiv w:val="1"/>
      <w:marLeft w:val="0"/>
      <w:marRight w:val="0"/>
      <w:marTop w:val="0"/>
      <w:marBottom w:val="0"/>
      <w:divBdr>
        <w:top w:val="none" w:sz="0" w:space="0" w:color="auto"/>
        <w:left w:val="none" w:sz="0" w:space="0" w:color="auto"/>
        <w:bottom w:val="none" w:sz="0" w:space="0" w:color="auto"/>
        <w:right w:val="none" w:sz="0" w:space="0" w:color="auto"/>
      </w:divBdr>
    </w:div>
    <w:div w:id="1638026706">
      <w:bodyDiv w:val="1"/>
      <w:marLeft w:val="0"/>
      <w:marRight w:val="0"/>
      <w:marTop w:val="0"/>
      <w:marBottom w:val="0"/>
      <w:divBdr>
        <w:top w:val="none" w:sz="0" w:space="0" w:color="auto"/>
        <w:left w:val="none" w:sz="0" w:space="0" w:color="auto"/>
        <w:bottom w:val="none" w:sz="0" w:space="0" w:color="auto"/>
        <w:right w:val="none" w:sz="0" w:space="0" w:color="auto"/>
      </w:divBdr>
    </w:div>
    <w:div w:id="1638029232">
      <w:bodyDiv w:val="1"/>
      <w:marLeft w:val="0"/>
      <w:marRight w:val="0"/>
      <w:marTop w:val="0"/>
      <w:marBottom w:val="0"/>
      <w:divBdr>
        <w:top w:val="none" w:sz="0" w:space="0" w:color="auto"/>
        <w:left w:val="none" w:sz="0" w:space="0" w:color="auto"/>
        <w:bottom w:val="none" w:sz="0" w:space="0" w:color="auto"/>
        <w:right w:val="none" w:sz="0" w:space="0" w:color="auto"/>
      </w:divBdr>
    </w:div>
    <w:div w:id="1638336225">
      <w:bodyDiv w:val="1"/>
      <w:marLeft w:val="0"/>
      <w:marRight w:val="0"/>
      <w:marTop w:val="0"/>
      <w:marBottom w:val="0"/>
      <w:divBdr>
        <w:top w:val="none" w:sz="0" w:space="0" w:color="auto"/>
        <w:left w:val="none" w:sz="0" w:space="0" w:color="auto"/>
        <w:bottom w:val="none" w:sz="0" w:space="0" w:color="auto"/>
        <w:right w:val="none" w:sz="0" w:space="0" w:color="auto"/>
      </w:divBdr>
    </w:div>
    <w:div w:id="1638799812">
      <w:bodyDiv w:val="1"/>
      <w:marLeft w:val="0"/>
      <w:marRight w:val="0"/>
      <w:marTop w:val="0"/>
      <w:marBottom w:val="0"/>
      <w:divBdr>
        <w:top w:val="none" w:sz="0" w:space="0" w:color="auto"/>
        <w:left w:val="none" w:sz="0" w:space="0" w:color="auto"/>
        <w:bottom w:val="none" w:sz="0" w:space="0" w:color="auto"/>
        <w:right w:val="none" w:sz="0" w:space="0" w:color="auto"/>
      </w:divBdr>
    </w:div>
    <w:div w:id="1640500911">
      <w:bodyDiv w:val="1"/>
      <w:marLeft w:val="0"/>
      <w:marRight w:val="0"/>
      <w:marTop w:val="0"/>
      <w:marBottom w:val="0"/>
      <w:divBdr>
        <w:top w:val="none" w:sz="0" w:space="0" w:color="auto"/>
        <w:left w:val="none" w:sz="0" w:space="0" w:color="auto"/>
        <w:bottom w:val="none" w:sz="0" w:space="0" w:color="auto"/>
        <w:right w:val="none" w:sz="0" w:space="0" w:color="auto"/>
      </w:divBdr>
    </w:div>
    <w:div w:id="1641495733">
      <w:bodyDiv w:val="1"/>
      <w:marLeft w:val="0"/>
      <w:marRight w:val="0"/>
      <w:marTop w:val="0"/>
      <w:marBottom w:val="0"/>
      <w:divBdr>
        <w:top w:val="none" w:sz="0" w:space="0" w:color="auto"/>
        <w:left w:val="none" w:sz="0" w:space="0" w:color="auto"/>
        <w:bottom w:val="none" w:sz="0" w:space="0" w:color="auto"/>
        <w:right w:val="none" w:sz="0" w:space="0" w:color="auto"/>
      </w:divBdr>
    </w:div>
    <w:div w:id="1641612857">
      <w:bodyDiv w:val="1"/>
      <w:marLeft w:val="0"/>
      <w:marRight w:val="0"/>
      <w:marTop w:val="0"/>
      <w:marBottom w:val="0"/>
      <w:divBdr>
        <w:top w:val="none" w:sz="0" w:space="0" w:color="auto"/>
        <w:left w:val="none" w:sz="0" w:space="0" w:color="auto"/>
        <w:bottom w:val="none" w:sz="0" w:space="0" w:color="auto"/>
        <w:right w:val="none" w:sz="0" w:space="0" w:color="auto"/>
      </w:divBdr>
    </w:div>
    <w:div w:id="1642926719">
      <w:bodyDiv w:val="1"/>
      <w:marLeft w:val="0"/>
      <w:marRight w:val="0"/>
      <w:marTop w:val="0"/>
      <w:marBottom w:val="0"/>
      <w:divBdr>
        <w:top w:val="none" w:sz="0" w:space="0" w:color="auto"/>
        <w:left w:val="none" w:sz="0" w:space="0" w:color="auto"/>
        <w:bottom w:val="none" w:sz="0" w:space="0" w:color="auto"/>
        <w:right w:val="none" w:sz="0" w:space="0" w:color="auto"/>
      </w:divBdr>
    </w:div>
    <w:div w:id="1644652221">
      <w:bodyDiv w:val="1"/>
      <w:marLeft w:val="0"/>
      <w:marRight w:val="0"/>
      <w:marTop w:val="0"/>
      <w:marBottom w:val="0"/>
      <w:divBdr>
        <w:top w:val="none" w:sz="0" w:space="0" w:color="auto"/>
        <w:left w:val="none" w:sz="0" w:space="0" w:color="auto"/>
        <w:bottom w:val="none" w:sz="0" w:space="0" w:color="auto"/>
        <w:right w:val="none" w:sz="0" w:space="0" w:color="auto"/>
      </w:divBdr>
    </w:div>
    <w:div w:id="1646354671">
      <w:bodyDiv w:val="1"/>
      <w:marLeft w:val="0"/>
      <w:marRight w:val="0"/>
      <w:marTop w:val="0"/>
      <w:marBottom w:val="0"/>
      <w:divBdr>
        <w:top w:val="none" w:sz="0" w:space="0" w:color="auto"/>
        <w:left w:val="none" w:sz="0" w:space="0" w:color="auto"/>
        <w:bottom w:val="none" w:sz="0" w:space="0" w:color="auto"/>
        <w:right w:val="none" w:sz="0" w:space="0" w:color="auto"/>
      </w:divBdr>
    </w:div>
    <w:div w:id="1647003540">
      <w:bodyDiv w:val="1"/>
      <w:marLeft w:val="0"/>
      <w:marRight w:val="0"/>
      <w:marTop w:val="0"/>
      <w:marBottom w:val="0"/>
      <w:divBdr>
        <w:top w:val="none" w:sz="0" w:space="0" w:color="auto"/>
        <w:left w:val="none" w:sz="0" w:space="0" w:color="auto"/>
        <w:bottom w:val="none" w:sz="0" w:space="0" w:color="auto"/>
        <w:right w:val="none" w:sz="0" w:space="0" w:color="auto"/>
      </w:divBdr>
    </w:div>
    <w:div w:id="1647079603">
      <w:bodyDiv w:val="1"/>
      <w:marLeft w:val="0"/>
      <w:marRight w:val="0"/>
      <w:marTop w:val="0"/>
      <w:marBottom w:val="0"/>
      <w:divBdr>
        <w:top w:val="none" w:sz="0" w:space="0" w:color="auto"/>
        <w:left w:val="none" w:sz="0" w:space="0" w:color="auto"/>
        <w:bottom w:val="none" w:sz="0" w:space="0" w:color="auto"/>
        <w:right w:val="none" w:sz="0" w:space="0" w:color="auto"/>
      </w:divBdr>
    </w:div>
    <w:div w:id="1647390191">
      <w:bodyDiv w:val="1"/>
      <w:marLeft w:val="0"/>
      <w:marRight w:val="0"/>
      <w:marTop w:val="0"/>
      <w:marBottom w:val="0"/>
      <w:divBdr>
        <w:top w:val="none" w:sz="0" w:space="0" w:color="auto"/>
        <w:left w:val="none" w:sz="0" w:space="0" w:color="auto"/>
        <w:bottom w:val="none" w:sz="0" w:space="0" w:color="auto"/>
        <w:right w:val="none" w:sz="0" w:space="0" w:color="auto"/>
      </w:divBdr>
    </w:div>
    <w:div w:id="1647393469">
      <w:bodyDiv w:val="1"/>
      <w:marLeft w:val="0"/>
      <w:marRight w:val="0"/>
      <w:marTop w:val="0"/>
      <w:marBottom w:val="0"/>
      <w:divBdr>
        <w:top w:val="none" w:sz="0" w:space="0" w:color="auto"/>
        <w:left w:val="none" w:sz="0" w:space="0" w:color="auto"/>
        <w:bottom w:val="none" w:sz="0" w:space="0" w:color="auto"/>
        <w:right w:val="none" w:sz="0" w:space="0" w:color="auto"/>
      </w:divBdr>
    </w:div>
    <w:div w:id="1649899606">
      <w:bodyDiv w:val="1"/>
      <w:marLeft w:val="0"/>
      <w:marRight w:val="0"/>
      <w:marTop w:val="0"/>
      <w:marBottom w:val="0"/>
      <w:divBdr>
        <w:top w:val="none" w:sz="0" w:space="0" w:color="auto"/>
        <w:left w:val="none" w:sz="0" w:space="0" w:color="auto"/>
        <w:bottom w:val="none" w:sz="0" w:space="0" w:color="auto"/>
        <w:right w:val="none" w:sz="0" w:space="0" w:color="auto"/>
      </w:divBdr>
    </w:div>
    <w:div w:id="1650133500">
      <w:bodyDiv w:val="1"/>
      <w:marLeft w:val="0"/>
      <w:marRight w:val="0"/>
      <w:marTop w:val="0"/>
      <w:marBottom w:val="0"/>
      <w:divBdr>
        <w:top w:val="none" w:sz="0" w:space="0" w:color="auto"/>
        <w:left w:val="none" w:sz="0" w:space="0" w:color="auto"/>
        <w:bottom w:val="none" w:sz="0" w:space="0" w:color="auto"/>
        <w:right w:val="none" w:sz="0" w:space="0" w:color="auto"/>
      </w:divBdr>
    </w:div>
    <w:div w:id="1650548847">
      <w:bodyDiv w:val="1"/>
      <w:marLeft w:val="0"/>
      <w:marRight w:val="0"/>
      <w:marTop w:val="0"/>
      <w:marBottom w:val="0"/>
      <w:divBdr>
        <w:top w:val="none" w:sz="0" w:space="0" w:color="auto"/>
        <w:left w:val="none" w:sz="0" w:space="0" w:color="auto"/>
        <w:bottom w:val="none" w:sz="0" w:space="0" w:color="auto"/>
        <w:right w:val="none" w:sz="0" w:space="0" w:color="auto"/>
      </w:divBdr>
    </w:div>
    <w:div w:id="1650553999">
      <w:bodyDiv w:val="1"/>
      <w:marLeft w:val="0"/>
      <w:marRight w:val="0"/>
      <w:marTop w:val="0"/>
      <w:marBottom w:val="0"/>
      <w:divBdr>
        <w:top w:val="none" w:sz="0" w:space="0" w:color="auto"/>
        <w:left w:val="none" w:sz="0" w:space="0" w:color="auto"/>
        <w:bottom w:val="none" w:sz="0" w:space="0" w:color="auto"/>
        <w:right w:val="none" w:sz="0" w:space="0" w:color="auto"/>
      </w:divBdr>
    </w:div>
    <w:div w:id="1650984559">
      <w:bodyDiv w:val="1"/>
      <w:marLeft w:val="0"/>
      <w:marRight w:val="0"/>
      <w:marTop w:val="0"/>
      <w:marBottom w:val="0"/>
      <w:divBdr>
        <w:top w:val="none" w:sz="0" w:space="0" w:color="auto"/>
        <w:left w:val="none" w:sz="0" w:space="0" w:color="auto"/>
        <w:bottom w:val="none" w:sz="0" w:space="0" w:color="auto"/>
        <w:right w:val="none" w:sz="0" w:space="0" w:color="auto"/>
      </w:divBdr>
    </w:div>
    <w:div w:id="1653480938">
      <w:bodyDiv w:val="1"/>
      <w:marLeft w:val="0"/>
      <w:marRight w:val="0"/>
      <w:marTop w:val="0"/>
      <w:marBottom w:val="0"/>
      <w:divBdr>
        <w:top w:val="none" w:sz="0" w:space="0" w:color="auto"/>
        <w:left w:val="none" w:sz="0" w:space="0" w:color="auto"/>
        <w:bottom w:val="none" w:sz="0" w:space="0" w:color="auto"/>
        <w:right w:val="none" w:sz="0" w:space="0" w:color="auto"/>
      </w:divBdr>
    </w:div>
    <w:div w:id="1653482359">
      <w:bodyDiv w:val="1"/>
      <w:marLeft w:val="0"/>
      <w:marRight w:val="0"/>
      <w:marTop w:val="0"/>
      <w:marBottom w:val="0"/>
      <w:divBdr>
        <w:top w:val="none" w:sz="0" w:space="0" w:color="auto"/>
        <w:left w:val="none" w:sz="0" w:space="0" w:color="auto"/>
        <w:bottom w:val="none" w:sz="0" w:space="0" w:color="auto"/>
        <w:right w:val="none" w:sz="0" w:space="0" w:color="auto"/>
      </w:divBdr>
    </w:div>
    <w:div w:id="1653676178">
      <w:bodyDiv w:val="1"/>
      <w:marLeft w:val="0"/>
      <w:marRight w:val="0"/>
      <w:marTop w:val="0"/>
      <w:marBottom w:val="0"/>
      <w:divBdr>
        <w:top w:val="none" w:sz="0" w:space="0" w:color="auto"/>
        <w:left w:val="none" w:sz="0" w:space="0" w:color="auto"/>
        <w:bottom w:val="none" w:sz="0" w:space="0" w:color="auto"/>
        <w:right w:val="none" w:sz="0" w:space="0" w:color="auto"/>
      </w:divBdr>
    </w:div>
    <w:div w:id="1653749906">
      <w:bodyDiv w:val="1"/>
      <w:marLeft w:val="0"/>
      <w:marRight w:val="0"/>
      <w:marTop w:val="0"/>
      <w:marBottom w:val="0"/>
      <w:divBdr>
        <w:top w:val="none" w:sz="0" w:space="0" w:color="auto"/>
        <w:left w:val="none" w:sz="0" w:space="0" w:color="auto"/>
        <w:bottom w:val="none" w:sz="0" w:space="0" w:color="auto"/>
        <w:right w:val="none" w:sz="0" w:space="0" w:color="auto"/>
      </w:divBdr>
    </w:div>
    <w:div w:id="1654335625">
      <w:bodyDiv w:val="1"/>
      <w:marLeft w:val="0"/>
      <w:marRight w:val="0"/>
      <w:marTop w:val="0"/>
      <w:marBottom w:val="0"/>
      <w:divBdr>
        <w:top w:val="none" w:sz="0" w:space="0" w:color="auto"/>
        <w:left w:val="none" w:sz="0" w:space="0" w:color="auto"/>
        <w:bottom w:val="none" w:sz="0" w:space="0" w:color="auto"/>
        <w:right w:val="none" w:sz="0" w:space="0" w:color="auto"/>
      </w:divBdr>
    </w:div>
    <w:div w:id="1654916546">
      <w:bodyDiv w:val="1"/>
      <w:marLeft w:val="0"/>
      <w:marRight w:val="0"/>
      <w:marTop w:val="0"/>
      <w:marBottom w:val="0"/>
      <w:divBdr>
        <w:top w:val="none" w:sz="0" w:space="0" w:color="auto"/>
        <w:left w:val="none" w:sz="0" w:space="0" w:color="auto"/>
        <w:bottom w:val="none" w:sz="0" w:space="0" w:color="auto"/>
        <w:right w:val="none" w:sz="0" w:space="0" w:color="auto"/>
      </w:divBdr>
    </w:div>
    <w:div w:id="1655526784">
      <w:bodyDiv w:val="1"/>
      <w:marLeft w:val="0"/>
      <w:marRight w:val="0"/>
      <w:marTop w:val="0"/>
      <w:marBottom w:val="0"/>
      <w:divBdr>
        <w:top w:val="none" w:sz="0" w:space="0" w:color="auto"/>
        <w:left w:val="none" w:sz="0" w:space="0" w:color="auto"/>
        <w:bottom w:val="none" w:sz="0" w:space="0" w:color="auto"/>
        <w:right w:val="none" w:sz="0" w:space="0" w:color="auto"/>
      </w:divBdr>
    </w:div>
    <w:div w:id="1656373197">
      <w:bodyDiv w:val="1"/>
      <w:marLeft w:val="0"/>
      <w:marRight w:val="0"/>
      <w:marTop w:val="0"/>
      <w:marBottom w:val="0"/>
      <w:divBdr>
        <w:top w:val="none" w:sz="0" w:space="0" w:color="auto"/>
        <w:left w:val="none" w:sz="0" w:space="0" w:color="auto"/>
        <w:bottom w:val="none" w:sz="0" w:space="0" w:color="auto"/>
        <w:right w:val="none" w:sz="0" w:space="0" w:color="auto"/>
      </w:divBdr>
    </w:div>
    <w:div w:id="1659336726">
      <w:bodyDiv w:val="1"/>
      <w:marLeft w:val="0"/>
      <w:marRight w:val="0"/>
      <w:marTop w:val="0"/>
      <w:marBottom w:val="0"/>
      <w:divBdr>
        <w:top w:val="none" w:sz="0" w:space="0" w:color="auto"/>
        <w:left w:val="none" w:sz="0" w:space="0" w:color="auto"/>
        <w:bottom w:val="none" w:sz="0" w:space="0" w:color="auto"/>
        <w:right w:val="none" w:sz="0" w:space="0" w:color="auto"/>
      </w:divBdr>
    </w:div>
    <w:div w:id="1660572304">
      <w:bodyDiv w:val="1"/>
      <w:marLeft w:val="0"/>
      <w:marRight w:val="0"/>
      <w:marTop w:val="0"/>
      <w:marBottom w:val="0"/>
      <w:divBdr>
        <w:top w:val="none" w:sz="0" w:space="0" w:color="auto"/>
        <w:left w:val="none" w:sz="0" w:space="0" w:color="auto"/>
        <w:bottom w:val="none" w:sz="0" w:space="0" w:color="auto"/>
        <w:right w:val="none" w:sz="0" w:space="0" w:color="auto"/>
      </w:divBdr>
    </w:div>
    <w:div w:id="1662655904">
      <w:bodyDiv w:val="1"/>
      <w:marLeft w:val="0"/>
      <w:marRight w:val="0"/>
      <w:marTop w:val="0"/>
      <w:marBottom w:val="0"/>
      <w:divBdr>
        <w:top w:val="none" w:sz="0" w:space="0" w:color="auto"/>
        <w:left w:val="none" w:sz="0" w:space="0" w:color="auto"/>
        <w:bottom w:val="none" w:sz="0" w:space="0" w:color="auto"/>
        <w:right w:val="none" w:sz="0" w:space="0" w:color="auto"/>
      </w:divBdr>
    </w:div>
    <w:div w:id="1663849573">
      <w:bodyDiv w:val="1"/>
      <w:marLeft w:val="0"/>
      <w:marRight w:val="0"/>
      <w:marTop w:val="0"/>
      <w:marBottom w:val="0"/>
      <w:divBdr>
        <w:top w:val="none" w:sz="0" w:space="0" w:color="auto"/>
        <w:left w:val="none" w:sz="0" w:space="0" w:color="auto"/>
        <w:bottom w:val="none" w:sz="0" w:space="0" w:color="auto"/>
        <w:right w:val="none" w:sz="0" w:space="0" w:color="auto"/>
      </w:divBdr>
    </w:div>
    <w:div w:id="1664042842">
      <w:bodyDiv w:val="1"/>
      <w:marLeft w:val="0"/>
      <w:marRight w:val="0"/>
      <w:marTop w:val="0"/>
      <w:marBottom w:val="0"/>
      <w:divBdr>
        <w:top w:val="none" w:sz="0" w:space="0" w:color="auto"/>
        <w:left w:val="none" w:sz="0" w:space="0" w:color="auto"/>
        <w:bottom w:val="none" w:sz="0" w:space="0" w:color="auto"/>
        <w:right w:val="none" w:sz="0" w:space="0" w:color="auto"/>
      </w:divBdr>
    </w:div>
    <w:div w:id="1666860097">
      <w:bodyDiv w:val="1"/>
      <w:marLeft w:val="0"/>
      <w:marRight w:val="0"/>
      <w:marTop w:val="0"/>
      <w:marBottom w:val="0"/>
      <w:divBdr>
        <w:top w:val="none" w:sz="0" w:space="0" w:color="auto"/>
        <w:left w:val="none" w:sz="0" w:space="0" w:color="auto"/>
        <w:bottom w:val="none" w:sz="0" w:space="0" w:color="auto"/>
        <w:right w:val="none" w:sz="0" w:space="0" w:color="auto"/>
      </w:divBdr>
    </w:div>
    <w:div w:id="1667170846">
      <w:bodyDiv w:val="1"/>
      <w:marLeft w:val="0"/>
      <w:marRight w:val="0"/>
      <w:marTop w:val="0"/>
      <w:marBottom w:val="0"/>
      <w:divBdr>
        <w:top w:val="none" w:sz="0" w:space="0" w:color="auto"/>
        <w:left w:val="none" w:sz="0" w:space="0" w:color="auto"/>
        <w:bottom w:val="none" w:sz="0" w:space="0" w:color="auto"/>
        <w:right w:val="none" w:sz="0" w:space="0" w:color="auto"/>
      </w:divBdr>
    </w:div>
    <w:div w:id="1667395309">
      <w:bodyDiv w:val="1"/>
      <w:marLeft w:val="0"/>
      <w:marRight w:val="0"/>
      <w:marTop w:val="0"/>
      <w:marBottom w:val="0"/>
      <w:divBdr>
        <w:top w:val="none" w:sz="0" w:space="0" w:color="auto"/>
        <w:left w:val="none" w:sz="0" w:space="0" w:color="auto"/>
        <w:bottom w:val="none" w:sz="0" w:space="0" w:color="auto"/>
        <w:right w:val="none" w:sz="0" w:space="0" w:color="auto"/>
      </w:divBdr>
    </w:div>
    <w:div w:id="1669014251">
      <w:bodyDiv w:val="1"/>
      <w:marLeft w:val="0"/>
      <w:marRight w:val="0"/>
      <w:marTop w:val="0"/>
      <w:marBottom w:val="0"/>
      <w:divBdr>
        <w:top w:val="none" w:sz="0" w:space="0" w:color="auto"/>
        <w:left w:val="none" w:sz="0" w:space="0" w:color="auto"/>
        <w:bottom w:val="none" w:sz="0" w:space="0" w:color="auto"/>
        <w:right w:val="none" w:sz="0" w:space="0" w:color="auto"/>
      </w:divBdr>
    </w:div>
    <w:div w:id="1669940518">
      <w:bodyDiv w:val="1"/>
      <w:marLeft w:val="0"/>
      <w:marRight w:val="0"/>
      <w:marTop w:val="0"/>
      <w:marBottom w:val="0"/>
      <w:divBdr>
        <w:top w:val="none" w:sz="0" w:space="0" w:color="auto"/>
        <w:left w:val="none" w:sz="0" w:space="0" w:color="auto"/>
        <w:bottom w:val="none" w:sz="0" w:space="0" w:color="auto"/>
        <w:right w:val="none" w:sz="0" w:space="0" w:color="auto"/>
      </w:divBdr>
    </w:div>
    <w:div w:id="1672103623">
      <w:bodyDiv w:val="1"/>
      <w:marLeft w:val="0"/>
      <w:marRight w:val="0"/>
      <w:marTop w:val="0"/>
      <w:marBottom w:val="0"/>
      <w:divBdr>
        <w:top w:val="none" w:sz="0" w:space="0" w:color="auto"/>
        <w:left w:val="none" w:sz="0" w:space="0" w:color="auto"/>
        <w:bottom w:val="none" w:sz="0" w:space="0" w:color="auto"/>
        <w:right w:val="none" w:sz="0" w:space="0" w:color="auto"/>
      </w:divBdr>
    </w:div>
    <w:div w:id="1672681104">
      <w:bodyDiv w:val="1"/>
      <w:marLeft w:val="0"/>
      <w:marRight w:val="0"/>
      <w:marTop w:val="0"/>
      <w:marBottom w:val="0"/>
      <w:divBdr>
        <w:top w:val="none" w:sz="0" w:space="0" w:color="auto"/>
        <w:left w:val="none" w:sz="0" w:space="0" w:color="auto"/>
        <w:bottom w:val="none" w:sz="0" w:space="0" w:color="auto"/>
        <w:right w:val="none" w:sz="0" w:space="0" w:color="auto"/>
      </w:divBdr>
    </w:div>
    <w:div w:id="1673138133">
      <w:bodyDiv w:val="1"/>
      <w:marLeft w:val="0"/>
      <w:marRight w:val="0"/>
      <w:marTop w:val="0"/>
      <w:marBottom w:val="0"/>
      <w:divBdr>
        <w:top w:val="none" w:sz="0" w:space="0" w:color="auto"/>
        <w:left w:val="none" w:sz="0" w:space="0" w:color="auto"/>
        <w:bottom w:val="none" w:sz="0" w:space="0" w:color="auto"/>
        <w:right w:val="none" w:sz="0" w:space="0" w:color="auto"/>
      </w:divBdr>
    </w:div>
    <w:div w:id="1673293158">
      <w:bodyDiv w:val="1"/>
      <w:marLeft w:val="0"/>
      <w:marRight w:val="0"/>
      <w:marTop w:val="0"/>
      <w:marBottom w:val="0"/>
      <w:divBdr>
        <w:top w:val="none" w:sz="0" w:space="0" w:color="auto"/>
        <w:left w:val="none" w:sz="0" w:space="0" w:color="auto"/>
        <w:bottom w:val="none" w:sz="0" w:space="0" w:color="auto"/>
        <w:right w:val="none" w:sz="0" w:space="0" w:color="auto"/>
      </w:divBdr>
    </w:div>
    <w:div w:id="1675301761">
      <w:bodyDiv w:val="1"/>
      <w:marLeft w:val="0"/>
      <w:marRight w:val="0"/>
      <w:marTop w:val="0"/>
      <w:marBottom w:val="0"/>
      <w:divBdr>
        <w:top w:val="none" w:sz="0" w:space="0" w:color="auto"/>
        <w:left w:val="none" w:sz="0" w:space="0" w:color="auto"/>
        <w:bottom w:val="none" w:sz="0" w:space="0" w:color="auto"/>
        <w:right w:val="none" w:sz="0" w:space="0" w:color="auto"/>
      </w:divBdr>
    </w:div>
    <w:div w:id="1675379601">
      <w:bodyDiv w:val="1"/>
      <w:marLeft w:val="0"/>
      <w:marRight w:val="0"/>
      <w:marTop w:val="0"/>
      <w:marBottom w:val="0"/>
      <w:divBdr>
        <w:top w:val="none" w:sz="0" w:space="0" w:color="auto"/>
        <w:left w:val="none" w:sz="0" w:space="0" w:color="auto"/>
        <w:bottom w:val="none" w:sz="0" w:space="0" w:color="auto"/>
        <w:right w:val="none" w:sz="0" w:space="0" w:color="auto"/>
      </w:divBdr>
    </w:div>
    <w:div w:id="1675957837">
      <w:bodyDiv w:val="1"/>
      <w:marLeft w:val="0"/>
      <w:marRight w:val="0"/>
      <w:marTop w:val="0"/>
      <w:marBottom w:val="0"/>
      <w:divBdr>
        <w:top w:val="none" w:sz="0" w:space="0" w:color="auto"/>
        <w:left w:val="none" w:sz="0" w:space="0" w:color="auto"/>
        <w:bottom w:val="none" w:sz="0" w:space="0" w:color="auto"/>
        <w:right w:val="none" w:sz="0" w:space="0" w:color="auto"/>
      </w:divBdr>
    </w:div>
    <w:div w:id="1678580821">
      <w:bodyDiv w:val="1"/>
      <w:marLeft w:val="0"/>
      <w:marRight w:val="0"/>
      <w:marTop w:val="0"/>
      <w:marBottom w:val="0"/>
      <w:divBdr>
        <w:top w:val="none" w:sz="0" w:space="0" w:color="auto"/>
        <w:left w:val="none" w:sz="0" w:space="0" w:color="auto"/>
        <w:bottom w:val="none" w:sz="0" w:space="0" w:color="auto"/>
        <w:right w:val="none" w:sz="0" w:space="0" w:color="auto"/>
      </w:divBdr>
    </w:div>
    <w:div w:id="1678924620">
      <w:bodyDiv w:val="1"/>
      <w:marLeft w:val="0"/>
      <w:marRight w:val="0"/>
      <w:marTop w:val="0"/>
      <w:marBottom w:val="0"/>
      <w:divBdr>
        <w:top w:val="none" w:sz="0" w:space="0" w:color="auto"/>
        <w:left w:val="none" w:sz="0" w:space="0" w:color="auto"/>
        <w:bottom w:val="none" w:sz="0" w:space="0" w:color="auto"/>
        <w:right w:val="none" w:sz="0" w:space="0" w:color="auto"/>
      </w:divBdr>
    </w:div>
    <w:div w:id="1679187688">
      <w:bodyDiv w:val="1"/>
      <w:marLeft w:val="0"/>
      <w:marRight w:val="0"/>
      <w:marTop w:val="0"/>
      <w:marBottom w:val="0"/>
      <w:divBdr>
        <w:top w:val="none" w:sz="0" w:space="0" w:color="auto"/>
        <w:left w:val="none" w:sz="0" w:space="0" w:color="auto"/>
        <w:bottom w:val="none" w:sz="0" w:space="0" w:color="auto"/>
        <w:right w:val="none" w:sz="0" w:space="0" w:color="auto"/>
      </w:divBdr>
    </w:div>
    <w:div w:id="1680504964">
      <w:bodyDiv w:val="1"/>
      <w:marLeft w:val="0"/>
      <w:marRight w:val="0"/>
      <w:marTop w:val="0"/>
      <w:marBottom w:val="0"/>
      <w:divBdr>
        <w:top w:val="none" w:sz="0" w:space="0" w:color="auto"/>
        <w:left w:val="none" w:sz="0" w:space="0" w:color="auto"/>
        <w:bottom w:val="none" w:sz="0" w:space="0" w:color="auto"/>
        <w:right w:val="none" w:sz="0" w:space="0" w:color="auto"/>
      </w:divBdr>
    </w:div>
    <w:div w:id="1681004473">
      <w:bodyDiv w:val="1"/>
      <w:marLeft w:val="0"/>
      <w:marRight w:val="0"/>
      <w:marTop w:val="0"/>
      <w:marBottom w:val="0"/>
      <w:divBdr>
        <w:top w:val="none" w:sz="0" w:space="0" w:color="auto"/>
        <w:left w:val="none" w:sz="0" w:space="0" w:color="auto"/>
        <w:bottom w:val="none" w:sz="0" w:space="0" w:color="auto"/>
        <w:right w:val="none" w:sz="0" w:space="0" w:color="auto"/>
      </w:divBdr>
    </w:div>
    <w:div w:id="1683120807">
      <w:bodyDiv w:val="1"/>
      <w:marLeft w:val="0"/>
      <w:marRight w:val="0"/>
      <w:marTop w:val="0"/>
      <w:marBottom w:val="0"/>
      <w:divBdr>
        <w:top w:val="none" w:sz="0" w:space="0" w:color="auto"/>
        <w:left w:val="none" w:sz="0" w:space="0" w:color="auto"/>
        <w:bottom w:val="none" w:sz="0" w:space="0" w:color="auto"/>
        <w:right w:val="none" w:sz="0" w:space="0" w:color="auto"/>
      </w:divBdr>
    </w:div>
    <w:div w:id="1684428356">
      <w:bodyDiv w:val="1"/>
      <w:marLeft w:val="0"/>
      <w:marRight w:val="0"/>
      <w:marTop w:val="0"/>
      <w:marBottom w:val="0"/>
      <w:divBdr>
        <w:top w:val="none" w:sz="0" w:space="0" w:color="auto"/>
        <w:left w:val="none" w:sz="0" w:space="0" w:color="auto"/>
        <w:bottom w:val="none" w:sz="0" w:space="0" w:color="auto"/>
        <w:right w:val="none" w:sz="0" w:space="0" w:color="auto"/>
      </w:divBdr>
    </w:div>
    <w:div w:id="1684742152">
      <w:bodyDiv w:val="1"/>
      <w:marLeft w:val="0"/>
      <w:marRight w:val="0"/>
      <w:marTop w:val="0"/>
      <w:marBottom w:val="0"/>
      <w:divBdr>
        <w:top w:val="none" w:sz="0" w:space="0" w:color="auto"/>
        <w:left w:val="none" w:sz="0" w:space="0" w:color="auto"/>
        <w:bottom w:val="none" w:sz="0" w:space="0" w:color="auto"/>
        <w:right w:val="none" w:sz="0" w:space="0" w:color="auto"/>
      </w:divBdr>
    </w:div>
    <w:div w:id="1685010675">
      <w:bodyDiv w:val="1"/>
      <w:marLeft w:val="0"/>
      <w:marRight w:val="0"/>
      <w:marTop w:val="0"/>
      <w:marBottom w:val="0"/>
      <w:divBdr>
        <w:top w:val="none" w:sz="0" w:space="0" w:color="auto"/>
        <w:left w:val="none" w:sz="0" w:space="0" w:color="auto"/>
        <w:bottom w:val="none" w:sz="0" w:space="0" w:color="auto"/>
        <w:right w:val="none" w:sz="0" w:space="0" w:color="auto"/>
      </w:divBdr>
    </w:div>
    <w:div w:id="1685859171">
      <w:bodyDiv w:val="1"/>
      <w:marLeft w:val="0"/>
      <w:marRight w:val="0"/>
      <w:marTop w:val="0"/>
      <w:marBottom w:val="0"/>
      <w:divBdr>
        <w:top w:val="none" w:sz="0" w:space="0" w:color="auto"/>
        <w:left w:val="none" w:sz="0" w:space="0" w:color="auto"/>
        <w:bottom w:val="none" w:sz="0" w:space="0" w:color="auto"/>
        <w:right w:val="none" w:sz="0" w:space="0" w:color="auto"/>
      </w:divBdr>
    </w:div>
    <w:div w:id="1687362065">
      <w:bodyDiv w:val="1"/>
      <w:marLeft w:val="0"/>
      <w:marRight w:val="0"/>
      <w:marTop w:val="0"/>
      <w:marBottom w:val="0"/>
      <w:divBdr>
        <w:top w:val="none" w:sz="0" w:space="0" w:color="auto"/>
        <w:left w:val="none" w:sz="0" w:space="0" w:color="auto"/>
        <w:bottom w:val="none" w:sz="0" w:space="0" w:color="auto"/>
        <w:right w:val="none" w:sz="0" w:space="0" w:color="auto"/>
      </w:divBdr>
    </w:div>
    <w:div w:id="1688629545">
      <w:bodyDiv w:val="1"/>
      <w:marLeft w:val="0"/>
      <w:marRight w:val="0"/>
      <w:marTop w:val="0"/>
      <w:marBottom w:val="0"/>
      <w:divBdr>
        <w:top w:val="none" w:sz="0" w:space="0" w:color="auto"/>
        <w:left w:val="none" w:sz="0" w:space="0" w:color="auto"/>
        <w:bottom w:val="none" w:sz="0" w:space="0" w:color="auto"/>
        <w:right w:val="none" w:sz="0" w:space="0" w:color="auto"/>
      </w:divBdr>
    </w:div>
    <w:div w:id="1688675599">
      <w:bodyDiv w:val="1"/>
      <w:marLeft w:val="0"/>
      <w:marRight w:val="0"/>
      <w:marTop w:val="0"/>
      <w:marBottom w:val="0"/>
      <w:divBdr>
        <w:top w:val="none" w:sz="0" w:space="0" w:color="auto"/>
        <w:left w:val="none" w:sz="0" w:space="0" w:color="auto"/>
        <w:bottom w:val="none" w:sz="0" w:space="0" w:color="auto"/>
        <w:right w:val="none" w:sz="0" w:space="0" w:color="auto"/>
      </w:divBdr>
    </w:div>
    <w:div w:id="1690250876">
      <w:bodyDiv w:val="1"/>
      <w:marLeft w:val="0"/>
      <w:marRight w:val="0"/>
      <w:marTop w:val="0"/>
      <w:marBottom w:val="0"/>
      <w:divBdr>
        <w:top w:val="none" w:sz="0" w:space="0" w:color="auto"/>
        <w:left w:val="none" w:sz="0" w:space="0" w:color="auto"/>
        <w:bottom w:val="none" w:sz="0" w:space="0" w:color="auto"/>
        <w:right w:val="none" w:sz="0" w:space="0" w:color="auto"/>
      </w:divBdr>
    </w:div>
    <w:div w:id="1692492877">
      <w:bodyDiv w:val="1"/>
      <w:marLeft w:val="0"/>
      <w:marRight w:val="0"/>
      <w:marTop w:val="0"/>
      <w:marBottom w:val="0"/>
      <w:divBdr>
        <w:top w:val="none" w:sz="0" w:space="0" w:color="auto"/>
        <w:left w:val="none" w:sz="0" w:space="0" w:color="auto"/>
        <w:bottom w:val="none" w:sz="0" w:space="0" w:color="auto"/>
        <w:right w:val="none" w:sz="0" w:space="0" w:color="auto"/>
      </w:divBdr>
    </w:div>
    <w:div w:id="1692952264">
      <w:bodyDiv w:val="1"/>
      <w:marLeft w:val="0"/>
      <w:marRight w:val="0"/>
      <w:marTop w:val="0"/>
      <w:marBottom w:val="0"/>
      <w:divBdr>
        <w:top w:val="none" w:sz="0" w:space="0" w:color="auto"/>
        <w:left w:val="none" w:sz="0" w:space="0" w:color="auto"/>
        <w:bottom w:val="none" w:sz="0" w:space="0" w:color="auto"/>
        <w:right w:val="none" w:sz="0" w:space="0" w:color="auto"/>
      </w:divBdr>
    </w:div>
    <w:div w:id="1693385714">
      <w:bodyDiv w:val="1"/>
      <w:marLeft w:val="0"/>
      <w:marRight w:val="0"/>
      <w:marTop w:val="0"/>
      <w:marBottom w:val="0"/>
      <w:divBdr>
        <w:top w:val="none" w:sz="0" w:space="0" w:color="auto"/>
        <w:left w:val="none" w:sz="0" w:space="0" w:color="auto"/>
        <w:bottom w:val="none" w:sz="0" w:space="0" w:color="auto"/>
        <w:right w:val="none" w:sz="0" w:space="0" w:color="auto"/>
      </w:divBdr>
    </w:div>
    <w:div w:id="1693527684">
      <w:bodyDiv w:val="1"/>
      <w:marLeft w:val="0"/>
      <w:marRight w:val="0"/>
      <w:marTop w:val="0"/>
      <w:marBottom w:val="0"/>
      <w:divBdr>
        <w:top w:val="none" w:sz="0" w:space="0" w:color="auto"/>
        <w:left w:val="none" w:sz="0" w:space="0" w:color="auto"/>
        <w:bottom w:val="none" w:sz="0" w:space="0" w:color="auto"/>
        <w:right w:val="none" w:sz="0" w:space="0" w:color="auto"/>
      </w:divBdr>
    </w:div>
    <w:div w:id="1693678292">
      <w:bodyDiv w:val="1"/>
      <w:marLeft w:val="0"/>
      <w:marRight w:val="0"/>
      <w:marTop w:val="0"/>
      <w:marBottom w:val="0"/>
      <w:divBdr>
        <w:top w:val="none" w:sz="0" w:space="0" w:color="auto"/>
        <w:left w:val="none" w:sz="0" w:space="0" w:color="auto"/>
        <w:bottom w:val="none" w:sz="0" w:space="0" w:color="auto"/>
        <w:right w:val="none" w:sz="0" w:space="0" w:color="auto"/>
      </w:divBdr>
    </w:div>
    <w:div w:id="1694040171">
      <w:bodyDiv w:val="1"/>
      <w:marLeft w:val="0"/>
      <w:marRight w:val="0"/>
      <w:marTop w:val="0"/>
      <w:marBottom w:val="0"/>
      <w:divBdr>
        <w:top w:val="none" w:sz="0" w:space="0" w:color="auto"/>
        <w:left w:val="none" w:sz="0" w:space="0" w:color="auto"/>
        <w:bottom w:val="none" w:sz="0" w:space="0" w:color="auto"/>
        <w:right w:val="none" w:sz="0" w:space="0" w:color="auto"/>
      </w:divBdr>
    </w:div>
    <w:div w:id="1694964794">
      <w:bodyDiv w:val="1"/>
      <w:marLeft w:val="0"/>
      <w:marRight w:val="0"/>
      <w:marTop w:val="0"/>
      <w:marBottom w:val="0"/>
      <w:divBdr>
        <w:top w:val="none" w:sz="0" w:space="0" w:color="auto"/>
        <w:left w:val="none" w:sz="0" w:space="0" w:color="auto"/>
        <w:bottom w:val="none" w:sz="0" w:space="0" w:color="auto"/>
        <w:right w:val="none" w:sz="0" w:space="0" w:color="auto"/>
      </w:divBdr>
    </w:div>
    <w:div w:id="1695304389">
      <w:bodyDiv w:val="1"/>
      <w:marLeft w:val="0"/>
      <w:marRight w:val="0"/>
      <w:marTop w:val="0"/>
      <w:marBottom w:val="0"/>
      <w:divBdr>
        <w:top w:val="none" w:sz="0" w:space="0" w:color="auto"/>
        <w:left w:val="none" w:sz="0" w:space="0" w:color="auto"/>
        <w:bottom w:val="none" w:sz="0" w:space="0" w:color="auto"/>
        <w:right w:val="none" w:sz="0" w:space="0" w:color="auto"/>
      </w:divBdr>
    </w:div>
    <w:div w:id="1696032911">
      <w:bodyDiv w:val="1"/>
      <w:marLeft w:val="0"/>
      <w:marRight w:val="0"/>
      <w:marTop w:val="0"/>
      <w:marBottom w:val="0"/>
      <w:divBdr>
        <w:top w:val="none" w:sz="0" w:space="0" w:color="auto"/>
        <w:left w:val="none" w:sz="0" w:space="0" w:color="auto"/>
        <w:bottom w:val="none" w:sz="0" w:space="0" w:color="auto"/>
        <w:right w:val="none" w:sz="0" w:space="0" w:color="auto"/>
      </w:divBdr>
    </w:div>
    <w:div w:id="1696881351">
      <w:bodyDiv w:val="1"/>
      <w:marLeft w:val="0"/>
      <w:marRight w:val="0"/>
      <w:marTop w:val="0"/>
      <w:marBottom w:val="0"/>
      <w:divBdr>
        <w:top w:val="none" w:sz="0" w:space="0" w:color="auto"/>
        <w:left w:val="none" w:sz="0" w:space="0" w:color="auto"/>
        <w:bottom w:val="none" w:sz="0" w:space="0" w:color="auto"/>
        <w:right w:val="none" w:sz="0" w:space="0" w:color="auto"/>
      </w:divBdr>
    </w:div>
    <w:div w:id="1696882060">
      <w:bodyDiv w:val="1"/>
      <w:marLeft w:val="0"/>
      <w:marRight w:val="0"/>
      <w:marTop w:val="0"/>
      <w:marBottom w:val="0"/>
      <w:divBdr>
        <w:top w:val="none" w:sz="0" w:space="0" w:color="auto"/>
        <w:left w:val="none" w:sz="0" w:space="0" w:color="auto"/>
        <w:bottom w:val="none" w:sz="0" w:space="0" w:color="auto"/>
        <w:right w:val="none" w:sz="0" w:space="0" w:color="auto"/>
      </w:divBdr>
    </w:div>
    <w:div w:id="1697659486">
      <w:bodyDiv w:val="1"/>
      <w:marLeft w:val="0"/>
      <w:marRight w:val="0"/>
      <w:marTop w:val="0"/>
      <w:marBottom w:val="0"/>
      <w:divBdr>
        <w:top w:val="none" w:sz="0" w:space="0" w:color="auto"/>
        <w:left w:val="none" w:sz="0" w:space="0" w:color="auto"/>
        <w:bottom w:val="none" w:sz="0" w:space="0" w:color="auto"/>
        <w:right w:val="none" w:sz="0" w:space="0" w:color="auto"/>
      </w:divBdr>
    </w:div>
    <w:div w:id="1698508221">
      <w:bodyDiv w:val="1"/>
      <w:marLeft w:val="0"/>
      <w:marRight w:val="0"/>
      <w:marTop w:val="0"/>
      <w:marBottom w:val="0"/>
      <w:divBdr>
        <w:top w:val="none" w:sz="0" w:space="0" w:color="auto"/>
        <w:left w:val="none" w:sz="0" w:space="0" w:color="auto"/>
        <w:bottom w:val="none" w:sz="0" w:space="0" w:color="auto"/>
        <w:right w:val="none" w:sz="0" w:space="0" w:color="auto"/>
      </w:divBdr>
    </w:div>
    <w:div w:id="1700206729">
      <w:bodyDiv w:val="1"/>
      <w:marLeft w:val="0"/>
      <w:marRight w:val="0"/>
      <w:marTop w:val="0"/>
      <w:marBottom w:val="0"/>
      <w:divBdr>
        <w:top w:val="none" w:sz="0" w:space="0" w:color="auto"/>
        <w:left w:val="none" w:sz="0" w:space="0" w:color="auto"/>
        <w:bottom w:val="none" w:sz="0" w:space="0" w:color="auto"/>
        <w:right w:val="none" w:sz="0" w:space="0" w:color="auto"/>
      </w:divBdr>
    </w:div>
    <w:div w:id="1700862037">
      <w:bodyDiv w:val="1"/>
      <w:marLeft w:val="0"/>
      <w:marRight w:val="0"/>
      <w:marTop w:val="0"/>
      <w:marBottom w:val="0"/>
      <w:divBdr>
        <w:top w:val="none" w:sz="0" w:space="0" w:color="auto"/>
        <w:left w:val="none" w:sz="0" w:space="0" w:color="auto"/>
        <w:bottom w:val="none" w:sz="0" w:space="0" w:color="auto"/>
        <w:right w:val="none" w:sz="0" w:space="0" w:color="auto"/>
      </w:divBdr>
    </w:div>
    <w:div w:id="1702441625">
      <w:bodyDiv w:val="1"/>
      <w:marLeft w:val="0"/>
      <w:marRight w:val="0"/>
      <w:marTop w:val="0"/>
      <w:marBottom w:val="0"/>
      <w:divBdr>
        <w:top w:val="none" w:sz="0" w:space="0" w:color="auto"/>
        <w:left w:val="none" w:sz="0" w:space="0" w:color="auto"/>
        <w:bottom w:val="none" w:sz="0" w:space="0" w:color="auto"/>
        <w:right w:val="none" w:sz="0" w:space="0" w:color="auto"/>
      </w:divBdr>
    </w:div>
    <w:div w:id="1702701158">
      <w:bodyDiv w:val="1"/>
      <w:marLeft w:val="0"/>
      <w:marRight w:val="0"/>
      <w:marTop w:val="0"/>
      <w:marBottom w:val="0"/>
      <w:divBdr>
        <w:top w:val="none" w:sz="0" w:space="0" w:color="auto"/>
        <w:left w:val="none" w:sz="0" w:space="0" w:color="auto"/>
        <w:bottom w:val="none" w:sz="0" w:space="0" w:color="auto"/>
        <w:right w:val="none" w:sz="0" w:space="0" w:color="auto"/>
      </w:divBdr>
    </w:div>
    <w:div w:id="1703943864">
      <w:bodyDiv w:val="1"/>
      <w:marLeft w:val="0"/>
      <w:marRight w:val="0"/>
      <w:marTop w:val="0"/>
      <w:marBottom w:val="0"/>
      <w:divBdr>
        <w:top w:val="none" w:sz="0" w:space="0" w:color="auto"/>
        <w:left w:val="none" w:sz="0" w:space="0" w:color="auto"/>
        <w:bottom w:val="none" w:sz="0" w:space="0" w:color="auto"/>
        <w:right w:val="none" w:sz="0" w:space="0" w:color="auto"/>
      </w:divBdr>
    </w:div>
    <w:div w:id="1704747412">
      <w:bodyDiv w:val="1"/>
      <w:marLeft w:val="0"/>
      <w:marRight w:val="0"/>
      <w:marTop w:val="0"/>
      <w:marBottom w:val="0"/>
      <w:divBdr>
        <w:top w:val="none" w:sz="0" w:space="0" w:color="auto"/>
        <w:left w:val="none" w:sz="0" w:space="0" w:color="auto"/>
        <w:bottom w:val="none" w:sz="0" w:space="0" w:color="auto"/>
        <w:right w:val="none" w:sz="0" w:space="0" w:color="auto"/>
      </w:divBdr>
    </w:div>
    <w:div w:id="1705711851">
      <w:bodyDiv w:val="1"/>
      <w:marLeft w:val="0"/>
      <w:marRight w:val="0"/>
      <w:marTop w:val="0"/>
      <w:marBottom w:val="0"/>
      <w:divBdr>
        <w:top w:val="none" w:sz="0" w:space="0" w:color="auto"/>
        <w:left w:val="none" w:sz="0" w:space="0" w:color="auto"/>
        <w:bottom w:val="none" w:sz="0" w:space="0" w:color="auto"/>
        <w:right w:val="none" w:sz="0" w:space="0" w:color="auto"/>
      </w:divBdr>
    </w:div>
    <w:div w:id="1706516088">
      <w:bodyDiv w:val="1"/>
      <w:marLeft w:val="0"/>
      <w:marRight w:val="0"/>
      <w:marTop w:val="0"/>
      <w:marBottom w:val="0"/>
      <w:divBdr>
        <w:top w:val="none" w:sz="0" w:space="0" w:color="auto"/>
        <w:left w:val="none" w:sz="0" w:space="0" w:color="auto"/>
        <w:bottom w:val="none" w:sz="0" w:space="0" w:color="auto"/>
        <w:right w:val="none" w:sz="0" w:space="0" w:color="auto"/>
      </w:divBdr>
    </w:div>
    <w:div w:id="1706976371">
      <w:bodyDiv w:val="1"/>
      <w:marLeft w:val="0"/>
      <w:marRight w:val="0"/>
      <w:marTop w:val="0"/>
      <w:marBottom w:val="0"/>
      <w:divBdr>
        <w:top w:val="none" w:sz="0" w:space="0" w:color="auto"/>
        <w:left w:val="none" w:sz="0" w:space="0" w:color="auto"/>
        <w:bottom w:val="none" w:sz="0" w:space="0" w:color="auto"/>
        <w:right w:val="none" w:sz="0" w:space="0" w:color="auto"/>
      </w:divBdr>
    </w:div>
    <w:div w:id="1707363964">
      <w:bodyDiv w:val="1"/>
      <w:marLeft w:val="0"/>
      <w:marRight w:val="0"/>
      <w:marTop w:val="0"/>
      <w:marBottom w:val="0"/>
      <w:divBdr>
        <w:top w:val="none" w:sz="0" w:space="0" w:color="auto"/>
        <w:left w:val="none" w:sz="0" w:space="0" w:color="auto"/>
        <w:bottom w:val="none" w:sz="0" w:space="0" w:color="auto"/>
        <w:right w:val="none" w:sz="0" w:space="0" w:color="auto"/>
      </w:divBdr>
    </w:div>
    <w:div w:id="1708094306">
      <w:bodyDiv w:val="1"/>
      <w:marLeft w:val="0"/>
      <w:marRight w:val="0"/>
      <w:marTop w:val="0"/>
      <w:marBottom w:val="0"/>
      <w:divBdr>
        <w:top w:val="none" w:sz="0" w:space="0" w:color="auto"/>
        <w:left w:val="none" w:sz="0" w:space="0" w:color="auto"/>
        <w:bottom w:val="none" w:sz="0" w:space="0" w:color="auto"/>
        <w:right w:val="none" w:sz="0" w:space="0" w:color="auto"/>
      </w:divBdr>
    </w:div>
    <w:div w:id="1709331132">
      <w:bodyDiv w:val="1"/>
      <w:marLeft w:val="0"/>
      <w:marRight w:val="0"/>
      <w:marTop w:val="0"/>
      <w:marBottom w:val="0"/>
      <w:divBdr>
        <w:top w:val="none" w:sz="0" w:space="0" w:color="auto"/>
        <w:left w:val="none" w:sz="0" w:space="0" w:color="auto"/>
        <w:bottom w:val="none" w:sz="0" w:space="0" w:color="auto"/>
        <w:right w:val="none" w:sz="0" w:space="0" w:color="auto"/>
      </w:divBdr>
    </w:div>
    <w:div w:id="1709523326">
      <w:bodyDiv w:val="1"/>
      <w:marLeft w:val="0"/>
      <w:marRight w:val="0"/>
      <w:marTop w:val="0"/>
      <w:marBottom w:val="0"/>
      <w:divBdr>
        <w:top w:val="none" w:sz="0" w:space="0" w:color="auto"/>
        <w:left w:val="none" w:sz="0" w:space="0" w:color="auto"/>
        <w:bottom w:val="none" w:sz="0" w:space="0" w:color="auto"/>
        <w:right w:val="none" w:sz="0" w:space="0" w:color="auto"/>
      </w:divBdr>
    </w:div>
    <w:div w:id="1710717101">
      <w:bodyDiv w:val="1"/>
      <w:marLeft w:val="0"/>
      <w:marRight w:val="0"/>
      <w:marTop w:val="0"/>
      <w:marBottom w:val="0"/>
      <w:divBdr>
        <w:top w:val="none" w:sz="0" w:space="0" w:color="auto"/>
        <w:left w:val="none" w:sz="0" w:space="0" w:color="auto"/>
        <w:bottom w:val="none" w:sz="0" w:space="0" w:color="auto"/>
        <w:right w:val="none" w:sz="0" w:space="0" w:color="auto"/>
      </w:divBdr>
    </w:div>
    <w:div w:id="1710951860">
      <w:bodyDiv w:val="1"/>
      <w:marLeft w:val="0"/>
      <w:marRight w:val="0"/>
      <w:marTop w:val="0"/>
      <w:marBottom w:val="0"/>
      <w:divBdr>
        <w:top w:val="none" w:sz="0" w:space="0" w:color="auto"/>
        <w:left w:val="none" w:sz="0" w:space="0" w:color="auto"/>
        <w:bottom w:val="none" w:sz="0" w:space="0" w:color="auto"/>
        <w:right w:val="none" w:sz="0" w:space="0" w:color="auto"/>
      </w:divBdr>
    </w:div>
    <w:div w:id="1711496869">
      <w:bodyDiv w:val="1"/>
      <w:marLeft w:val="0"/>
      <w:marRight w:val="0"/>
      <w:marTop w:val="0"/>
      <w:marBottom w:val="0"/>
      <w:divBdr>
        <w:top w:val="none" w:sz="0" w:space="0" w:color="auto"/>
        <w:left w:val="none" w:sz="0" w:space="0" w:color="auto"/>
        <w:bottom w:val="none" w:sz="0" w:space="0" w:color="auto"/>
        <w:right w:val="none" w:sz="0" w:space="0" w:color="auto"/>
      </w:divBdr>
    </w:div>
    <w:div w:id="1712218972">
      <w:bodyDiv w:val="1"/>
      <w:marLeft w:val="0"/>
      <w:marRight w:val="0"/>
      <w:marTop w:val="0"/>
      <w:marBottom w:val="0"/>
      <w:divBdr>
        <w:top w:val="none" w:sz="0" w:space="0" w:color="auto"/>
        <w:left w:val="none" w:sz="0" w:space="0" w:color="auto"/>
        <w:bottom w:val="none" w:sz="0" w:space="0" w:color="auto"/>
        <w:right w:val="none" w:sz="0" w:space="0" w:color="auto"/>
      </w:divBdr>
    </w:div>
    <w:div w:id="1712224999">
      <w:bodyDiv w:val="1"/>
      <w:marLeft w:val="0"/>
      <w:marRight w:val="0"/>
      <w:marTop w:val="0"/>
      <w:marBottom w:val="0"/>
      <w:divBdr>
        <w:top w:val="none" w:sz="0" w:space="0" w:color="auto"/>
        <w:left w:val="none" w:sz="0" w:space="0" w:color="auto"/>
        <w:bottom w:val="none" w:sz="0" w:space="0" w:color="auto"/>
        <w:right w:val="none" w:sz="0" w:space="0" w:color="auto"/>
      </w:divBdr>
    </w:div>
    <w:div w:id="1712607218">
      <w:bodyDiv w:val="1"/>
      <w:marLeft w:val="0"/>
      <w:marRight w:val="0"/>
      <w:marTop w:val="0"/>
      <w:marBottom w:val="0"/>
      <w:divBdr>
        <w:top w:val="none" w:sz="0" w:space="0" w:color="auto"/>
        <w:left w:val="none" w:sz="0" w:space="0" w:color="auto"/>
        <w:bottom w:val="none" w:sz="0" w:space="0" w:color="auto"/>
        <w:right w:val="none" w:sz="0" w:space="0" w:color="auto"/>
      </w:divBdr>
    </w:div>
    <w:div w:id="1713194278">
      <w:bodyDiv w:val="1"/>
      <w:marLeft w:val="0"/>
      <w:marRight w:val="0"/>
      <w:marTop w:val="0"/>
      <w:marBottom w:val="0"/>
      <w:divBdr>
        <w:top w:val="none" w:sz="0" w:space="0" w:color="auto"/>
        <w:left w:val="none" w:sz="0" w:space="0" w:color="auto"/>
        <w:bottom w:val="none" w:sz="0" w:space="0" w:color="auto"/>
        <w:right w:val="none" w:sz="0" w:space="0" w:color="auto"/>
      </w:divBdr>
    </w:div>
    <w:div w:id="1715344295">
      <w:bodyDiv w:val="1"/>
      <w:marLeft w:val="0"/>
      <w:marRight w:val="0"/>
      <w:marTop w:val="0"/>
      <w:marBottom w:val="0"/>
      <w:divBdr>
        <w:top w:val="none" w:sz="0" w:space="0" w:color="auto"/>
        <w:left w:val="none" w:sz="0" w:space="0" w:color="auto"/>
        <w:bottom w:val="none" w:sz="0" w:space="0" w:color="auto"/>
        <w:right w:val="none" w:sz="0" w:space="0" w:color="auto"/>
      </w:divBdr>
    </w:div>
    <w:div w:id="1716008950">
      <w:bodyDiv w:val="1"/>
      <w:marLeft w:val="0"/>
      <w:marRight w:val="0"/>
      <w:marTop w:val="0"/>
      <w:marBottom w:val="0"/>
      <w:divBdr>
        <w:top w:val="none" w:sz="0" w:space="0" w:color="auto"/>
        <w:left w:val="none" w:sz="0" w:space="0" w:color="auto"/>
        <w:bottom w:val="none" w:sz="0" w:space="0" w:color="auto"/>
        <w:right w:val="none" w:sz="0" w:space="0" w:color="auto"/>
      </w:divBdr>
    </w:div>
    <w:div w:id="1717192183">
      <w:bodyDiv w:val="1"/>
      <w:marLeft w:val="0"/>
      <w:marRight w:val="0"/>
      <w:marTop w:val="0"/>
      <w:marBottom w:val="0"/>
      <w:divBdr>
        <w:top w:val="none" w:sz="0" w:space="0" w:color="auto"/>
        <w:left w:val="none" w:sz="0" w:space="0" w:color="auto"/>
        <w:bottom w:val="none" w:sz="0" w:space="0" w:color="auto"/>
        <w:right w:val="none" w:sz="0" w:space="0" w:color="auto"/>
      </w:divBdr>
    </w:div>
    <w:div w:id="1718043759">
      <w:bodyDiv w:val="1"/>
      <w:marLeft w:val="0"/>
      <w:marRight w:val="0"/>
      <w:marTop w:val="0"/>
      <w:marBottom w:val="0"/>
      <w:divBdr>
        <w:top w:val="none" w:sz="0" w:space="0" w:color="auto"/>
        <w:left w:val="none" w:sz="0" w:space="0" w:color="auto"/>
        <w:bottom w:val="none" w:sz="0" w:space="0" w:color="auto"/>
        <w:right w:val="none" w:sz="0" w:space="0" w:color="auto"/>
      </w:divBdr>
    </w:div>
    <w:div w:id="1718505869">
      <w:bodyDiv w:val="1"/>
      <w:marLeft w:val="0"/>
      <w:marRight w:val="0"/>
      <w:marTop w:val="0"/>
      <w:marBottom w:val="0"/>
      <w:divBdr>
        <w:top w:val="none" w:sz="0" w:space="0" w:color="auto"/>
        <w:left w:val="none" w:sz="0" w:space="0" w:color="auto"/>
        <w:bottom w:val="none" w:sz="0" w:space="0" w:color="auto"/>
        <w:right w:val="none" w:sz="0" w:space="0" w:color="auto"/>
      </w:divBdr>
    </w:div>
    <w:div w:id="1720083907">
      <w:bodyDiv w:val="1"/>
      <w:marLeft w:val="0"/>
      <w:marRight w:val="0"/>
      <w:marTop w:val="0"/>
      <w:marBottom w:val="0"/>
      <w:divBdr>
        <w:top w:val="none" w:sz="0" w:space="0" w:color="auto"/>
        <w:left w:val="none" w:sz="0" w:space="0" w:color="auto"/>
        <w:bottom w:val="none" w:sz="0" w:space="0" w:color="auto"/>
        <w:right w:val="none" w:sz="0" w:space="0" w:color="auto"/>
      </w:divBdr>
    </w:div>
    <w:div w:id="1720784045">
      <w:bodyDiv w:val="1"/>
      <w:marLeft w:val="0"/>
      <w:marRight w:val="0"/>
      <w:marTop w:val="0"/>
      <w:marBottom w:val="0"/>
      <w:divBdr>
        <w:top w:val="none" w:sz="0" w:space="0" w:color="auto"/>
        <w:left w:val="none" w:sz="0" w:space="0" w:color="auto"/>
        <w:bottom w:val="none" w:sz="0" w:space="0" w:color="auto"/>
        <w:right w:val="none" w:sz="0" w:space="0" w:color="auto"/>
      </w:divBdr>
    </w:div>
    <w:div w:id="1722947907">
      <w:bodyDiv w:val="1"/>
      <w:marLeft w:val="0"/>
      <w:marRight w:val="0"/>
      <w:marTop w:val="0"/>
      <w:marBottom w:val="0"/>
      <w:divBdr>
        <w:top w:val="none" w:sz="0" w:space="0" w:color="auto"/>
        <w:left w:val="none" w:sz="0" w:space="0" w:color="auto"/>
        <w:bottom w:val="none" w:sz="0" w:space="0" w:color="auto"/>
        <w:right w:val="none" w:sz="0" w:space="0" w:color="auto"/>
      </w:divBdr>
    </w:div>
    <w:div w:id="1723207852">
      <w:bodyDiv w:val="1"/>
      <w:marLeft w:val="0"/>
      <w:marRight w:val="0"/>
      <w:marTop w:val="0"/>
      <w:marBottom w:val="0"/>
      <w:divBdr>
        <w:top w:val="none" w:sz="0" w:space="0" w:color="auto"/>
        <w:left w:val="none" w:sz="0" w:space="0" w:color="auto"/>
        <w:bottom w:val="none" w:sz="0" w:space="0" w:color="auto"/>
        <w:right w:val="none" w:sz="0" w:space="0" w:color="auto"/>
      </w:divBdr>
    </w:div>
    <w:div w:id="1723793683">
      <w:bodyDiv w:val="1"/>
      <w:marLeft w:val="0"/>
      <w:marRight w:val="0"/>
      <w:marTop w:val="0"/>
      <w:marBottom w:val="0"/>
      <w:divBdr>
        <w:top w:val="none" w:sz="0" w:space="0" w:color="auto"/>
        <w:left w:val="none" w:sz="0" w:space="0" w:color="auto"/>
        <w:bottom w:val="none" w:sz="0" w:space="0" w:color="auto"/>
        <w:right w:val="none" w:sz="0" w:space="0" w:color="auto"/>
      </w:divBdr>
    </w:div>
    <w:div w:id="1724400070">
      <w:bodyDiv w:val="1"/>
      <w:marLeft w:val="0"/>
      <w:marRight w:val="0"/>
      <w:marTop w:val="0"/>
      <w:marBottom w:val="0"/>
      <w:divBdr>
        <w:top w:val="none" w:sz="0" w:space="0" w:color="auto"/>
        <w:left w:val="none" w:sz="0" w:space="0" w:color="auto"/>
        <w:bottom w:val="none" w:sz="0" w:space="0" w:color="auto"/>
        <w:right w:val="none" w:sz="0" w:space="0" w:color="auto"/>
      </w:divBdr>
    </w:div>
    <w:div w:id="1725369905">
      <w:bodyDiv w:val="1"/>
      <w:marLeft w:val="0"/>
      <w:marRight w:val="0"/>
      <w:marTop w:val="0"/>
      <w:marBottom w:val="0"/>
      <w:divBdr>
        <w:top w:val="none" w:sz="0" w:space="0" w:color="auto"/>
        <w:left w:val="none" w:sz="0" w:space="0" w:color="auto"/>
        <w:bottom w:val="none" w:sz="0" w:space="0" w:color="auto"/>
        <w:right w:val="none" w:sz="0" w:space="0" w:color="auto"/>
      </w:divBdr>
    </w:div>
    <w:div w:id="1726024268">
      <w:bodyDiv w:val="1"/>
      <w:marLeft w:val="0"/>
      <w:marRight w:val="0"/>
      <w:marTop w:val="0"/>
      <w:marBottom w:val="0"/>
      <w:divBdr>
        <w:top w:val="none" w:sz="0" w:space="0" w:color="auto"/>
        <w:left w:val="none" w:sz="0" w:space="0" w:color="auto"/>
        <w:bottom w:val="none" w:sz="0" w:space="0" w:color="auto"/>
        <w:right w:val="none" w:sz="0" w:space="0" w:color="auto"/>
      </w:divBdr>
    </w:div>
    <w:div w:id="1726224448">
      <w:bodyDiv w:val="1"/>
      <w:marLeft w:val="0"/>
      <w:marRight w:val="0"/>
      <w:marTop w:val="0"/>
      <w:marBottom w:val="0"/>
      <w:divBdr>
        <w:top w:val="none" w:sz="0" w:space="0" w:color="auto"/>
        <w:left w:val="none" w:sz="0" w:space="0" w:color="auto"/>
        <w:bottom w:val="none" w:sz="0" w:space="0" w:color="auto"/>
        <w:right w:val="none" w:sz="0" w:space="0" w:color="auto"/>
      </w:divBdr>
    </w:div>
    <w:div w:id="1727410075">
      <w:bodyDiv w:val="1"/>
      <w:marLeft w:val="0"/>
      <w:marRight w:val="0"/>
      <w:marTop w:val="0"/>
      <w:marBottom w:val="0"/>
      <w:divBdr>
        <w:top w:val="none" w:sz="0" w:space="0" w:color="auto"/>
        <w:left w:val="none" w:sz="0" w:space="0" w:color="auto"/>
        <w:bottom w:val="none" w:sz="0" w:space="0" w:color="auto"/>
        <w:right w:val="none" w:sz="0" w:space="0" w:color="auto"/>
      </w:divBdr>
    </w:div>
    <w:div w:id="1727487061">
      <w:bodyDiv w:val="1"/>
      <w:marLeft w:val="0"/>
      <w:marRight w:val="0"/>
      <w:marTop w:val="0"/>
      <w:marBottom w:val="0"/>
      <w:divBdr>
        <w:top w:val="none" w:sz="0" w:space="0" w:color="auto"/>
        <w:left w:val="none" w:sz="0" w:space="0" w:color="auto"/>
        <w:bottom w:val="none" w:sz="0" w:space="0" w:color="auto"/>
        <w:right w:val="none" w:sz="0" w:space="0" w:color="auto"/>
      </w:divBdr>
    </w:div>
    <w:div w:id="1728454847">
      <w:bodyDiv w:val="1"/>
      <w:marLeft w:val="0"/>
      <w:marRight w:val="0"/>
      <w:marTop w:val="0"/>
      <w:marBottom w:val="0"/>
      <w:divBdr>
        <w:top w:val="none" w:sz="0" w:space="0" w:color="auto"/>
        <w:left w:val="none" w:sz="0" w:space="0" w:color="auto"/>
        <w:bottom w:val="none" w:sz="0" w:space="0" w:color="auto"/>
        <w:right w:val="none" w:sz="0" w:space="0" w:color="auto"/>
      </w:divBdr>
    </w:div>
    <w:div w:id="1729112122">
      <w:bodyDiv w:val="1"/>
      <w:marLeft w:val="0"/>
      <w:marRight w:val="0"/>
      <w:marTop w:val="0"/>
      <w:marBottom w:val="0"/>
      <w:divBdr>
        <w:top w:val="none" w:sz="0" w:space="0" w:color="auto"/>
        <w:left w:val="none" w:sz="0" w:space="0" w:color="auto"/>
        <w:bottom w:val="none" w:sz="0" w:space="0" w:color="auto"/>
        <w:right w:val="none" w:sz="0" w:space="0" w:color="auto"/>
      </w:divBdr>
    </w:div>
    <w:div w:id="1729525615">
      <w:bodyDiv w:val="1"/>
      <w:marLeft w:val="0"/>
      <w:marRight w:val="0"/>
      <w:marTop w:val="0"/>
      <w:marBottom w:val="0"/>
      <w:divBdr>
        <w:top w:val="none" w:sz="0" w:space="0" w:color="auto"/>
        <w:left w:val="none" w:sz="0" w:space="0" w:color="auto"/>
        <w:bottom w:val="none" w:sz="0" w:space="0" w:color="auto"/>
        <w:right w:val="none" w:sz="0" w:space="0" w:color="auto"/>
      </w:divBdr>
    </w:div>
    <w:div w:id="1730883029">
      <w:bodyDiv w:val="1"/>
      <w:marLeft w:val="0"/>
      <w:marRight w:val="0"/>
      <w:marTop w:val="0"/>
      <w:marBottom w:val="0"/>
      <w:divBdr>
        <w:top w:val="none" w:sz="0" w:space="0" w:color="auto"/>
        <w:left w:val="none" w:sz="0" w:space="0" w:color="auto"/>
        <w:bottom w:val="none" w:sz="0" w:space="0" w:color="auto"/>
        <w:right w:val="none" w:sz="0" w:space="0" w:color="auto"/>
      </w:divBdr>
    </w:div>
    <w:div w:id="1733235955">
      <w:bodyDiv w:val="1"/>
      <w:marLeft w:val="0"/>
      <w:marRight w:val="0"/>
      <w:marTop w:val="0"/>
      <w:marBottom w:val="0"/>
      <w:divBdr>
        <w:top w:val="none" w:sz="0" w:space="0" w:color="auto"/>
        <w:left w:val="none" w:sz="0" w:space="0" w:color="auto"/>
        <w:bottom w:val="none" w:sz="0" w:space="0" w:color="auto"/>
        <w:right w:val="none" w:sz="0" w:space="0" w:color="auto"/>
      </w:divBdr>
    </w:div>
    <w:div w:id="1733499825">
      <w:bodyDiv w:val="1"/>
      <w:marLeft w:val="0"/>
      <w:marRight w:val="0"/>
      <w:marTop w:val="0"/>
      <w:marBottom w:val="0"/>
      <w:divBdr>
        <w:top w:val="none" w:sz="0" w:space="0" w:color="auto"/>
        <w:left w:val="none" w:sz="0" w:space="0" w:color="auto"/>
        <w:bottom w:val="none" w:sz="0" w:space="0" w:color="auto"/>
        <w:right w:val="none" w:sz="0" w:space="0" w:color="auto"/>
      </w:divBdr>
    </w:div>
    <w:div w:id="1734237211">
      <w:bodyDiv w:val="1"/>
      <w:marLeft w:val="0"/>
      <w:marRight w:val="0"/>
      <w:marTop w:val="0"/>
      <w:marBottom w:val="0"/>
      <w:divBdr>
        <w:top w:val="none" w:sz="0" w:space="0" w:color="auto"/>
        <w:left w:val="none" w:sz="0" w:space="0" w:color="auto"/>
        <w:bottom w:val="none" w:sz="0" w:space="0" w:color="auto"/>
        <w:right w:val="none" w:sz="0" w:space="0" w:color="auto"/>
      </w:divBdr>
    </w:div>
    <w:div w:id="1734429291">
      <w:bodyDiv w:val="1"/>
      <w:marLeft w:val="0"/>
      <w:marRight w:val="0"/>
      <w:marTop w:val="0"/>
      <w:marBottom w:val="0"/>
      <w:divBdr>
        <w:top w:val="none" w:sz="0" w:space="0" w:color="auto"/>
        <w:left w:val="none" w:sz="0" w:space="0" w:color="auto"/>
        <w:bottom w:val="none" w:sz="0" w:space="0" w:color="auto"/>
        <w:right w:val="none" w:sz="0" w:space="0" w:color="auto"/>
      </w:divBdr>
    </w:div>
    <w:div w:id="1735273838">
      <w:bodyDiv w:val="1"/>
      <w:marLeft w:val="0"/>
      <w:marRight w:val="0"/>
      <w:marTop w:val="0"/>
      <w:marBottom w:val="0"/>
      <w:divBdr>
        <w:top w:val="none" w:sz="0" w:space="0" w:color="auto"/>
        <w:left w:val="none" w:sz="0" w:space="0" w:color="auto"/>
        <w:bottom w:val="none" w:sz="0" w:space="0" w:color="auto"/>
        <w:right w:val="none" w:sz="0" w:space="0" w:color="auto"/>
      </w:divBdr>
    </w:div>
    <w:div w:id="1735811828">
      <w:bodyDiv w:val="1"/>
      <w:marLeft w:val="0"/>
      <w:marRight w:val="0"/>
      <w:marTop w:val="0"/>
      <w:marBottom w:val="0"/>
      <w:divBdr>
        <w:top w:val="none" w:sz="0" w:space="0" w:color="auto"/>
        <w:left w:val="none" w:sz="0" w:space="0" w:color="auto"/>
        <w:bottom w:val="none" w:sz="0" w:space="0" w:color="auto"/>
        <w:right w:val="none" w:sz="0" w:space="0" w:color="auto"/>
      </w:divBdr>
    </w:div>
    <w:div w:id="1736851496">
      <w:bodyDiv w:val="1"/>
      <w:marLeft w:val="0"/>
      <w:marRight w:val="0"/>
      <w:marTop w:val="0"/>
      <w:marBottom w:val="0"/>
      <w:divBdr>
        <w:top w:val="none" w:sz="0" w:space="0" w:color="auto"/>
        <w:left w:val="none" w:sz="0" w:space="0" w:color="auto"/>
        <w:bottom w:val="none" w:sz="0" w:space="0" w:color="auto"/>
        <w:right w:val="none" w:sz="0" w:space="0" w:color="auto"/>
      </w:divBdr>
    </w:div>
    <w:div w:id="1738356920">
      <w:bodyDiv w:val="1"/>
      <w:marLeft w:val="0"/>
      <w:marRight w:val="0"/>
      <w:marTop w:val="0"/>
      <w:marBottom w:val="0"/>
      <w:divBdr>
        <w:top w:val="none" w:sz="0" w:space="0" w:color="auto"/>
        <w:left w:val="none" w:sz="0" w:space="0" w:color="auto"/>
        <w:bottom w:val="none" w:sz="0" w:space="0" w:color="auto"/>
        <w:right w:val="none" w:sz="0" w:space="0" w:color="auto"/>
      </w:divBdr>
    </w:div>
    <w:div w:id="1738627266">
      <w:bodyDiv w:val="1"/>
      <w:marLeft w:val="0"/>
      <w:marRight w:val="0"/>
      <w:marTop w:val="0"/>
      <w:marBottom w:val="0"/>
      <w:divBdr>
        <w:top w:val="none" w:sz="0" w:space="0" w:color="auto"/>
        <w:left w:val="none" w:sz="0" w:space="0" w:color="auto"/>
        <w:bottom w:val="none" w:sz="0" w:space="0" w:color="auto"/>
        <w:right w:val="none" w:sz="0" w:space="0" w:color="auto"/>
      </w:divBdr>
    </w:div>
    <w:div w:id="1738819213">
      <w:bodyDiv w:val="1"/>
      <w:marLeft w:val="0"/>
      <w:marRight w:val="0"/>
      <w:marTop w:val="0"/>
      <w:marBottom w:val="0"/>
      <w:divBdr>
        <w:top w:val="none" w:sz="0" w:space="0" w:color="auto"/>
        <w:left w:val="none" w:sz="0" w:space="0" w:color="auto"/>
        <w:bottom w:val="none" w:sz="0" w:space="0" w:color="auto"/>
        <w:right w:val="none" w:sz="0" w:space="0" w:color="auto"/>
      </w:divBdr>
    </w:div>
    <w:div w:id="1739401684">
      <w:bodyDiv w:val="1"/>
      <w:marLeft w:val="0"/>
      <w:marRight w:val="0"/>
      <w:marTop w:val="0"/>
      <w:marBottom w:val="0"/>
      <w:divBdr>
        <w:top w:val="none" w:sz="0" w:space="0" w:color="auto"/>
        <w:left w:val="none" w:sz="0" w:space="0" w:color="auto"/>
        <w:bottom w:val="none" w:sz="0" w:space="0" w:color="auto"/>
        <w:right w:val="none" w:sz="0" w:space="0" w:color="auto"/>
      </w:divBdr>
    </w:div>
    <w:div w:id="1739744576">
      <w:bodyDiv w:val="1"/>
      <w:marLeft w:val="0"/>
      <w:marRight w:val="0"/>
      <w:marTop w:val="0"/>
      <w:marBottom w:val="0"/>
      <w:divBdr>
        <w:top w:val="none" w:sz="0" w:space="0" w:color="auto"/>
        <w:left w:val="none" w:sz="0" w:space="0" w:color="auto"/>
        <w:bottom w:val="none" w:sz="0" w:space="0" w:color="auto"/>
        <w:right w:val="none" w:sz="0" w:space="0" w:color="auto"/>
      </w:divBdr>
    </w:div>
    <w:div w:id="1743134436">
      <w:bodyDiv w:val="1"/>
      <w:marLeft w:val="0"/>
      <w:marRight w:val="0"/>
      <w:marTop w:val="0"/>
      <w:marBottom w:val="0"/>
      <w:divBdr>
        <w:top w:val="none" w:sz="0" w:space="0" w:color="auto"/>
        <w:left w:val="none" w:sz="0" w:space="0" w:color="auto"/>
        <w:bottom w:val="none" w:sz="0" w:space="0" w:color="auto"/>
        <w:right w:val="none" w:sz="0" w:space="0" w:color="auto"/>
      </w:divBdr>
    </w:div>
    <w:div w:id="1743140420">
      <w:bodyDiv w:val="1"/>
      <w:marLeft w:val="0"/>
      <w:marRight w:val="0"/>
      <w:marTop w:val="0"/>
      <w:marBottom w:val="0"/>
      <w:divBdr>
        <w:top w:val="none" w:sz="0" w:space="0" w:color="auto"/>
        <w:left w:val="none" w:sz="0" w:space="0" w:color="auto"/>
        <w:bottom w:val="none" w:sz="0" w:space="0" w:color="auto"/>
        <w:right w:val="none" w:sz="0" w:space="0" w:color="auto"/>
      </w:divBdr>
    </w:div>
    <w:div w:id="1743328840">
      <w:bodyDiv w:val="1"/>
      <w:marLeft w:val="0"/>
      <w:marRight w:val="0"/>
      <w:marTop w:val="0"/>
      <w:marBottom w:val="0"/>
      <w:divBdr>
        <w:top w:val="none" w:sz="0" w:space="0" w:color="auto"/>
        <w:left w:val="none" w:sz="0" w:space="0" w:color="auto"/>
        <w:bottom w:val="none" w:sz="0" w:space="0" w:color="auto"/>
        <w:right w:val="none" w:sz="0" w:space="0" w:color="auto"/>
      </w:divBdr>
    </w:div>
    <w:div w:id="1743990593">
      <w:bodyDiv w:val="1"/>
      <w:marLeft w:val="0"/>
      <w:marRight w:val="0"/>
      <w:marTop w:val="0"/>
      <w:marBottom w:val="0"/>
      <w:divBdr>
        <w:top w:val="none" w:sz="0" w:space="0" w:color="auto"/>
        <w:left w:val="none" w:sz="0" w:space="0" w:color="auto"/>
        <w:bottom w:val="none" w:sz="0" w:space="0" w:color="auto"/>
        <w:right w:val="none" w:sz="0" w:space="0" w:color="auto"/>
      </w:divBdr>
    </w:div>
    <w:div w:id="1744063541">
      <w:bodyDiv w:val="1"/>
      <w:marLeft w:val="0"/>
      <w:marRight w:val="0"/>
      <w:marTop w:val="0"/>
      <w:marBottom w:val="0"/>
      <w:divBdr>
        <w:top w:val="none" w:sz="0" w:space="0" w:color="auto"/>
        <w:left w:val="none" w:sz="0" w:space="0" w:color="auto"/>
        <w:bottom w:val="none" w:sz="0" w:space="0" w:color="auto"/>
        <w:right w:val="none" w:sz="0" w:space="0" w:color="auto"/>
      </w:divBdr>
    </w:div>
    <w:div w:id="1744180209">
      <w:bodyDiv w:val="1"/>
      <w:marLeft w:val="0"/>
      <w:marRight w:val="0"/>
      <w:marTop w:val="0"/>
      <w:marBottom w:val="0"/>
      <w:divBdr>
        <w:top w:val="none" w:sz="0" w:space="0" w:color="auto"/>
        <w:left w:val="none" w:sz="0" w:space="0" w:color="auto"/>
        <w:bottom w:val="none" w:sz="0" w:space="0" w:color="auto"/>
        <w:right w:val="none" w:sz="0" w:space="0" w:color="auto"/>
      </w:divBdr>
    </w:div>
    <w:div w:id="1744254800">
      <w:bodyDiv w:val="1"/>
      <w:marLeft w:val="0"/>
      <w:marRight w:val="0"/>
      <w:marTop w:val="0"/>
      <w:marBottom w:val="0"/>
      <w:divBdr>
        <w:top w:val="none" w:sz="0" w:space="0" w:color="auto"/>
        <w:left w:val="none" w:sz="0" w:space="0" w:color="auto"/>
        <w:bottom w:val="none" w:sz="0" w:space="0" w:color="auto"/>
        <w:right w:val="none" w:sz="0" w:space="0" w:color="auto"/>
      </w:divBdr>
    </w:div>
    <w:div w:id="1744839544">
      <w:bodyDiv w:val="1"/>
      <w:marLeft w:val="0"/>
      <w:marRight w:val="0"/>
      <w:marTop w:val="0"/>
      <w:marBottom w:val="0"/>
      <w:divBdr>
        <w:top w:val="none" w:sz="0" w:space="0" w:color="auto"/>
        <w:left w:val="none" w:sz="0" w:space="0" w:color="auto"/>
        <w:bottom w:val="none" w:sz="0" w:space="0" w:color="auto"/>
        <w:right w:val="none" w:sz="0" w:space="0" w:color="auto"/>
      </w:divBdr>
    </w:div>
    <w:div w:id="1746418004">
      <w:bodyDiv w:val="1"/>
      <w:marLeft w:val="0"/>
      <w:marRight w:val="0"/>
      <w:marTop w:val="0"/>
      <w:marBottom w:val="0"/>
      <w:divBdr>
        <w:top w:val="none" w:sz="0" w:space="0" w:color="auto"/>
        <w:left w:val="none" w:sz="0" w:space="0" w:color="auto"/>
        <w:bottom w:val="none" w:sz="0" w:space="0" w:color="auto"/>
        <w:right w:val="none" w:sz="0" w:space="0" w:color="auto"/>
      </w:divBdr>
    </w:div>
    <w:div w:id="1748267534">
      <w:bodyDiv w:val="1"/>
      <w:marLeft w:val="0"/>
      <w:marRight w:val="0"/>
      <w:marTop w:val="0"/>
      <w:marBottom w:val="0"/>
      <w:divBdr>
        <w:top w:val="none" w:sz="0" w:space="0" w:color="auto"/>
        <w:left w:val="none" w:sz="0" w:space="0" w:color="auto"/>
        <w:bottom w:val="none" w:sz="0" w:space="0" w:color="auto"/>
        <w:right w:val="none" w:sz="0" w:space="0" w:color="auto"/>
      </w:divBdr>
    </w:div>
    <w:div w:id="1749766836">
      <w:bodyDiv w:val="1"/>
      <w:marLeft w:val="0"/>
      <w:marRight w:val="0"/>
      <w:marTop w:val="0"/>
      <w:marBottom w:val="0"/>
      <w:divBdr>
        <w:top w:val="none" w:sz="0" w:space="0" w:color="auto"/>
        <w:left w:val="none" w:sz="0" w:space="0" w:color="auto"/>
        <w:bottom w:val="none" w:sz="0" w:space="0" w:color="auto"/>
        <w:right w:val="none" w:sz="0" w:space="0" w:color="auto"/>
      </w:divBdr>
    </w:div>
    <w:div w:id="1750081860">
      <w:bodyDiv w:val="1"/>
      <w:marLeft w:val="0"/>
      <w:marRight w:val="0"/>
      <w:marTop w:val="0"/>
      <w:marBottom w:val="0"/>
      <w:divBdr>
        <w:top w:val="none" w:sz="0" w:space="0" w:color="auto"/>
        <w:left w:val="none" w:sz="0" w:space="0" w:color="auto"/>
        <w:bottom w:val="none" w:sz="0" w:space="0" w:color="auto"/>
        <w:right w:val="none" w:sz="0" w:space="0" w:color="auto"/>
      </w:divBdr>
    </w:div>
    <w:div w:id="1750229888">
      <w:bodyDiv w:val="1"/>
      <w:marLeft w:val="0"/>
      <w:marRight w:val="0"/>
      <w:marTop w:val="0"/>
      <w:marBottom w:val="0"/>
      <w:divBdr>
        <w:top w:val="none" w:sz="0" w:space="0" w:color="auto"/>
        <w:left w:val="none" w:sz="0" w:space="0" w:color="auto"/>
        <w:bottom w:val="none" w:sz="0" w:space="0" w:color="auto"/>
        <w:right w:val="none" w:sz="0" w:space="0" w:color="auto"/>
      </w:divBdr>
    </w:div>
    <w:div w:id="1750273755">
      <w:bodyDiv w:val="1"/>
      <w:marLeft w:val="0"/>
      <w:marRight w:val="0"/>
      <w:marTop w:val="0"/>
      <w:marBottom w:val="0"/>
      <w:divBdr>
        <w:top w:val="none" w:sz="0" w:space="0" w:color="auto"/>
        <w:left w:val="none" w:sz="0" w:space="0" w:color="auto"/>
        <w:bottom w:val="none" w:sz="0" w:space="0" w:color="auto"/>
        <w:right w:val="none" w:sz="0" w:space="0" w:color="auto"/>
      </w:divBdr>
    </w:div>
    <w:div w:id="1750612873">
      <w:bodyDiv w:val="1"/>
      <w:marLeft w:val="0"/>
      <w:marRight w:val="0"/>
      <w:marTop w:val="0"/>
      <w:marBottom w:val="0"/>
      <w:divBdr>
        <w:top w:val="none" w:sz="0" w:space="0" w:color="auto"/>
        <w:left w:val="none" w:sz="0" w:space="0" w:color="auto"/>
        <w:bottom w:val="none" w:sz="0" w:space="0" w:color="auto"/>
        <w:right w:val="none" w:sz="0" w:space="0" w:color="auto"/>
      </w:divBdr>
    </w:div>
    <w:div w:id="1751079262">
      <w:bodyDiv w:val="1"/>
      <w:marLeft w:val="0"/>
      <w:marRight w:val="0"/>
      <w:marTop w:val="0"/>
      <w:marBottom w:val="0"/>
      <w:divBdr>
        <w:top w:val="none" w:sz="0" w:space="0" w:color="auto"/>
        <w:left w:val="none" w:sz="0" w:space="0" w:color="auto"/>
        <w:bottom w:val="none" w:sz="0" w:space="0" w:color="auto"/>
        <w:right w:val="none" w:sz="0" w:space="0" w:color="auto"/>
      </w:divBdr>
    </w:div>
    <w:div w:id="1751079365">
      <w:bodyDiv w:val="1"/>
      <w:marLeft w:val="0"/>
      <w:marRight w:val="0"/>
      <w:marTop w:val="0"/>
      <w:marBottom w:val="0"/>
      <w:divBdr>
        <w:top w:val="none" w:sz="0" w:space="0" w:color="auto"/>
        <w:left w:val="none" w:sz="0" w:space="0" w:color="auto"/>
        <w:bottom w:val="none" w:sz="0" w:space="0" w:color="auto"/>
        <w:right w:val="none" w:sz="0" w:space="0" w:color="auto"/>
      </w:divBdr>
    </w:div>
    <w:div w:id="1751193747">
      <w:bodyDiv w:val="1"/>
      <w:marLeft w:val="0"/>
      <w:marRight w:val="0"/>
      <w:marTop w:val="0"/>
      <w:marBottom w:val="0"/>
      <w:divBdr>
        <w:top w:val="none" w:sz="0" w:space="0" w:color="auto"/>
        <w:left w:val="none" w:sz="0" w:space="0" w:color="auto"/>
        <w:bottom w:val="none" w:sz="0" w:space="0" w:color="auto"/>
        <w:right w:val="none" w:sz="0" w:space="0" w:color="auto"/>
      </w:divBdr>
    </w:div>
    <w:div w:id="1753043645">
      <w:bodyDiv w:val="1"/>
      <w:marLeft w:val="0"/>
      <w:marRight w:val="0"/>
      <w:marTop w:val="0"/>
      <w:marBottom w:val="0"/>
      <w:divBdr>
        <w:top w:val="none" w:sz="0" w:space="0" w:color="auto"/>
        <w:left w:val="none" w:sz="0" w:space="0" w:color="auto"/>
        <w:bottom w:val="none" w:sz="0" w:space="0" w:color="auto"/>
        <w:right w:val="none" w:sz="0" w:space="0" w:color="auto"/>
      </w:divBdr>
    </w:div>
    <w:div w:id="1753313534">
      <w:bodyDiv w:val="1"/>
      <w:marLeft w:val="0"/>
      <w:marRight w:val="0"/>
      <w:marTop w:val="0"/>
      <w:marBottom w:val="0"/>
      <w:divBdr>
        <w:top w:val="none" w:sz="0" w:space="0" w:color="auto"/>
        <w:left w:val="none" w:sz="0" w:space="0" w:color="auto"/>
        <w:bottom w:val="none" w:sz="0" w:space="0" w:color="auto"/>
        <w:right w:val="none" w:sz="0" w:space="0" w:color="auto"/>
      </w:divBdr>
    </w:div>
    <w:div w:id="1754088962">
      <w:bodyDiv w:val="1"/>
      <w:marLeft w:val="0"/>
      <w:marRight w:val="0"/>
      <w:marTop w:val="0"/>
      <w:marBottom w:val="0"/>
      <w:divBdr>
        <w:top w:val="none" w:sz="0" w:space="0" w:color="auto"/>
        <w:left w:val="none" w:sz="0" w:space="0" w:color="auto"/>
        <w:bottom w:val="none" w:sz="0" w:space="0" w:color="auto"/>
        <w:right w:val="none" w:sz="0" w:space="0" w:color="auto"/>
      </w:divBdr>
    </w:div>
    <w:div w:id="1755861294">
      <w:bodyDiv w:val="1"/>
      <w:marLeft w:val="0"/>
      <w:marRight w:val="0"/>
      <w:marTop w:val="0"/>
      <w:marBottom w:val="0"/>
      <w:divBdr>
        <w:top w:val="none" w:sz="0" w:space="0" w:color="auto"/>
        <w:left w:val="none" w:sz="0" w:space="0" w:color="auto"/>
        <w:bottom w:val="none" w:sz="0" w:space="0" w:color="auto"/>
        <w:right w:val="none" w:sz="0" w:space="0" w:color="auto"/>
      </w:divBdr>
    </w:div>
    <w:div w:id="1757169166">
      <w:bodyDiv w:val="1"/>
      <w:marLeft w:val="0"/>
      <w:marRight w:val="0"/>
      <w:marTop w:val="0"/>
      <w:marBottom w:val="0"/>
      <w:divBdr>
        <w:top w:val="none" w:sz="0" w:space="0" w:color="auto"/>
        <w:left w:val="none" w:sz="0" w:space="0" w:color="auto"/>
        <w:bottom w:val="none" w:sz="0" w:space="0" w:color="auto"/>
        <w:right w:val="none" w:sz="0" w:space="0" w:color="auto"/>
      </w:divBdr>
    </w:div>
    <w:div w:id="1759406705">
      <w:bodyDiv w:val="1"/>
      <w:marLeft w:val="0"/>
      <w:marRight w:val="0"/>
      <w:marTop w:val="0"/>
      <w:marBottom w:val="0"/>
      <w:divBdr>
        <w:top w:val="none" w:sz="0" w:space="0" w:color="auto"/>
        <w:left w:val="none" w:sz="0" w:space="0" w:color="auto"/>
        <w:bottom w:val="none" w:sz="0" w:space="0" w:color="auto"/>
        <w:right w:val="none" w:sz="0" w:space="0" w:color="auto"/>
      </w:divBdr>
    </w:div>
    <w:div w:id="1759474576">
      <w:bodyDiv w:val="1"/>
      <w:marLeft w:val="0"/>
      <w:marRight w:val="0"/>
      <w:marTop w:val="0"/>
      <w:marBottom w:val="0"/>
      <w:divBdr>
        <w:top w:val="none" w:sz="0" w:space="0" w:color="auto"/>
        <w:left w:val="none" w:sz="0" w:space="0" w:color="auto"/>
        <w:bottom w:val="none" w:sz="0" w:space="0" w:color="auto"/>
        <w:right w:val="none" w:sz="0" w:space="0" w:color="auto"/>
      </w:divBdr>
    </w:div>
    <w:div w:id="1761609012">
      <w:bodyDiv w:val="1"/>
      <w:marLeft w:val="0"/>
      <w:marRight w:val="0"/>
      <w:marTop w:val="0"/>
      <w:marBottom w:val="0"/>
      <w:divBdr>
        <w:top w:val="none" w:sz="0" w:space="0" w:color="auto"/>
        <w:left w:val="none" w:sz="0" w:space="0" w:color="auto"/>
        <w:bottom w:val="none" w:sz="0" w:space="0" w:color="auto"/>
        <w:right w:val="none" w:sz="0" w:space="0" w:color="auto"/>
      </w:divBdr>
    </w:div>
    <w:div w:id="1761951763">
      <w:bodyDiv w:val="1"/>
      <w:marLeft w:val="0"/>
      <w:marRight w:val="0"/>
      <w:marTop w:val="0"/>
      <w:marBottom w:val="0"/>
      <w:divBdr>
        <w:top w:val="none" w:sz="0" w:space="0" w:color="auto"/>
        <w:left w:val="none" w:sz="0" w:space="0" w:color="auto"/>
        <w:bottom w:val="none" w:sz="0" w:space="0" w:color="auto"/>
        <w:right w:val="none" w:sz="0" w:space="0" w:color="auto"/>
      </w:divBdr>
    </w:div>
    <w:div w:id="1762334770">
      <w:bodyDiv w:val="1"/>
      <w:marLeft w:val="0"/>
      <w:marRight w:val="0"/>
      <w:marTop w:val="0"/>
      <w:marBottom w:val="0"/>
      <w:divBdr>
        <w:top w:val="none" w:sz="0" w:space="0" w:color="auto"/>
        <w:left w:val="none" w:sz="0" w:space="0" w:color="auto"/>
        <w:bottom w:val="none" w:sz="0" w:space="0" w:color="auto"/>
        <w:right w:val="none" w:sz="0" w:space="0" w:color="auto"/>
      </w:divBdr>
    </w:div>
    <w:div w:id="1763140110">
      <w:bodyDiv w:val="1"/>
      <w:marLeft w:val="0"/>
      <w:marRight w:val="0"/>
      <w:marTop w:val="0"/>
      <w:marBottom w:val="0"/>
      <w:divBdr>
        <w:top w:val="none" w:sz="0" w:space="0" w:color="auto"/>
        <w:left w:val="none" w:sz="0" w:space="0" w:color="auto"/>
        <w:bottom w:val="none" w:sz="0" w:space="0" w:color="auto"/>
        <w:right w:val="none" w:sz="0" w:space="0" w:color="auto"/>
      </w:divBdr>
    </w:div>
    <w:div w:id="1765106315">
      <w:bodyDiv w:val="1"/>
      <w:marLeft w:val="0"/>
      <w:marRight w:val="0"/>
      <w:marTop w:val="0"/>
      <w:marBottom w:val="0"/>
      <w:divBdr>
        <w:top w:val="none" w:sz="0" w:space="0" w:color="auto"/>
        <w:left w:val="none" w:sz="0" w:space="0" w:color="auto"/>
        <w:bottom w:val="none" w:sz="0" w:space="0" w:color="auto"/>
        <w:right w:val="none" w:sz="0" w:space="0" w:color="auto"/>
      </w:divBdr>
    </w:div>
    <w:div w:id="1767455327">
      <w:bodyDiv w:val="1"/>
      <w:marLeft w:val="0"/>
      <w:marRight w:val="0"/>
      <w:marTop w:val="0"/>
      <w:marBottom w:val="0"/>
      <w:divBdr>
        <w:top w:val="none" w:sz="0" w:space="0" w:color="auto"/>
        <w:left w:val="none" w:sz="0" w:space="0" w:color="auto"/>
        <w:bottom w:val="none" w:sz="0" w:space="0" w:color="auto"/>
        <w:right w:val="none" w:sz="0" w:space="0" w:color="auto"/>
      </w:divBdr>
    </w:div>
    <w:div w:id="1767727164">
      <w:bodyDiv w:val="1"/>
      <w:marLeft w:val="0"/>
      <w:marRight w:val="0"/>
      <w:marTop w:val="0"/>
      <w:marBottom w:val="0"/>
      <w:divBdr>
        <w:top w:val="none" w:sz="0" w:space="0" w:color="auto"/>
        <w:left w:val="none" w:sz="0" w:space="0" w:color="auto"/>
        <w:bottom w:val="none" w:sz="0" w:space="0" w:color="auto"/>
        <w:right w:val="none" w:sz="0" w:space="0" w:color="auto"/>
      </w:divBdr>
    </w:div>
    <w:div w:id="1769545573">
      <w:bodyDiv w:val="1"/>
      <w:marLeft w:val="0"/>
      <w:marRight w:val="0"/>
      <w:marTop w:val="0"/>
      <w:marBottom w:val="0"/>
      <w:divBdr>
        <w:top w:val="none" w:sz="0" w:space="0" w:color="auto"/>
        <w:left w:val="none" w:sz="0" w:space="0" w:color="auto"/>
        <w:bottom w:val="none" w:sz="0" w:space="0" w:color="auto"/>
        <w:right w:val="none" w:sz="0" w:space="0" w:color="auto"/>
      </w:divBdr>
    </w:div>
    <w:div w:id="1771778643">
      <w:bodyDiv w:val="1"/>
      <w:marLeft w:val="0"/>
      <w:marRight w:val="0"/>
      <w:marTop w:val="0"/>
      <w:marBottom w:val="0"/>
      <w:divBdr>
        <w:top w:val="none" w:sz="0" w:space="0" w:color="auto"/>
        <w:left w:val="none" w:sz="0" w:space="0" w:color="auto"/>
        <w:bottom w:val="none" w:sz="0" w:space="0" w:color="auto"/>
        <w:right w:val="none" w:sz="0" w:space="0" w:color="auto"/>
      </w:divBdr>
    </w:div>
    <w:div w:id="1772159541">
      <w:bodyDiv w:val="1"/>
      <w:marLeft w:val="0"/>
      <w:marRight w:val="0"/>
      <w:marTop w:val="0"/>
      <w:marBottom w:val="0"/>
      <w:divBdr>
        <w:top w:val="none" w:sz="0" w:space="0" w:color="auto"/>
        <w:left w:val="none" w:sz="0" w:space="0" w:color="auto"/>
        <w:bottom w:val="none" w:sz="0" w:space="0" w:color="auto"/>
        <w:right w:val="none" w:sz="0" w:space="0" w:color="auto"/>
      </w:divBdr>
    </w:div>
    <w:div w:id="1772510924">
      <w:bodyDiv w:val="1"/>
      <w:marLeft w:val="0"/>
      <w:marRight w:val="0"/>
      <w:marTop w:val="0"/>
      <w:marBottom w:val="0"/>
      <w:divBdr>
        <w:top w:val="none" w:sz="0" w:space="0" w:color="auto"/>
        <w:left w:val="none" w:sz="0" w:space="0" w:color="auto"/>
        <w:bottom w:val="none" w:sz="0" w:space="0" w:color="auto"/>
        <w:right w:val="none" w:sz="0" w:space="0" w:color="auto"/>
      </w:divBdr>
    </w:div>
    <w:div w:id="1772778246">
      <w:bodyDiv w:val="1"/>
      <w:marLeft w:val="0"/>
      <w:marRight w:val="0"/>
      <w:marTop w:val="0"/>
      <w:marBottom w:val="0"/>
      <w:divBdr>
        <w:top w:val="none" w:sz="0" w:space="0" w:color="auto"/>
        <w:left w:val="none" w:sz="0" w:space="0" w:color="auto"/>
        <w:bottom w:val="none" w:sz="0" w:space="0" w:color="auto"/>
        <w:right w:val="none" w:sz="0" w:space="0" w:color="auto"/>
      </w:divBdr>
    </w:div>
    <w:div w:id="1773351761">
      <w:bodyDiv w:val="1"/>
      <w:marLeft w:val="0"/>
      <w:marRight w:val="0"/>
      <w:marTop w:val="0"/>
      <w:marBottom w:val="0"/>
      <w:divBdr>
        <w:top w:val="none" w:sz="0" w:space="0" w:color="auto"/>
        <w:left w:val="none" w:sz="0" w:space="0" w:color="auto"/>
        <w:bottom w:val="none" w:sz="0" w:space="0" w:color="auto"/>
        <w:right w:val="none" w:sz="0" w:space="0" w:color="auto"/>
      </w:divBdr>
    </w:div>
    <w:div w:id="1774745585">
      <w:bodyDiv w:val="1"/>
      <w:marLeft w:val="0"/>
      <w:marRight w:val="0"/>
      <w:marTop w:val="0"/>
      <w:marBottom w:val="0"/>
      <w:divBdr>
        <w:top w:val="none" w:sz="0" w:space="0" w:color="auto"/>
        <w:left w:val="none" w:sz="0" w:space="0" w:color="auto"/>
        <w:bottom w:val="none" w:sz="0" w:space="0" w:color="auto"/>
        <w:right w:val="none" w:sz="0" w:space="0" w:color="auto"/>
      </w:divBdr>
    </w:div>
    <w:div w:id="1776511114">
      <w:bodyDiv w:val="1"/>
      <w:marLeft w:val="0"/>
      <w:marRight w:val="0"/>
      <w:marTop w:val="0"/>
      <w:marBottom w:val="0"/>
      <w:divBdr>
        <w:top w:val="none" w:sz="0" w:space="0" w:color="auto"/>
        <w:left w:val="none" w:sz="0" w:space="0" w:color="auto"/>
        <w:bottom w:val="none" w:sz="0" w:space="0" w:color="auto"/>
        <w:right w:val="none" w:sz="0" w:space="0" w:color="auto"/>
      </w:divBdr>
    </w:div>
    <w:div w:id="1776512769">
      <w:bodyDiv w:val="1"/>
      <w:marLeft w:val="0"/>
      <w:marRight w:val="0"/>
      <w:marTop w:val="0"/>
      <w:marBottom w:val="0"/>
      <w:divBdr>
        <w:top w:val="none" w:sz="0" w:space="0" w:color="auto"/>
        <w:left w:val="none" w:sz="0" w:space="0" w:color="auto"/>
        <w:bottom w:val="none" w:sz="0" w:space="0" w:color="auto"/>
        <w:right w:val="none" w:sz="0" w:space="0" w:color="auto"/>
      </w:divBdr>
    </w:div>
    <w:div w:id="1777365219">
      <w:bodyDiv w:val="1"/>
      <w:marLeft w:val="0"/>
      <w:marRight w:val="0"/>
      <w:marTop w:val="0"/>
      <w:marBottom w:val="0"/>
      <w:divBdr>
        <w:top w:val="none" w:sz="0" w:space="0" w:color="auto"/>
        <w:left w:val="none" w:sz="0" w:space="0" w:color="auto"/>
        <w:bottom w:val="none" w:sz="0" w:space="0" w:color="auto"/>
        <w:right w:val="none" w:sz="0" w:space="0" w:color="auto"/>
      </w:divBdr>
    </w:div>
    <w:div w:id="1779637629">
      <w:bodyDiv w:val="1"/>
      <w:marLeft w:val="0"/>
      <w:marRight w:val="0"/>
      <w:marTop w:val="0"/>
      <w:marBottom w:val="0"/>
      <w:divBdr>
        <w:top w:val="none" w:sz="0" w:space="0" w:color="auto"/>
        <w:left w:val="none" w:sz="0" w:space="0" w:color="auto"/>
        <w:bottom w:val="none" w:sz="0" w:space="0" w:color="auto"/>
        <w:right w:val="none" w:sz="0" w:space="0" w:color="auto"/>
      </w:divBdr>
    </w:div>
    <w:div w:id="1783039077">
      <w:bodyDiv w:val="1"/>
      <w:marLeft w:val="0"/>
      <w:marRight w:val="0"/>
      <w:marTop w:val="0"/>
      <w:marBottom w:val="0"/>
      <w:divBdr>
        <w:top w:val="none" w:sz="0" w:space="0" w:color="auto"/>
        <w:left w:val="none" w:sz="0" w:space="0" w:color="auto"/>
        <w:bottom w:val="none" w:sz="0" w:space="0" w:color="auto"/>
        <w:right w:val="none" w:sz="0" w:space="0" w:color="auto"/>
      </w:divBdr>
    </w:div>
    <w:div w:id="1783184931">
      <w:bodyDiv w:val="1"/>
      <w:marLeft w:val="0"/>
      <w:marRight w:val="0"/>
      <w:marTop w:val="0"/>
      <w:marBottom w:val="0"/>
      <w:divBdr>
        <w:top w:val="none" w:sz="0" w:space="0" w:color="auto"/>
        <w:left w:val="none" w:sz="0" w:space="0" w:color="auto"/>
        <w:bottom w:val="none" w:sz="0" w:space="0" w:color="auto"/>
        <w:right w:val="none" w:sz="0" w:space="0" w:color="auto"/>
      </w:divBdr>
    </w:div>
    <w:div w:id="1784155717">
      <w:bodyDiv w:val="1"/>
      <w:marLeft w:val="0"/>
      <w:marRight w:val="0"/>
      <w:marTop w:val="0"/>
      <w:marBottom w:val="0"/>
      <w:divBdr>
        <w:top w:val="none" w:sz="0" w:space="0" w:color="auto"/>
        <w:left w:val="none" w:sz="0" w:space="0" w:color="auto"/>
        <w:bottom w:val="none" w:sz="0" w:space="0" w:color="auto"/>
        <w:right w:val="none" w:sz="0" w:space="0" w:color="auto"/>
      </w:divBdr>
    </w:div>
    <w:div w:id="1784416424">
      <w:bodyDiv w:val="1"/>
      <w:marLeft w:val="0"/>
      <w:marRight w:val="0"/>
      <w:marTop w:val="0"/>
      <w:marBottom w:val="0"/>
      <w:divBdr>
        <w:top w:val="none" w:sz="0" w:space="0" w:color="auto"/>
        <w:left w:val="none" w:sz="0" w:space="0" w:color="auto"/>
        <w:bottom w:val="none" w:sz="0" w:space="0" w:color="auto"/>
        <w:right w:val="none" w:sz="0" w:space="0" w:color="auto"/>
      </w:divBdr>
    </w:div>
    <w:div w:id="1785541340">
      <w:bodyDiv w:val="1"/>
      <w:marLeft w:val="0"/>
      <w:marRight w:val="0"/>
      <w:marTop w:val="0"/>
      <w:marBottom w:val="0"/>
      <w:divBdr>
        <w:top w:val="none" w:sz="0" w:space="0" w:color="auto"/>
        <w:left w:val="none" w:sz="0" w:space="0" w:color="auto"/>
        <w:bottom w:val="none" w:sz="0" w:space="0" w:color="auto"/>
        <w:right w:val="none" w:sz="0" w:space="0" w:color="auto"/>
      </w:divBdr>
    </w:div>
    <w:div w:id="1786726798">
      <w:bodyDiv w:val="1"/>
      <w:marLeft w:val="0"/>
      <w:marRight w:val="0"/>
      <w:marTop w:val="0"/>
      <w:marBottom w:val="0"/>
      <w:divBdr>
        <w:top w:val="none" w:sz="0" w:space="0" w:color="auto"/>
        <w:left w:val="none" w:sz="0" w:space="0" w:color="auto"/>
        <w:bottom w:val="none" w:sz="0" w:space="0" w:color="auto"/>
        <w:right w:val="none" w:sz="0" w:space="0" w:color="auto"/>
      </w:divBdr>
    </w:div>
    <w:div w:id="1787775624">
      <w:bodyDiv w:val="1"/>
      <w:marLeft w:val="0"/>
      <w:marRight w:val="0"/>
      <w:marTop w:val="0"/>
      <w:marBottom w:val="0"/>
      <w:divBdr>
        <w:top w:val="none" w:sz="0" w:space="0" w:color="auto"/>
        <w:left w:val="none" w:sz="0" w:space="0" w:color="auto"/>
        <w:bottom w:val="none" w:sz="0" w:space="0" w:color="auto"/>
        <w:right w:val="none" w:sz="0" w:space="0" w:color="auto"/>
      </w:divBdr>
    </w:div>
    <w:div w:id="1789012502">
      <w:bodyDiv w:val="1"/>
      <w:marLeft w:val="0"/>
      <w:marRight w:val="0"/>
      <w:marTop w:val="0"/>
      <w:marBottom w:val="0"/>
      <w:divBdr>
        <w:top w:val="none" w:sz="0" w:space="0" w:color="auto"/>
        <w:left w:val="none" w:sz="0" w:space="0" w:color="auto"/>
        <w:bottom w:val="none" w:sz="0" w:space="0" w:color="auto"/>
        <w:right w:val="none" w:sz="0" w:space="0" w:color="auto"/>
      </w:divBdr>
    </w:div>
    <w:div w:id="1791389691">
      <w:bodyDiv w:val="1"/>
      <w:marLeft w:val="0"/>
      <w:marRight w:val="0"/>
      <w:marTop w:val="0"/>
      <w:marBottom w:val="0"/>
      <w:divBdr>
        <w:top w:val="none" w:sz="0" w:space="0" w:color="auto"/>
        <w:left w:val="none" w:sz="0" w:space="0" w:color="auto"/>
        <w:bottom w:val="none" w:sz="0" w:space="0" w:color="auto"/>
        <w:right w:val="none" w:sz="0" w:space="0" w:color="auto"/>
      </w:divBdr>
    </w:div>
    <w:div w:id="1793672815">
      <w:bodyDiv w:val="1"/>
      <w:marLeft w:val="0"/>
      <w:marRight w:val="0"/>
      <w:marTop w:val="0"/>
      <w:marBottom w:val="0"/>
      <w:divBdr>
        <w:top w:val="none" w:sz="0" w:space="0" w:color="auto"/>
        <w:left w:val="none" w:sz="0" w:space="0" w:color="auto"/>
        <w:bottom w:val="none" w:sz="0" w:space="0" w:color="auto"/>
        <w:right w:val="none" w:sz="0" w:space="0" w:color="auto"/>
      </w:divBdr>
    </w:div>
    <w:div w:id="1794639016">
      <w:bodyDiv w:val="1"/>
      <w:marLeft w:val="0"/>
      <w:marRight w:val="0"/>
      <w:marTop w:val="0"/>
      <w:marBottom w:val="0"/>
      <w:divBdr>
        <w:top w:val="none" w:sz="0" w:space="0" w:color="auto"/>
        <w:left w:val="none" w:sz="0" w:space="0" w:color="auto"/>
        <w:bottom w:val="none" w:sz="0" w:space="0" w:color="auto"/>
        <w:right w:val="none" w:sz="0" w:space="0" w:color="auto"/>
      </w:divBdr>
    </w:div>
    <w:div w:id="1794790926">
      <w:bodyDiv w:val="1"/>
      <w:marLeft w:val="0"/>
      <w:marRight w:val="0"/>
      <w:marTop w:val="0"/>
      <w:marBottom w:val="0"/>
      <w:divBdr>
        <w:top w:val="none" w:sz="0" w:space="0" w:color="auto"/>
        <w:left w:val="none" w:sz="0" w:space="0" w:color="auto"/>
        <w:bottom w:val="none" w:sz="0" w:space="0" w:color="auto"/>
        <w:right w:val="none" w:sz="0" w:space="0" w:color="auto"/>
      </w:divBdr>
    </w:div>
    <w:div w:id="1794906442">
      <w:bodyDiv w:val="1"/>
      <w:marLeft w:val="0"/>
      <w:marRight w:val="0"/>
      <w:marTop w:val="0"/>
      <w:marBottom w:val="0"/>
      <w:divBdr>
        <w:top w:val="none" w:sz="0" w:space="0" w:color="auto"/>
        <w:left w:val="none" w:sz="0" w:space="0" w:color="auto"/>
        <w:bottom w:val="none" w:sz="0" w:space="0" w:color="auto"/>
        <w:right w:val="none" w:sz="0" w:space="0" w:color="auto"/>
      </w:divBdr>
    </w:div>
    <w:div w:id="1795252035">
      <w:bodyDiv w:val="1"/>
      <w:marLeft w:val="0"/>
      <w:marRight w:val="0"/>
      <w:marTop w:val="0"/>
      <w:marBottom w:val="0"/>
      <w:divBdr>
        <w:top w:val="none" w:sz="0" w:space="0" w:color="auto"/>
        <w:left w:val="none" w:sz="0" w:space="0" w:color="auto"/>
        <w:bottom w:val="none" w:sz="0" w:space="0" w:color="auto"/>
        <w:right w:val="none" w:sz="0" w:space="0" w:color="auto"/>
      </w:divBdr>
    </w:div>
    <w:div w:id="1795565139">
      <w:bodyDiv w:val="1"/>
      <w:marLeft w:val="0"/>
      <w:marRight w:val="0"/>
      <w:marTop w:val="0"/>
      <w:marBottom w:val="0"/>
      <w:divBdr>
        <w:top w:val="none" w:sz="0" w:space="0" w:color="auto"/>
        <w:left w:val="none" w:sz="0" w:space="0" w:color="auto"/>
        <w:bottom w:val="none" w:sz="0" w:space="0" w:color="auto"/>
        <w:right w:val="none" w:sz="0" w:space="0" w:color="auto"/>
      </w:divBdr>
    </w:div>
    <w:div w:id="1795631115">
      <w:bodyDiv w:val="1"/>
      <w:marLeft w:val="0"/>
      <w:marRight w:val="0"/>
      <w:marTop w:val="0"/>
      <w:marBottom w:val="0"/>
      <w:divBdr>
        <w:top w:val="none" w:sz="0" w:space="0" w:color="auto"/>
        <w:left w:val="none" w:sz="0" w:space="0" w:color="auto"/>
        <w:bottom w:val="none" w:sz="0" w:space="0" w:color="auto"/>
        <w:right w:val="none" w:sz="0" w:space="0" w:color="auto"/>
      </w:divBdr>
    </w:div>
    <w:div w:id="1796099710">
      <w:bodyDiv w:val="1"/>
      <w:marLeft w:val="0"/>
      <w:marRight w:val="0"/>
      <w:marTop w:val="0"/>
      <w:marBottom w:val="0"/>
      <w:divBdr>
        <w:top w:val="none" w:sz="0" w:space="0" w:color="auto"/>
        <w:left w:val="none" w:sz="0" w:space="0" w:color="auto"/>
        <w:bottom w:val="none" w:sz="0" w:space="0" w:color="auto"/>
        <w:right w:val="none" w:sz="0" w:space="0" w:color="auto"/>
      </w:divBdr>
    </w:div>
    <w:div w:id="1796486930">
      <w:bodyDiv w:val="1"/>
      <w:marLeft w:val="0"/>
      <w:marRight w:val="0"/>
      <w:marTop w:val="0"/>
      <w:marBottom w:val="0"/>
      <w:divBdr>
        <w:top w:val="none" w:sz="0" w:space="0" w:color="auto"/>
        <w:left w:val="none" w:sz="0" w:space="0" w:color="auto"/>
        <w:bottom w:val="none" w:sz="0" w:space="0" w:color="auto"/>
        <w:right w:val="none" w:sz="0" w:space="0" w:color="auto"/>
      </w:divBdr>
    </w:div>
    <w:div w:id="1797063568">
      <w:bodyDiv w:val="1"/>
      <w:marLeft w:val="0"/>
      <w:marRight w:val="0"/>
      <w:marTop w:val="0"/>
      <w:marBottom w:val="0"/>
      <w:divBdr>
        <w:top w:val="none" w:sz="0" w:space="0" w:color="auto"/>
        <w:left w:val="none" w:sz="0" w:space="0" w:color="auto"/>
        <w:bottom w:val="none" w:sz="0" w:space="0" w:color="auto"/>
        <w:right w:val="none" w:sz="0" w:space="0" w:color="auto"/>
      </w:divBdr>
    </w:div>
    <w:div w:id="1797916120">
      <w:bodyDiv w:val="1"/>
      <w:marLeft w:val="0"/>
      <w:marRight w:val="0"/>
      <w:marTop w:val="0"/>
      <w:marBottom w:val="0"/>
      <w:divBdr>
        <w:top w:val="none" w:sz="0" w:space="0" w:color="auto"/>
        <w:left w:val="none" w:sz="0" w:space="0" w:color="auto"/>
        <w:bottom w:val="none" w:sz="0" w:space="0" w:color="auto"/>
        <w:right w:val="none" w:sz="0" w:space="0" w:color="auto"/>
      </w:divBdr>
    </w:div>
    <w:div w:id="1797941659">
      <w:bodyDiv w:val="1"/>
      <w:marLeft w:val="0"/>
      <w:marRight w:val="0"/>
      <w:marTop w:val="0"/>
      <w:marBottom w:val="0"/>
      <w:divBdr>
        <w:top w:val="none" w:sz="0" w:space="0" w:color="auto"/>
        <w:left w:val="none" w:sz="0" w:space="0" w:color="auto"/>
        <w:bottom w:val="none" w:sz="0" w:space="0" w:color="auto"/>
        <w:right w:val="none" w:sz="0" w:space="0" w:color="auto"/>
      </w:divBdr>
    </w:div>
    <w:div w:id="1799298310">
      <w:bodyDiv w:val="1"/>
      <w:marLeft w:val="0"/>
      <w:marRight w:val="0"/>
      <w:marTop w:val="0"/>
      <w:marBottom w:val="0"/>
      <w:divBdr>
        <w:top w:val="none" w:sz="0" w:space="0" w:color="auto"/>
        <w:left w:val="none" w:sz="0" w:space="0" w:color="auto"/>
        <w:bottom w:val="none" w:sz="0" w:space="0" w:color="auto"/>
        <w:right w:val="none" w:sz="0" w:space="0" w:color="auto"/>
      </w:divBdr>
    </w:div>
    <w:div w:id="1799952705">
      <w:bodyDiv w:val="1"/>
      <w:marLeft w:val="0"/>
      <w:marRight w:val="0"/>
      <w:marTop w:val="0"/>
      <w:marBottom w:val="0"/>
      <w:divBdr>
        <w:top w:val="none" w:sz="0" w:space="0" w:color="auto"/>
        <w:left w:val="none" w:sz="0" w:space="0" w:color="auto"/>
        <w:bottom w:val="none" w:sz="0" w:space="0" w:color="auto"/>
        <w:right w:val="none" w:sz="0" w:space="0" w:color="auto"/>
      </w:divBdr>
    </w:div>
    <w:div w:id="1801268364">
      <w:bodyDiv w:val="1"/>
      <w:marLeft w:val="0"/>
      <w:marRight w:val="0"/>
      <w:marTop w:val="0"/>
      <w:marBottom w:val="0"/>
      <w:divBdr>
        <w:top w:val="none" w:sz="0" w:space="0" w:color="auto"/>
        <w:left w:val="none" w:sz="0" w:space="0" w:color="auto"/>
        <w:bottom w:val="none" w:sz="0" w:space="0" w:color="auto"/>
        <w:right w:val="none" w:sz="0" w:space="0" w:color="auto"/>
      </w:divBdr>
    </w:div>
    <w:div w:id="1801612240">
      <w:bodyDiv w:val="1"/>
      <w:marLeft w:val="0"/>
      <w:marRight w:val="0"/>
      <w:marTop w:val="0"/>
      <w:marBottom w:val="0"/>
      <w:divBdr>
        <w:top w:val="none" w:sz="0" w:space="0" w:color="auto"/>
        <w:left w:val="none" w:sz="0" w:space="0" w:color="auto"/>
        <w:bottom w:val="none" w:sz="0" w:space="0" w:color="auto"/>
        <w:right w:val="none" w:sz="0" w:space="0" w:color="auto"/>
      </w:divBdr>
    </w:div>
    <w:div w:id="1801679339">
      <w:bodyDiv w:val="1"/>
      <w:marLeft w:val="0"/>
      <w:marRight w:val="0"/>
      <w:marTop w:val="0"/>
      <w:marBottom w:val="0"/>
      <w:divBdr>
        <w:top w:val="none" w:sz="0" w:space="0" w:color="auto"/>
        <w:left w:val="none" w:sz="0" w:space="0" w:color="auto"/>
        <w:bottom w:val="none" w:sz="0" w:space="0" w:color="auto"/>
        <w:right w:val="none" w:sz="0" w:space="0" w:color="auto"/>
      </w:divBdr>
    </w:div>
    <w:div w:id="1801800606">
      <w:bodyDiv w:val="1"/>
      <w:marLeft w:val="0"/>
      <w:marRight w:val="0"/>
      <w:marTop w:val="0"/>
      <w:marBottom w:val="0"/>
      <w:divBdr>
        <w:top w:val="none" w:sz="0" w:space="0" w:color="auto"/>
        <w:left w:val="none" w:sz="0" w:space="0" w:color="auto"/>
        <w:bottom w:val="none" w:sz="0" w:space="0" w:color="auto"/>
        <w:right w:val="none" w:sz="0" w:space="0" w:color="auto"/>
      </w:divBdr>
    </w:div>
    <w:div w:id="1802651400">
      <w:bodyDiv w:val="1"/>
      <w:marLeft w:val="0"/>
      <w:marRight w:val="0"/>
      <w:marTop w:val="0"/>
      <w:marBottom w:val="0"/>
      <w:divBdr>
        <w:top w:val="none" w:sz="0" w:space="0" w:color="auto"/>
        <w:left w:val="none" w:sz="0" w:space="0" w:color="auto"/>
        <w:bottom w:val="none" w:sz="0" w:space="0" w:color="auto"/>
        <w:right w:val="none" w:sz="0" w:space="0" w:color="auto"/>
      </w:divBdr>
    </w:div>
    <w:div w:id="1802916215">
      <w:bodyDiv w:val="1"/>
      <w:marLeft w:val="0"/>
      <w:marRight w:val="0"/>
      <w:marTop w:val="0"/>
      <w:marBottom w:val="0"/>
      <w:divBdr>
        <w:top w:val="none" w:sz="0" w:space="0" w:color="auto"/>
        <w:left w:val="none" w:sz="0" w:space="0" w:color="auto"/>
        <w:bottom w:val="none" w:sz="0" w:space="0" w:color="auto"/>
        <w:right w:val="none" w:sz="0" w:space="0" w:color="auto"/>
      </w:divBdr>
    </w:div>
    <w:div w:id="1803113346">
      <w:bodyDiv w:val="1"/>
      <w:marLeft w:val="0"/>
      <w:marRight w:val="0"/>
      <w:marTop w:val="0"/>
      <w:marBottom w:val="0"/>
      <w:divBdr>
        <w:top w:val="none" w:sz="0" w:space="0" w:color="auto"/>
        <w:left w:val="none" w:sz="0" w:space="0" w:color="auto"/>
        <w:bottom w:val="none" w:sz="0" w:space="0" w:color="auto"/>
        <w:right w:val="none" w:sz="0" w:space="0" w:color="auto"/>
      </w:divBdr>
    </w:div>
    <w:div w:id="1804038915">
      <w:bodyDiv w:val="1"/>
      <w:marLeft w:val="0"/>
      <w:marRight w:val="0"/>
      <w:marTop w:val="0"/>
      <w:marBottom w:val="0"/>
      <w:divBdr>
        <w:top w:val="none" w:sz="0" w:space="0" w:color="auto"/>
        <w:left w:val="none" w:sz="0" w:space="0" w:color="auto"/>
        <w:bottom w:val="none" w:sz="0" w:space="0" w:color="auto"/>
        <w:right w:val="none" w:sz="0" w:space="0" w:color="auto"/>
      </w:divBdr>
    </w:div>
    <w:div w:id="1805465952">
      <w:bodyDiv w:val="1"/>
      <w:marLeft w:val="0"/>
      <w:marRight w:val="0"/>
      <w:marTop w:val="0"/>
      <w:marBottom w:val="0"/>
      <w:divBdr>
        <w:top w:val="none" w:sz="0" w:space="0" w:color="auto"/>
        <w:left w:val="none" w:sz="0" w:space="0" w:color="auto"/>
        <w:bottom w:val="none" w:sz="0" w:space="0" w:color="auto"/>
        <w:right w:val="none" w:sz="0" w:space="0" w:color="auto"/>
      </w:divBdr>
    </w:div>
    <w:div w:id="1805924300">
      <w:bodyDiv w:val="1"/>
      <w:marLeft w:val="0"/>
      <w:marRight w:val="0"/>
      <w:marTop w:val="0"/>
      <w:marBottom w:val="0"/>
      <w:divBdr>
        <w:top w:val="none" w:sz="0" w:space="0" w:color="auto"/>
        <w:left w:val="none" w:sz="0" w:space="0" w:color="auto"/>
        <w:bottom w:val="none" w:sz="0" w:space="0" w:color="auto"/>
        <w:right w:val="none" w:sz="0" w:space="0" w:color="auto"/>
      </w:divBdr>
    </w:div>
    <w:div w:id="1806583312">
      <w:bodyDiv w:val="1"/>
      <w:marLeft w:val="0"/>
      <w:marRight w:val="0"/>
      <w:marTop w:val="0"/>
      <w:marBottom w:val="0"/>
      <w:divBdr>
        <w:top w:val="none" w:sz="0" w:space="0" w:color="auto"/>
        <w:left w:val="none" w:sz="0" w:space="0" w:color="auto"/>
        <w:bottom w:val="none" w:sz="0" w:space="0" w:color="auto"/>
        <w:right w:val="none" w:sz="0" w:space="0" w:color="auto"/>
      </w:divBdr>
    </w:div>
    <w:div w:id="1807158154">
      <w:bodyDiv w:val="1"/>
      <w:marLeft w:val="0"/>
      <w:marRight w:val="0"/>
      <w:marTop w:val="0"/>
      <w:marBottom w:val="0"/>
      <w:divBdr>
        <w:top w:val="none" w:sz="0" w:space="0" w:color="auto"/>
        <w:left w:val="none" w:sz="0" w:space="0" w:color="auto"/>
        <w:bottom w:val="none" w:sz="0" w:space="0" w:color="auto"/>
        <w:right w:val="none" w:sz="0" w:space="0" w:color="auto"/>
      </w:divBdr>
    </w:div>
    <w:div w:id="1808625081">
      <w:bodyDiv w:val="1"/>
      <w:marLeft w:val="0"/>
      <w:marRight w:val="0"/>
      <w:marTop w:val="0"/>
      <w:marBottom w:val="0"/>
      <w:divBdr>
        <w:top w:val="none" w:sz="0" w:space="0" w:color="auto"/>
        <w:left w:val="none" w:sz="0" w:space="0" w:color="auto"/>
        <w:bottom w:val="none" w:sz="0" w:space="0" w:color="auto"/>
        <w:right w:val="none" w:sz="0" w:space="0" w:color="auto"/>
      </w:divBdr>
    </w:div>
    <w:div w:id="1810856250">
      <w:bodyDiv w:val="1"/>
      <w:marLeft w:val="0"/>
      <w:marRight w:val="0"/>
      <w:marTop w:val="0"/>
      <w:marBottom w:val="0"/>
      <w:divBdr>
        <w:top w:val="none" w:sz="0" w:space="0" w:color="auto"/>
        <w:left w:val="none" w:sz="0" w:space="0" w:color="auto"/>
        <w:bottom w:val="none" w:sz="0" w:space="0" w:color="auto"/>
        <w:right w:val="none" w:sz="0" w:space="0" w:color="auto"/>
      </w:divBdr>
    </w:div>
    <w:div w:id="1811943211">
      <w:bodyDiv w:val="1"/>
      <w:marLeft w:val="0"/>
      <w:marRight w:val="0"/>
      <w:marTop w:val="0"/>
      <w:marBottom w:val="0"/>
      <w:divBdr>
        <w:top w:val="none" w:sz="0" w:space="0" w:color="auto"/>
        <w:left w:val="none" w:sz="0" w:space="0" w:color="auto"/>
        <w:bottom w:val="none" w:sz="0" w:space="0" w:color="auto"/>
        <w:right w:val="none" w:sz="0" w:space="0" w:color="auto"/>
      </w:divBdr>
    </w:div>
    <w:div w:id="1812283030">
      <w:bodyDiv w:val="1"/>
      <w:marLeft w:val="0"/>
      <w:marRight w:val="0"/>
      <w:marTop w:val="0"/>
      <w:marBottom w:val="0"/>
      <w:divBdr>
        <w:top w:val="none" w:sz="0" w:space="0" w:color="auto"/>
        <w:left w:val="none" w:sz="0" w:space="0" w:color="auto"/>
        <w:bottom w:val="none" w:sz="0" w:space="0" w:color="auto"/>
        <w:right w:val="none" w:sz="0" w:space="0" w:color="auto"/>
      </w:divBdr>
    </w:div>
    <w:div w:id="1813323961">
      <w:bodyDiv w:val="1"/>
      <w:marLeft w:val="0"/>
      <w:marRight w:val="0"/>
      <w:marTop w:val="0"/>
      <w:marBottom w:val="0"/>
      <w:divBdr>
        <w:top w:val="none" w:sz="0" w:space="0" w:color="auto"/>
        <w:left w:val="none" w:sz="0" w:space="0" w:color="auto"/>
        <w:bottom w:val="none" w:sz="0" w:space="0" w:color="auto"/>
        <w:right w:val="none" w:sz="0" w:space="0" w:color="auto"/>
      </w:divBdr>
    </w:div>
    <w:div w:id="1813523731">
      <w:bodyDiv w:val="1"/>
      <w:marLeft w:val="0"/>
      <w:marRight w:val="0"/>
      <w:marTop w:val="0"/>
      <w:marBottom w:val="0"/>
      <w:divBdr>
        <w:top w:val="none" w:sz="0" w:space="0" w:color="auto"/>
        <w:left w:val="none" w:sz="0" w:space="0" w:color="auto"/>
        <w:bottom w:val="none" w:sz="0" w:space="0" w:color="auto"/>
        <w:right w:val="none" w:sz="0" w:space="0" w:color="auto"/>
      </w:divBdr>
    </w:div>
    <w:div w:id="1813984616">
      <w:bodyDiv w:val="1"/>
      <w:marLeft w:val="0"/>
      <w:marRight w:val="0"/>
      <w:marTop w:val="0"/>
      <w:marBottom w:val="0"/>
      <w:divBdr>
        <w:top w:val="none" w:sz="0" w:space="0" w:color="auto"/>
        <w:left w:val="none" w:sz="0" w:space="0" w:color="auto"/>
        <w:bottom w:val="none" w:sz="0" w:space="0" w:color="auto"/>
        <w:right w:val="none" w:sz="0" w:space="0" w:color="auto"/>
      </w:divBdr>
    </w:div>
    <w:div w:id="1814061575">
      <w:bodyDiv w:val="1"/>
      <w:marLeft w:val="0"/>
      <w:marRight w:val="0"/>
      <w:marTop w:val="0"/>
      <w:marBottom w:val="0"/>
      <w:divBdr>
        <w:top w:val="none" w:sz="0" w:space="0" w:color="auto"/>
        <w:left w:val="none" w:sz="0" w:space="0" w:color="auto"/>
        <w:bottom w:val="none" w:sz="0" w:space="0" w:color="auto"/>
        <w:right w:val="none" w:sz="0" w:space="0" w:color="auto"/>
      </w:divBdr>
    </w:div>
    <w:div w:id="1814565760">
      <w:bodyDiv w:val="1"/>
      <w:marLeft w:val="0"/>
      <w:marRight w:val="0"/>
      <w:marTop w:val="0"/>
      <w:marBottom w:val="0"/>
      <w:divBdr>
        <w:top w:val="none" w:sz="0" w:space="0" w:color="auto"/>
        <w:left w:val="none" w:sz="0" w:space="0" w:color="auto"/>
        <w:bottom w:val="none" w:sz="0" w:space="0" w:color="auto"/>
        <w:right w:val="none" w:sz="0" w:space="0" w:color="auto"/>
      </w:divBdr>
    </w:div>
    <w:div w:id="1815609892">
      <w:bodyDiv w:val="1"/>
      <w:marLeft w:val="0"/>
      <w:marRight w:val="0"/>
      <w:marTop w:val="0"/>
      <w:marBottom w:val="0"/>
      <w:divBdr>
        <w:top w:val="none" w:sz="0" w:space="0" w:color="auto"/>
        <w:left w:val="none" w:sz="0" w:space="0" w:color="auto"/>
        <w:bottom w:val="none" w:sz="0" w:space="0" w:color="auto"/>
        <w:right w:val="none" w:sz="0" w:space="0" w:color="auto"/>
      </w:divBdr>
    </w:div>
    <w:div w:id="1816609152">
      <w:bodyDiv w:val="1"/>
      <w:marLeft w:val="0"/>
      <w:marRight w:val="0"/>
      <w:marTop w:val="0"/>
      <w:marBottom w:val="0"/>
      <w:divBdr>
        <w:top w:val="none" w:sz="0" w:space="0" w:color="auto"/>
        <w:left w:val="none" w:sz="0" w:space="0" w:color="auto"/>
        <w:bottom w:val="none" w:sz="0" w:space="0" w:color="auto"/>
        <w:right w:val="none" w:sz="0" w:space="0" w:color="auto"/>
      </w:divBdr>
    </w:div>
    <w:div w:id="1817531119">
      <w:bodyDiv w:val="1"/>
      <w:marLeft w:val="0"/>
      <w:marRight w:val="0"/>
      <w:marTop w:val="0"/>
      <w:marBottom w:val="0"/>
      <w:divBdr>
        <w:top w:val="none" w:sz="0" w:space="0" w:color="auto"/>
        <w:left w:val="none" w:sz="0" w:space="0" w:color="auto"/>
        <w:bottom w:val="none" w:sz="0" w:space="0" w:color="auto"/>
        <w:right w:val="none" w:sz="0" w:space="0" w:color="auto"/>
      </w:divBdr>
    </w:div>
    <w:div w:id="1817717152">
      <w:bodyDiv w:val="1"/>
      <w:marLeft w:val="0"/>
      <w:marRight w:val="0"/>
      <w:marTop w:val="0"/>
      <w:marBottom w:val="0"/>
      <w:divBdr>
        <w:top w:val="none" w:sz="0" w:space="0" w:color="auto"/>
        <w:left w:val="none" w:sz="0" w:space="0" w:color="auto"/>
        <w:bottom w:val="none" w:sz="0" w:space="0" w:color="auto"/>
        <w:right w:val="none" w:sz="0" w:space="0" w:color="auto"/>
      </w:divBdr>
    </w:div>
    <w:div w:id="1819228170">
      <w:bodyDiv w:val="1"/>
      <w:marLeft w:val="0"/>
      <w:marRight w:val="0"/>
      <w:marTop w:val="0"/>
      <w:marBottom w:val="0"/>
      <w:divBdr>
        <w:top w:val="none" w:sz="0" w:space="0" w:color="auto"/>
        <w:left w:val="none" w:sz="0" w:space="0" w:color="auto"/>
        <w:bottom w:val="none" w:sz="0" w:space="0" w:color="auto"/>
        <w:right w:val="none" w:sz="0" w:space="0" w:color="auto"/>
      </w:divBdr>
    </w:div>
    <w:div w:id="1821801584">
      <w:bodyDiv w:val="1"/>
      <w:marLeft w:val="0"/>
      <w:marRight w:val="0"/>
      <w:marTop w:val="0"/>
      <w:marBottom w:val="0"/>
      <w:divBdr>
        <w:top w:val="none" w:sz="0" w:space="0" w:color="auto"/>
        <w:left w:val="none" w:sz="0" w:space="0" w:color="auto"/>
        <w:bottom w:val="none" w:sz="0" w:space="0" w:color="auto"/>
        <w:right w:val="none" w:sz="0" w:space="0" w:color="auto"/>
      </w:divBdr>
    </w:div>
    <w:div w:id="1824002648">
      <w:bodyDiv w:val="1"/>
      <w:marLeft w:val="0"/>
      <w:marRight w:val="0"/>
      <w:marTop w:val="0"/>
      <w:marBottom w:val="0"/>
      <w:divBdr>
        <w:top w:val="none" w:sz="0" w:space="0" w:color="auto"/>
        <w:left w:val="none" w:sz="0" w:space="0" w:color="auto"/>
        <w:bottom w:val="none" w:sz="0" w:space="0" w:color="auto"/>
        <w:right w:val="none" w:sz="0" w:space="0" w:color="auto"/>
      </w:divBdr>
    </w:div>
    <w:div w:id="1824271420">
      <w:bodyDiv w:val="1"/>
      <w:marLeft w:val="0"/>
      <w:marRight w:val="0"/>
      <w:marTop w:val="0"/>
      <w:marBottom w:val="0"/>
      <w:divBdr>
        <w:top w:val="none" w:sz="0" w:space="0" w:color="auto"/>
        <w:left w:val="none" w:sz="0" w:space="0" w:color="auto"/>
        <w:bottom w:val="none" w:sz="0" w:space="0" w:color="auto"/>
        <w:right w:val="none" w:sz="0" w:space="0" w:color="auto"/>
      </w:divBdr>
    </w:div>
    <w:div w:id="1825121223">
      <w:bodyDiv w:val="1"/>
      <w:marLeft w:val="0"/>
      <w:marRight w:val="0"/>
      <w:marTop w:val="0"/>
      <w:marBottom w:val="0"/>
      <w:divBdr>
        <w:top w:val="none" w:sz="0" w:space="0" w:color="auto"/>
        <w:left w:val="none" w:sz="0" w:space="0" w:color="auto"/>
        <w:bottom w:val="none" w:sz="0" w:space="0" w:color="auto"/>
        <w:right w:val="none" w:sz="0" w:space="0" w:color="auto"/>
      </w:divBdr>
    </w:div>
    <w:div w:id="1826121724">
      <w:bodyDiv w:val="1"/>
      <w:marLeft w:val="0"/>
      <w:marRight w:val="0"/>
      <w:marTop w:val="0"/>
      <w:marBottom w:val="0"/>
      <w:divBdr>
        <w:top w:val="none" w:sz="0" w:space="0" w:color="auto"/>
        <w:left w:val="none" w:sz="0" w:space="0" w:color="auto"/>
        <w:bottom w:val="none" w:sz="0" w:space="0" w:color="auto"/>
        <w:right w:val="none" w:sz="0" w:space="0" w:color="auto"/>
      </w:divBdr>
    </w:div>
    <w:div w:id="1826780666">
      <w:bodyDiv w:val="1"/>
      <w:marLeft w:val="0"/>
      <w:marRight w:val="0"/>
      <w:marTop w:val="0"/>
      <w:marBottom w:val="0"/>
      <w:divBdr>
        <w:top w:val="none" w:sz="0" w:space="0" w:color="auto"/>
        <w:left w:val="none" w:sz="0" w:space="0" w:color="auto"/>
        <w:bottom w:val="none" w:sz="0" w:space="0" w:color="auto"/>
        <w:right w:val="none" w:sz="0" w:space="0" w:color="auto"/>
      </w:divBdr>
    </w:div>
    <w:div w:id="1827284353">
      <w:bodyDiv w:val="1"/>
      <w:marLeft w:val="0"/>
      <w:marRight w:val="0"/>
      <w:marTop w:val="0"/>
      <w:marBottom w:val="0"/>
      <w:divBdr>
        <w:top w:val="none" w:sz="0" w:space="0" w:color="auto"/>
        <w:left w:val="none" w:sz="0" w:space="0" w:color="auto"/>
        <w:bottom w:val="none" w:sz="0" w:space="0" w:color="auto"/>
        <w:right w:val="none" w:sz="0" w:space="0" w:color="auto"/>
      </w:divBdr>
    </w:div>
    <w:div w:id="1828353494">
      <w:bodyDiv w:val="1"/>
      <w:marLeft w:val="0"/>
      <w:marRight w:val="0"/>
      <w:marTop w:val="0"/>
      <w:marBottom w:val="0"/>
      <w:divBdr>
        <w:top w:val="none" w:sz="0" w:space="0" w:color="auto"/>
        <w:left w:val="none" w:sz="0" w:space="0" w:color="auto"/>
        <w:bottom w:val="none" w:sz="0" w:space="0" w:color="auto"/>
        <w:right w:val="none" w:sz="0" w:space="0" w:color="auto"/>
      </w:divBdr>
    </w:div>
    <w:div w:id="1829713944">
      <w:bodyDiv w:val="1"/>
      <w:marLeft w:val="0"/>
      <w:marRight w:val="0"/>
      <w:marTop w:val="0"/>
      <w:marBottom w:val="0"/>
      <w:divBdr>
        <w:top w:val="none" w:sz="0" w:space="0" w:color="auto"/>
        <w:left w:val="none" w:sz="0" w:space="0" w:color="auto"/>
        <w:bottom w:val="none" w:sz="0" w:space="0" w:color="auto"/>
        <w:right w:val="none" w:sz="0" w:space="0" w:color="auto"/>
      </w:divBdr>
    </w:div>
    <w:div w:id="1830174479">
      <w:bodyDiv w:val="1"/>
      <w:marLeft w:val="0"/>
      <w:marRight w:val="0"/>
      <w:marTop w:val="0"/>
      <w:marBottom w:val="0"/>
      <w:divBdr>
        <w:top w:val="none" w:sz="0" w:space="0" w:color="auto"/>
        <w:left w:val="none" w:sz="0" w:space="0" w:color="auto"/>
        <w:bottom w:val="none" w:sz="0" w:space="0" w:color="auto"/>
        <w:right w:val="none" w:sz="0" w:space="0" w:color="auto"/>
      </w:divBdr>
    </w:div>
    <w:div w:id="1830444746">
      <w:bodyDiv w:val="1"/>
      <w:marLeft w:val="0"/>
      <w:marRight w:val="0"/>
      <w:marTop w:val="0"/>
      <w:marBottom w:val="0"/>
      <w:divBdr>
        <w:top w:val="none" w:sz="0" w:space="0" w:color="auto"/>
        <w:left w:val="none" w:sz="0" w:space="0" w:color="auto"/>
        <w:bottom w:val="none" w:sz="0" w:space="0" w:color="auto"/>
        <w:right w:val="none" w:sz="0" w:space="0" w:color="auto"/>
      </w:divBdr>
    </w:div>
    <w:div w:id="1830487031">
      <w:bodyDiv w:val="1"/>
      <w:marLeft w:val="0"/>
      <w:marRight w:val="0"/>
      <w:marTop w:val="0"/>
      <w:marBottom w:val="0"/>
      <w:divBdr>
        <w:top w:val="none" w:sz="0" w:space="0" w:color="auto"/>
        <w:left w:val="none" w:sz="0" w:space="0" w:color="auto"/>
        <w:bottom w:val="none" w:sz="0" w:space="0" w:color="auto"/>
        <w:right w:val="none" w:sz="0" w:space="0" w:color="auto"/>
      </w:divBdr>
    </w:div>
    <w:div w:id="1831285727">
      <w:bodyDiv w:val="1"/>
      <w:marLeft w:val="0"/>
      <w:marRight w:val="0"/>
      <w:marTop w:val="0"/>
      <w:marBottom w:val="0"/>
      <w:divBdr>
        <w:top w:val="none" w:sz="0" w:space="0" w:color="auto"/>
        <w:left w:val="none" w:sz="0" w:space="0" w:color="auto"/>
        <w:bottom w:val="none" w:sz="0" w:space="0" w:color="auto"/>
        <w:right w:val="none" w:sz="0" w:space="0" w:color="auto"/>
      </w:divBdr>
    </w:div>
    <w:div w:id="1832913501">
      <w:bodyDiv w:val="1"/>
      <w:marLeft w:val="0"/>
      <w:marRight w:val="0"/>
      <w:marTop w:val="0"/>
      <w:marBottom w:val="0"/>
      <w:divBdr>
        <w:top w:val="none" w:sz="0" w:space="0" w:color="auto"/>
        <w:left w:val="none" w:sz="0" w:space="0" w:color="auto"/>
        <w:bottom w:val="none" w:sz="0" w:space="0" w:color="auto"/>
        <w:right w:val="none" w:sz="0" w:space="0" w:color="auto"/>
      </w:divBdr>
    </w:div>
    <w:div w:id="1833183784">
      <w:bodyDiv w:val="1"/>
      <w:marLeft w:val="0"/>
      <w:marRight w:val="0"/>
      <w:marTop w:val="0"/>
      <w:marBottom w:val="0"/>
      <w:divBdr>
        <w:top w:val="none" w:sz="0" w:space="0" w:color="auto"/>
        <w:left w:val="none" w:sz="0" w:space="0" w:color="auto"/>
        <w:bottom w:val="none" w:sz="0" w:space="0" w:color="auto"/>
        <w:right w:val="none" w:sz="0" w:space="0" w:color="auto"/>
      </w:divBdr>
    </w:div>
    <w:div w:id="1833330451">
      <w:bodyDiv w:val="1"/>
      <w:marLeft w:val="0"/>
      <w:marRight w:val="0"/>
      <w:marTop w:val="0"/>
      <w:marBottom w:val="0"/>
      <w:divBdr>
        <w:top w:val="none" w:sz="0" w:space="0" w:color="auto"/>
        <w:left w:val="none" w:sz="0" w:space="0" w:color="auto"/>
        <w:bottom w:val="none" w:sz="0" w:space="0" w:color="auto"/>
        <w:right w:val="none" w:sz="0" w:space="0" w:color="auto"/>
      </w:divBdr>
    </w:div>
    <w:div w:id="1833371425">
      <w:bodyDiv w:val="1"/>
      <w:marLeft w:val="0"/>
      <w:marRight w:val="0"/>
      <w:marTop w:val="0"/>
      <w:marBottom w:val="0"/>
      <w:divBdr>
        <w:top w:val="none" w:sz="0" w:space="0" w:color="auto"/>
        <w:left w:val="none" w:sz="0" w:space="0" w:color="auto"/>
        <w:bottom w:val="none" w:sz="0" w:space="0" w:color="auto"/>
        <w:right w:val="none" w:sz="0" w:space="0" w:color="auto"/>
      </w:divBdr>
    </w:div>
    <w:div w:id="1835149769">
      <w:bodyDiv w:val="1"/>
      <w:marLeft w:val="0"/>
      <w:marRight w:val="0"/>
      <w:marTop w:val="0"/>
      <w:marBottom w:val="0"/>
      <w:divBdr>
        <w:top w:val="none" w:sz="0" w:space="0" w:color="auto"/>
        <w:left w:val="none" w:sz="0" w:space="0" w:color="auto"/>
        <w:bottom w:val="none" w:sz="0" w:space="0" w:color="auto"/>
        <w:right w:val="none" w:sz="0" w:space="0" w:color="auto"/>
      </w:divBdr>
    </w:div>
    <w:div w:id="1836334634">
      <w:bodyDiv w:val="1"/>
      <w:marLeft w:val="0"/>
      <w:marRight w:val="0"/>
      <w:marTop w:val="0"/>
      <w:marBottom w:val="0"/>
      <w:divBdr>
        <w:top w:val="none" w:sz="0" w:space="0" w:color="auto"/>
        <w:left w:val="none" w:sz="0" w:space="0" w:color="auto"/>
        <w:bottom w:val="none" w:sz="0" w:space="0" w:color="auto"/>
        <w:right w:val="none" w:sz="0" w:space="0" w:color="auto"/>
      </w:divBdr>
    </w:div>
    <w:div w:id="1836873798">
      <w:bodyDiv w:val="1"/>
      <w:marLeft w:val="0"/>
      <w:marRight w:val="0"/>
      <w:marTop w:val="0"/>
      <w:marBottom w:val="0"/>
      <w:divBdr>
        <w:top w:val="none" w:sz="0" w:space="0" w:color="auto"/>
        <w:left w:val="none" w:sz="0" w:space="0" w:color="auto"/>
        <w:bottom w:val="none" w:sz="0" w:space="0" w:color="auto"/>
        <w:right w:val="none" w:sz="0" w:space="0" w:color="auto"/>
      </w:divBdr>
    </w:div>
    <w:div w:id="1837919341">
      <w:bodyDiv w:val="1"/>
      <w:marLeft w:val="0"/>
      <w:marRight w:val="0"/>
      <w:marTop w:val="0"/>
      <w:marBottom w:val="0"/>
      <w:divBdr>
        <w:top w:val="none" w:sz="0" w:space="0" w:color="auto"/>
        <w:left w:val="none" w:sz="0" w:space="0" w:color="auto"/>
        <w:bottom w:val="none" w:sz="0" w:space="0" w:color="auto"/>
        <w:right w:val="none" w:sz="0" w:space="0" w:color="auto"/>
      </w:divBdr>
    </w:div>
    <w:div w:id="1838685503">
      <w:bodyDiv w:val="1"/>
      <w:marLeft w:val="0"/>
      <w:marRight w:val="0"/>
      <w:marTop w:val="0"/>
      <w:marBottom w:val="0"/>
      <w:divBdr>
        <w:top w:val="none" w:sz="0" w:space="0" w:color="auto"/>
        <w:left w:val="none" w:sz="0" w:space="0" w:color="auto"/>
        <w:bottom w:val="none" w:sz="0" w:space="0" w:color="auto"/>
        <w:right w:val="none" w:sz="0" w:space="0" w:color="auto"/>
      </w:divBdr>
    </w:div>
    <w:div w:id="1838766270">
      <w:bodyDiv w:val="1"/>
      <w:marLeft w:val="0"/>
      <w:marRight w:val="0"/>
      <w:marTop w:val="0"/>
      <w:marBottom w:val="0"/>
      <w:divBdr>
        <w:top w:val="none" w:sz="0" w:space="0" w:color="auto"/>
        <w:left w:val="none" w:sz="0" w:space="0" w:color="auto"/>
        <w:bottom w:val="none" w:sz="0" w:space="0" w:color="auto"/>
        <w:right w:val="none" w:sz="0" w:space="0" w:color="auto"/>
      </w:divBdr>
    </w:div>
    <w:div w:id="1839808388">
      <w:bodyDiv w:val="1"/>
      <w:marLeft w:val="0"/>
      <w:marRight w:val="0"/>
      <w:marTop w:val="0"/>
      <w:marBottom w:val="0"/>
      <w:divBdr>
        <w:top w:val="none" w:sz="0" w:space="0" w:color="auto"/>
        <w:left w:val="none" w:sz="0" w:space="0" w:color="auto"/>
        <w:bottom w:val="none" w:sz="0" w:space="0" w:color="auto"/>
        <w:right w:val="none" w:sz="0" w:space="0" w:color="auto"/>
      </w:divBdr>
    </w:div>
    <w:div w:id="1840729368">
      <w:bodyDiv w:val="1"/>
      <w:marLeft w:val="0"/>
      <w:marRight w:val="0"/>
      <w:marTop w:val="0"/>
      <w:marBottom w:val="0"/>
      <w:divBdr>
        <w:top w:val="none" w:sz="0" w:space="0" w:color="auto"/>
        <w:left w:val="none" w:sz="0" w:space="0" w:color="auto"/>
        <w:bottom w:val="none" w:sz="0" w:space="0" w:color="auto"/>
        <w:right w:val="none" w:sz="0" w:space="0" w:color="auto"/>
      </w:divBdr>
    </w:div>
    <w:div w:id="1844008134">
      <w:bodyDiv w:val="1"/>
      <w:marLeft w:val="0"/>
      <w:marRight w:val="0"/>
      <w:marTop w:val="0"/>
      <w:marBottom w:val="0"/>
      <w:divBdr>
        <w:top w:val="none" w:sz="0" w:space="0" w:color="auto"/>
        <w:left w:val="none" w:sz="0" w:space="0" w:color="auto"/>
        <w:bottom w:val="none" w:sz="0" w:space="0" w:color="auto"/>
        <w:right w:val="none" w:sz="0" w:space="0" w:color="auto"/>
      </w:divBdr>
    </w:div>
    <w:div w:id="1845321665">
      <w:bodyDiv w:val="1"/>
      <w:marLeft w:val="0"/>
      <w:marRight w:val="0"/>
      <w:marTop w:val="0"/>
      <w:marBottom w:val="0"/>
      <w:divBdr>
        <w:top w:val="none" w:sz="0" w:space="0" w:color="auto"/>
        <w:left w:val="none" w:sz="0" w:space="0" w:color="auto"/>
        <w:bottom w:val="none" w:sz="0" w:space="0" w:color="auto"/>
        <w:right w:val="none" w:sz="0" w:space="0" w:color="auto"/>
      </w:divBdr>
    </w:div>
    <w:div w:id="1846432552">
      <w:bodyDiv w:val="1"/>
      <w:marLeft w:val="0"/>
      <w:marRight w:val="0"/>
      <w:marTop w:val="0"/>
      <w:marBottom w:val="0"/>
      <w:divBdr>
        <w:top w:val="none" w:sz="0" w:space="0" w:color="auto"/>
        <w:left w:val="none" w:sz="0" w:space="0" w:color="auto"/>
        <w:bottom w:val="none" w:sz="0" w:space="0" w:color="auto"/>
        <w:right w:val="none" w:sz="0" w:space="0" w:color="auto"/>
      </w:divBdr>
    </w:div>
    <w:div w:id="1846937162">
      <w:bodyDiv w:val="1"/>
      <w:marLeft w:val="0"/>
      <w:marRight w:val="0"/>
      <w:marTop w:val="0"/>
      <w:marBottom w:val="0"/>
      <w:divBdr>
        <w:top w:val="none" w:sz="0" w:space="0" w:color="auto"/>
        <w:left w:val="none" w:sz="0" w:space="0" w:color="auto"/>
        <w:bottom w:val="none" w:sz="0" w:space="0" w:color="auto"/>
        <w:right w:val="none" w:sz="0" w:space="0" w:color="auto"/>
      </w:divBdr>
    </w:div>
    <w:div w:id="1847163080">
      <w:bodyDiv w:val="1"/>
      <w:marLeft w:val="0"/>
      <w:marRight w:val="0"/>
      <w:marTop w:val="0"/>
      <w:marBottom w:val="0"/>
      <w:divBdr>
        <w:top w:val="none" w:sz="0" w:space="0" w:color="auto"/>
        <w:left w:val="none" w:sz="0" w:space="0" w:color="auto"/>
        <w:bottom w:val="none" w:sz="0" w:space="0" w:color="auto"/>
        <w:right w:val="none" w:sz="0" w:space="0" w:color="auto"/>
      </w:divBdr>
    </w:div>
    <w:div w:id="1848010196">
      <w:bodyDiv w:val="1"/>
      <w:marLeft w:val="0"/>
      <w:marRight w:val="0"/>
      <w:marTop w:val="0"/>
      <w:marBottom w:val="0"/>
      <w:divBdr>
        <w:top w:val="none" w:sz="0" w:space="0" w:color="auto"/>
        <w:left w:val="none" w:sz="0" w:space="0" w:color="auto"/>
        <w:bottom w:val="none" w:sz="0" w:space="0" w:color="auto"/>
        <w:right w:val="none" w:sz="0" w:space="0" w:color="auto"/>
      </w:divBdr>
    </w:div>
    <w:div w:id="1848404238">
      <w:bodyDiv w:val="1"/>
      <w:marLeft w:val="0"/>
      <w:marRight w:val="0"/>
      <w:marTop w:val="0"/>
      <w:marBottom w:val="0"/>
      <w:divBdr>
        <w:top w:val="none" w:sz="0" w:space="0" w:color="auto"/>
        <w:left w:val="none" w:sz="0" w:space="0" w:color="auto"/>
        <w:bottom w:val="none" w:sz="0" w:space="0" w:color="auto"/>
        <w:right w:val="none" w:sz="0" w:space="0" w:color="auto"/>
      </w:divBdr>
    </w:div>
    <w:div w:id="1849714874">
      <w:bodyDiv w:val="1"/>
      <w:marLeft w:val="0"/>
      <w:marRight w:val="0"/>
      <w:marTop w:val="0"/>
      <w:marBottom w:val="0"/>
      <w:divBdr>
        <w:top w:val="none" w:sz="0" w:space="0" w:color="auto"/>
        <w:left w:val="none" w:sz="0" w:space="0" w:color="auto"/>
        <w:bottom w:val="none" w:sz="0" w:space="0" w:color="auto"/>
        <w:right w:val="none" w:sz="0" w:space="0" w:color="auto"/>
      </w:divBdr>
    </w:div>
    <w:div w:id="1850481787">
      <w:bodyDiv w:val="1"/>
      <w:marLeft w:val="0"/>
      <w:marRight w:val="0"/>
      <w:marTop w:val="0"/>
      <w:marBottom w:val="0"/>
      <w:divBdr>
        <w:top w:val="none" w:sz="0" w:space="0" w:color="auto"/>
        <w:left w:val="none" w:sz="0" w:space="0" w:color="auto"/>
        <w:bottom w:val="none" w:sz="0" w:space="0" w:color="auto"/>
        <w:right w:val="none" w:sz="0" w:space="0" w:color="auto"/>
      </w:divBdr>
    </w:div>
    <w:div w:id="1850830420">
      <w:bodyDiv w:val="1"/>
      <w:marLeft w:val="0"/>
      <w:marRight w:val="0"/>
      <w:marTop w:val="0"/>
      <w:marBottom w:val="0"/>
      <w:divBdr>
        <w:top w:val="none" w:sz="0" w:space="0" w:color="auto"/>
        <w:left w:val="none" w:sz="0" w:space="0" w:color="auto"/>
        <w:bottom w:val="none" w:sz="0" w:space="0" w:color="auto"/>
        <w:right w:val="none" w:sz="0" w:space="0" w:color="auto"/>
      </w:divBdr>
    </w:div>
    <w:div w:id="1852179035">
      <w:bodyDiv w:val="1"/>
      <w:marLeft w:val="0"/>
      <w:marRight w:val="0"/>
      <w:marTop w:val="0"/>
      <w:marBottom w:val="0"/>
      <w:divBdr>
        <w:top w:val="none" w:sz="0" w:space="0" w:color="auto"/>
        <w:left w:val="none" w:sz="0" w:space="0" w:color="auto"/>
        <w:bottom w:val="none" w:sz="0" w:space="0" w:color="auto"/>
        <w:right w:val="none" w:sz="0" w:space="0" w:color="auto"/>
      </w:divBdr>
    </w:div>
    <w:div w:id="1852447627">
      <w:bodyDiv w:val="1"/>
      <w:marLeft w:val="0"/>
      <w:marRight w:val="0"/>
      <w:marTop w:val="0"/>
      <w:marBottom w:val="0"/>
      <w:divBdr>
        <w:top w:val="none" w:sz="0" w:space="0" w:color="auto"/>
        <w:left w:val="none" w:sz="0" w:space="0" w:color="auto"/>
        <w:bottom w:val="none" w:sz="0" w:space="0" w:color="auto"/>
        <w:right w:val="none" w:sz="0" w:space="0" w:color="auto"/>
      </w:divBdr>
    </w:div>
    <w:div w:id="1852644693">
      <w:bodyDiv w:val="1"/>
      <w:marLeft w:val="0"/>
      <w:marRight w:val="0"/>
      <w:marTop w:val="0"/>
      <w:marBottom w:val="0"/>
      <w:divBdr>
        <w:top w:val="none" w:sz="0" w:space="0" w:color="auto"/>
        <w:left w:val="none" w:sz="0" w:space="0" w:color="auto"/>
        <w:bottom w:val="none" w:sz="0" w:space="0" w:color="auto"/>
        <w:right w:val="none" w:sz="0" w:space="0" w:color="auto"/>
      </w:divBdr>
    </w:div>
    <w:div w:id="1853913554">
      <w:bodyDiv w:val="1"/>
      <w:marLeft w:val="0"/>
      <w:marRight w:val="0"/>
      <w:marTop w:val="0"/>
      <w:marBottom w:val="0"/>
      <w:divBdr>
        <w:top w:val="none" w:sz="0" w:space="0" w:color="auto"/>
        <w:left w:val="none" w:sz="0" w:space="0" w:color="auto"/>
        <w:bottom w:val="none" w:sz="0" w:space="0" w:color="auto"/>
        <w:right w:val="none" w:sz="0" w:space="0" w:color="auto"/>
      </w:divBdr>
    </w:div>
    <w:div w:id="1854875034">
      <w:bodyDiv w:val="1"/>
      <w:marLeft w:val="0"/>
      <w:marRight w:val="0"/>
      <w:marTop w:val="0"/>
      <w:marBottom w:val="0"/>
      <w:divBdr>
        <w:top w:val="none" w:sz="0" w:space="0" w:color="auto"/>
        <w:left w:val="none" w:sz="0" w:space="0" w:color="auto"/>
        <w:bottom w:val="none" w:sz="0" w:space="0" w:color="auto"/>
        <w:right w:val="none" w:sz="0" w:space="0" w:color="auto"/>
      </w:divBdr>
    </w:div>
    <w:div w:id="1854954698">
      <w:bodyDiv w:val="1"/>
      <w:marLeft w:val="0"/>
      <w:marRight w:val="0"/>
      <w:marTop w:val="0"/>
      <w:marBottom w:val="0"/>
      <w:divBdr>
        <w:top w:val="none" w:sz="0" w:space="0" w:color="auto"/>
        <w:left w:val="none" w:sz="0" w:space="0" w:color="auto"/>
        <w:bottom w:val="none" w:sz="0" w:space="0" w:color="auto"/>
        <w:right w:val="none" w:sz="0" w:space="0" w:color="auto"/>
      </w:divBdr>
    </w:div>
    <w:div w:id="1855916481">
      <w:bodyDiv w:val="1"/>
      <w:marLeft w:val="0"/>
      <w:marRight w:val="0"/>
      <w:marTop w:val="0"/>
      <w:marBottom w:val="0"/>
      <w:divBdr>
        <w:top w:val="none" w:sz="0" w:space="0" w:color="auto"/>
        <w:left w:val="none" w:sz="0" w:space="0" w:color="auto"/>
        <w:bottom w:val="none" w:sz="0" w:space="0" w:color="auto"/>
        <w:right w:val="none" w:sz="0" w:space="0" w:color="auto"/>
      </w:divBdr>
    </w:div>
    <w:div w:id="1856261664">
      <w:bodyDiv w:val="1"/>
      <w:marLeft w:val="0"/>
      <w:marRight w:val="0"/>
      <w:marTop w:val="0"/>
      <w:marBottom w:val="0"/>
      <w:divBdr>
        <w:top w:val="none" w:sz="0" w:space="0" w:color="auto"/>
        <w:left w:val="none" w:sz="0" w:space="0" w:color="auto"/>
        <w:bottom w:val="none" w:sz="0" w:space="0" w:color="auto"/>
        <w:right w:val="none" w:sz="0" w:space="0" w:color="auto"/>
      </w:divBdr>
    </w:div>
    <w:div w:id="1856647199">
      <w:bodyDiv w:val="1"/>
      <w:marLeft w:val="0"/>
      <w:marRight w:val="0"/>
      <w:marTop w:val="0"/>
      <w:marBottom w:val="0"/>
      <w:divBdr>
        <w:top w:val="none" w:sz="0" w:space="0" w:color="auto"/>
        <w:left w:val="none" w:sz="0" w:space="0" w:color="auto"/>
        <w:bottom w:val="none" w:sz="0" w:space="0" w:color="auto"/>
        <w:right w:val="none" w:sz="0" w:space="0" w:color="auto"/>
      </w:divBdr>
    </w:div>
    <w:div w:id="1857453850">
      <w:bodyDiv w:val="1"/>
      <w:marLeft w:val="0"/>
      <w:marRight w:val="0"/>
      <w:marTop w:val="0"/>
      <w:marBottom w:val="0"/>
      <w:divBdr>
        <w:top w:val="none" w:sz="0" w:space="0" w:color="auto"/>
        <w:left w:val="none" w:sz="0" w:space="0" w:color="auto"/>
        <w:bottom w:val="none" w:sz="0" w:space="0" w:color="auto"/>
        <w:right w:val="none" w:sz="0" w:space="0" w:color="auto"/>
      </w:divBdr>
    </w:div>
    <w:div w:id="1859419577">
      <w:bodyDiv w:val="1"/>
      <w:marLeft w:val="0"/>
      <w:marRight w:val="0"/>
      <w:marTop w:val="0"/>
      <w:marBottom w:val="0"/>
      <w:divBdr>
        <w:top w:val="none" w:sz="0" w:space="0" w:color="auto"/>
        <w:left w:val="none" w:sz="0" w:space="0" w:color="auto"/>
        <w:bottom w:val="none" w:sz="0" w:space="0" w:color="auto"/>
        <w:right w:val="none" w:sz="0" w:space="0" w:color="auto"/>
      </w:divBdr>
    </w:div>
    <w:div w:id="1859810278">
      <w:bodyDiv w:val="1"/>
      <w:marLeft w:val="0"/>
      <w:marRight w:val="0"/>
      <w:marTop w:val="0"/>
      <w:marBottom w:val="0"/>
      <w:divBdr>
        <w:top w:val="none" w:sz="0" w:space="0" w:color="auto"/>
        <w:left w:val="none" w:sz="0" w:space="0" w:color="auto"/>
        <w:bottom w:val="none" w:sz="0" w:space="0" w:color="auto"/>
        <w:right w:val="none" w:sz="0" w:space="0" w:color="auto"/>
      </w:divBdr>
    </w:div>
    <w:div w:id="1862015247">
      <w:bodyDiv w:val="1"/>
      <w:marLeft w:val="0"/>
      <w:marRight w:val="0"/>
      <w:marTop w:val="0"/>
      <w:marBottom w:val="0"/>
      <w:divBdr>
        <w:top w:val="none" w:sz="0" w:space="0" w:color="auto"/>
        <w:left w:val="none" w:sz="0" w:space="0" w:color="auto"/>
        <w:bottom w:val="none" w:sz="0" w:space="0" w:color="auto"/>
        <w:right w:val="none" w:sz="0" w:space="0" w:color="auto"/>
      </w:divBdr>
    </w:div>
    <w:div w:id="1862888816">
      <w:bodyDiv w:val="1"/>
      <w:marLeft w:val="0"/>
      <w:marRight w:val="0"/>
      <w:marTop w:val="0"/>
      <w:marBottom w:val="0"/>
      <w:divBdr>
        <w:top w:val="none" w:sz="0" w:space="0" w:color="auto"/>
        <w:left w:val="none" w:sz="0" w:space="0" w:color="auto"/>
        <w:bottom w:val="none" w:sz="0" w:space="0" w:color="auto"/>
        <w:right w:val="none" w:sz="0" w:space="0" w:color="auto"/>
      </w:divBdr>
    </w:div>
    <w:div w:id="1863274804">
      <w:bodyDiv w:val="1"/>
      <w:marLeft w:val="0"/>
      <w:marRight w:val="0"/>
      <w:marTop w:val="0"/>
      <w:marBottom w:val="0"/>
      <w:divBdr>
        <w:top w:val="none" w:sz="0" w:space="0" w:color="auto"/>
        <w:left w:val="none" w:sz="0" w:space="0" w:color="auto"/>
        <w:bottom w:val="none" w:sz="0" w:space="0" w:color="auto"/>
        <w:right w:val="none" w:sz="0" w:space="0" w:color="auto"/>
      </w:divBdr>
    </w:div>
    <w:div w:id="1863738867">
      <w:bodyDiv w:val="1"/>
      <w:marLeft w:val="0"/>
      <w:marRight w:val="0"/>
      <w:marTop w:val="0"/>
      <w:marBottom w:val="0"/>
      <w:divBdr>
        <w:top w:val="none" w:sz="0" w:space="0" w:color="auto"/>
        <w:left w:val="none" w:sz="0" w:space="0" w:color="auto"/>
        <w:bottom w:val="none" w:sz="0" w:space="0" w:color="auto"/>
        <w:right w:val="none" w:sz="0" w:space="0" w:color="auto"/>
      </w:divBdr>
    </w:div>
    <w:div w:id="1867132652">
      <w:bodyDiv w:val="1"/>
      <w:marLeft w:val="0"/>
      <w:marRight w:val="0"/>
      <w:marTop w:val="0"/>
      <w:marBottom w:val="0"/>
      <w:divBdr>
        <w:top w:val="none" w:sz="0" w:space="0" w:color="auto"/>
        <w:left w:val="none" w:sz="0" w:space="0" w:color="auto"/>
        <w:bottom w:val="none" w:sz="0" w:space="0" w:color="auto"/>
        <w:right w:val="none" w:sz="0" w:space="0" w:color="auto"/>
      </w:divBdr>
    </w:div>
    <w:div w:id="1867213004">
      <w:bodyDiv w:val="1"/>
      <w:marLeft w:val="0"/>
      <w:marRight w:val="0"/>
      <w:marTop w:val="0"/>
      <w:marBottom w:val="0"/>
      <w:divBdr>
        <w:top w:val="none" w:sz="0" w:space="0" w:color="auto"/>
        <w:left w:val="none" w:sz="0" w:space="0" w:color="auto"/>
        <w:bottom w:val="none" w:sz="0" w:space="0" w:color="auto"/>
        <w:right w:val="none" w:sz="0" w:space="0" w:color="auto"/>
      </w:divBdr>
    </w:div>
    <w:div w:id="1867596113">
      <w:bodyDiv w:val="1"/>
      <w:marLeft w:val="0"/>
      <w:marRight w:val="0"/>
      <w:marTop w:val="0"/>
      <w:marBottom w:val="0"/>
      <w:divBdr>
        <w:top w:val="none" w:sz="0" w:space="0" w:color="auto"/>
        <w:left w:val="none" w:sz="0" w:space="0" w:color="auto"/>
        <w:bottom w:val="none" w:sz="0" w:space="0" w:color="auto"/>
        <w:right w:val="none" w:sz="0" w:space="0" w:color="auto"/>
      </w:divBdr>
    </w:div>
    <w:div w:id="1871069382">
      <w:bodyDiv w:val="1"/>
      <w:marLeft w:val="0"/>
      <w:marRight w:val="0"/>
      <w:marTop w:val="0"/>
      <w:marBottom w:val="0"/>
      <w:divBdr>
        <w:top w:val="none" w:sz="0" w:space="0" w:color="auto"/>
        <w:left w:val="none" w:sz="0" w:space="0" w:color="auto"/>
        <w:bottom w:val="none" w:sz="0" w:space="0" w:color="auto"/>
        <w:right w:val="none" w:sz="0" w:space="0" w:color="auto"/>
      </w:divBdr>
    </w:div>
    <w:div w:id="1871138522">
      <w:bodyDiv w:val="1"/>
      <w:marLeft w:val="0"/>
      <w:marRight w:val="0"/>
      <w:marTop w:val="0"/>
      <w:marBottom w:val="0"/>
      <w:divBdr>
        <w:top w:val="none" w:sz="0" w:space="0" w:color="auto"/>
        <w:left w:val="none" w:sz="0" w:space="0" w:color="auto"/>
        <w:bottom w:val="none" w:sz="0" w:space="0" w:color="auto"/>
        <w:right w:val="none" w:sz="0" w:space="0" w:color="auto"/>
      </w:divBdr>
    </w:div>
    <w:div w:id="1871144530">
      <w:bodyDiv w:val="1"/>
      <w:marLeft w:val="0"/>
      <w:marRight w:val="0"/>
      <w:marTop w:val="0"/>
      <w:marBottom w:val="0"/>
      <w:divBdr>
        <w:top w:val="none" w:sz="0" w:space="0" w:color="auto"/>
        <w:left w:val="none" w:sz="0" w:space="0" w:color="auto"/>
        <w:bottom w:val="none" w:sz="0" w:space="0" w:color="auto"/>
        <w:right w:val="none" w:sz="0" w:space="0" w:color="auto"/>
      </w:divBdr>
    </w:div>
    <w:div w:id="1872182382">
      <w:bodyDiv w:val="1"/>
      <w:marLeft w:val="0"/>
      <w:marRight w:val="0"/>
      <w:marTop w:val="0"/>
      <w:marBottom w:val="0"/>
      <w:divBdr>
        <w:top w:val="none" w:sz="0" w:space="0" w:color="auto"/>
        <w:left w:val="none" w:sz="0" w:space="0" w:color="auto"/>
        <w:bottom w:val="none" w:sz="0" w:space="0" w:color="auto"/>
        <w:right w:val="none" w:sz="0" w:space="0" w:color="auto"/>
      </w:divBdr>
    </w:div>
    <w:div w:id="1872306829">
      <w:bodyDiv w:val="1"/>
      <w:marLeft w:val="0"/>
      <w:marRight w:val="0"/>
      <w:marTop w:val="0"/>
      <w:marBottom w:val="0"/>
      <w:divBdr>
        <w:top w:val="none" w:sz="0" w:space="0" w:color="auto"/>
        <w:left w:val="none" w:sz="0" w:space="0" w:color="auto"/>
        <w:bottom w:val="none" w:sz="0" w:space="0" w:color="auto"/>
        <w:right w:val="none" w:sz="0" w:space="0" w:color="auto"/>
      </w:divBdr>
    </w:div>
    <w:div w:id="1873225318">
      <w:bodyDiv w:val="1"/>
      <w:marLeft w:val="0"/>
      <w:marRight w:val="0"/>
      <w:marTop w:val="0"/>
      <w:marBottom w:val="0"/>
      <w:divBdr>
        <w:top w:val="none" w:sz="0" w:space="0" w:color="auto"/>
        <w:left w:val="none" w:sz="0" w:space="0" w:color="auto"/>
        <w:bottom w:val="none" w:sz="0" w:space="0" w:color="auto"/>
        <w:right w:val="none" w:sz="0" w:space="0" w:color="auto"/>
      </w:divBdr>
    </w:div>
    <w:div w:id="1873616880">
      <w:bodyDiv w:val="1"/>
      <w:marLeft w:val="0"/>
      <w:marRight w:val="0"/>
      <w:marTop w:val="0"/>
      <w:marBottom w:val="0"/>
      <w:divBdr>
        <w:top w:val="none" w:sz="0" w:space="0" w:color="auto"/>
        <w:left w:val="none" w:sz="0" w:space="0" w:color="auto"/>
        <w:bottom w:val="none" w:sz="0" w:space="0" w:color="auto"/>
        <w:right w:val="none" w:sz="0" w:space="0" w:color="auto"/>
      </w:divBdr>
    </w:div>
    <w:div w:id="1874264172">
      <w:bodyDiv w:val="1"/>
      <w:marLeft w:val="0"/>
      <w:marRight w:val="0"/>
      <w:marTop w:val="0"/>
      <w:marBottom w:val="0"/>
      <w:divBdr>
        <w:top w:val="none" w:sz="0" w:space="0" w:color="auto"/>
        <w:left w:val="none" w:sz="0" w:space="0" w:color="auto"/>
        <w:bottom w:val="none" w:sz="0" w:space="0" w:color="auto"/>
        <w:right w:val="none" w:sz="0" w:space="0" w:color="auto"/>
      </w:divBdr>
    </w:div>
    <w:div w:id="1876191012">
      <w:bodyDiv w:val="1"/>
      <w:marLeft w:val="0"/>
      <w:marRight w:val="0"/>
      <w:marTop w:val="0"/>
      <w:marBottom w:val="0"/>
      <w:divBdr>
        <w:top w:val="none" w:sz="0" w:space="0" w:color="auto"/>
        <w:left w:val="none" w:sz="0" w:space="0" w:color="auto"/>
        <w:bottom w:val="none" w:sz="0" w:space="0" w:color="auto"/>
        <w:right w:val="none" w:sz="0" w:space="0" w:color="auto"/>
      </w:divBdr>
    </w:div>
    <w:div w:id="1876261923">
      <w:bodyDiv w:val="1"/>
      <w:marLeft w:val="0"/>
      <w:marRight w:val="0"/>
      <w:marTop w:val="0"/>
      <w:marBottom w:val="0"/>
      <w:divBdr>
        <w:top w:val="none" w:sz="0" w:space="0" w:color="auto"/>
        <w:left w:val="none" w:sz="0" w:space="0" w:color="auto"/>
        <w:bottom w:val="none" w:sz="0" w:space="0" w:color="auto"/>
        <w:right w:val="none" w:sz="0" w:space="0" w:color="auto"/>
      </w:divBdr>
    </w:div>
    <w:div w:id="1877237858">
      <w:bodyDiv w:val="1"/>
      <w:marLeft w:val="0"/>
      <w:marRight w:val="0"/>
      <w:marTop w:val="0"/>
      <w:marBottom w:val="0"/>
      <w:divBdr>
        <w:top w:val="none" w:sz="0" w:space="0" w:color="auto"/>
        <w:left w:val="none" w:sz="0" w:space="0" w:color="auto"/>
        <w:bottom w:val="none" w:sz="0" w:space="0" w:color="auto"/>
        <w:right w:val="none" w:sz="0" w:space="0" w:color="auto"/>
      </w:divBdr>
    </w:div>
    <w:div w:id="1877347459">
      <w:bodyDiv w:val="1"/>
      <w:marLeft w:val="0"/>
      <w:marRight w:val="0"/>
      <w:marTop w:val="0"/>
      <w:marBottom w:val="0"/>
      <w:divBdr>
        <w:top w:val="none" w:sz="0" w:space="0" w:color="auto"/>
        <w:left w:val="none" w:sz="0" w:space="0" w:color="auto"/>
        <w:bottom w:val="none" w:sz="0" w:space="0" w:color="auto"/>
        <w:right w:val="none" w:sz="0" w:space="0" w:color="auto"/>
      </w:divBdr>
    </w:div>
    <w:div w:id="1877428699">
      <w:bodyDiv w:val="1"/>
      <w:marLeft w:val="0"/>
      <w:marRight w:val="0"/>
      <w:marTop w:val="0"/>
      <w:marBottom w:val="0"/>
      <w:divBdr>
        <w:top w:val="none" w:sz="0" w:space="0" w:color="auto"/>
        <w:left w:val="none" w:sz="0" w:space="0" w:color="auto"/>
        <w:bottom w:val="none" w:sz="0" w:space="0" w:color="auto"/>
        <w:right w:val="none" w:sz="0" w:space="0" w:color="auto"/>
      </w:divBdr>
    </w:div>
    <w:div w:id="1878466410">
      <w:bodyDiv w:val="1"/>
      <w:marLeft w:val="0"/>
      <w:marRight w:val="0"/>
      <w:marTop w:val="0"/>
      <w:marBottom w:val="0"/>
      <w:divBdr>
        <w:top w:val="none" w:sz="0" w:space="0" w:color="auto"/>
        <w:left w:val="none" w:sz="0" w:space="0" w:color="auto"/>
        <w:bottom w:val="none" w:sz="0" w:space="0" w:color="auto"/>
        <w:right w:val="none" w:sz="0" w:space="0" w:color="auto"/>
      </w:divBdr>
    </w:div>
    <w:div w:id="1878469543">
      <w:bodyDiv w:val="1"/>
      <w:marLeft w:val="0"/>
      <w:marRight w:val="0"/>
      <w:marTop w:val="0"/>
      <w:marBottom w:val="0"/>
      <w:divBdr>
        <w:top w:val="none" w:sz="0" w:space="0" w:color="auto"/>
        <w:left w:val="none" w:sz="0" w:space="0" w:color="auto"/>
        <w:bottom w:val="none" w:sz="0" w:space="0" w:color="auto"/>
        <w:right w:val="none" w:sz="0" w:space="0" w:color="auto"/>
      </w:divBdr>
    </w:div>
    <w:div w:id="1878617803">
      <w:bodyDiv w:val="1"/>
      <w:marLeft w:val="0"/>
      <w:marRight w:val="0"/>
      <w:marTop w:val="0"/>
      <w:marBottom w:val="0"/>
      <w:divBdr>
        <w:top w:val="none" w:sz="0" w:space="0" w:color="auto"/>
        <w:left w:val="none" w:sz="0" w:space="0" w:color="auto"/>
        <w:bottom w:val="none" w:sz="0" w:space="0" w:color="auto"/>
        <w:right w:val="none" w:sz="0" w:space="0" w:color="auto"/>
      </w:divBdr>
    </w:div>
    <w:div w:id="1878664321">
      <w:bodyDiv w:val="1"/>
      <w:marLeft w:val="0"/>
      <w:marRight w:val="0"/>
      <w:marTop w:val="0"/>
      <w:marBottom w:val="0"/>
      <w:divBdr>
        <w:top w:val="none" w:sz="0" w:space="0" w:color="auto"/>
        <w:left w:val="none" w:sz="0" w:space="0" w:color="auto"/>
        <w:bottom w:val="none" w:sz="0" w:space="0" w:color="auto"/>
        <w:right w:val="none" w:sz="0" w:space="0" w:color="auto"/>
      </w:divBdr>
    </w:div>
    <w:div w:id="1878930228">
      <w:bodyDiv w:val="1"/>
      <w:marLeft w:val="0"/>
      <w:marRight w:val="0"/>
      <w:marTop w:val="0"/>
      <w:marBottom w:val="0"/>
      <w:divBdr>
        <w:top w:val="none" w:sz="0" w:space="0" w:color="auto"/>
        <w:left w:val="none" w:sz="0" w:space="0" w:color="auto"/>
        <w:bottom w:val="none" w:sz="0" w:space="0" w:color="auto"/>
        <w:right w:val="none" w:sz="0" w:space="0" w:color="auto"/>
      </w:divBdr>
    </w:div>
    <w:div w:id="1879704662">
      <w:bodyDiv w:val="1"/>
      <w:marLeft w:val="0"/>
      <w:marRight w:val="0"/>
      <w:marTop w:val="0"/>
      <w:marBottom w:val="0"/>
      <w:divBdr>
        <w:top w:val="none" w:sz="0" w:space="0" w:color="auto"/>
        <w:left w:val="none" w:sz="0" w:space="0" w:color="auto"/>
        <w:bottom w:val="none" w:sz="0" w:space="0" w:color="auto"/>
        <w:right w:val="none" w:sz="0" w:space="0" w:color="auto"/>
      </w:divBdr>
    </w:div>
    <w:div w:id="1880778052">
      <w:bodyDiv w:val="1"/>
      <w:marLeft w:val="0"/>
      <w:marRight w:val="0"/>
      <w:marTop w:val="0"/>
      <w:marBottom w:val="0"/>
      <w:divBdr>
        <w:top w:val="none" w:sz="0" w:space="0" w:color="auto"/>
        <w:left w:val="none" w:sz="0" w:space="0" w:color="auto"/>
        <w:bottom w:val="none" w:sz="0" w:space="0" w:color="auto"/>
        <w:right w:val="none" w:sz="0" w:space="0" w:color="auto"/>
      </w:divBdr>
    </w:div>
    <w:div w:id="1881239933">
      <w:bodyDiv w:val="1"/>
      <w:marLeft w:val="0"/>
      <w:marRight w:val="0"/>
      <w:marTop w:val="0"/>
      <w:marBottom w:val="0"/>
      <w:divBdr>
        <w:top w:val="none" w:sz="0" w:space="0" w:color="auto"/>
        <w:left w:val="none" w:sz="0" w:space="0" w:color="auto"/>
        <w:bottom w:val="none" w:sz="0" w:space="0" w:color="auto"/>
        <w:right w:val="none" w:sz="0" w:space="0" w:color="auto"/>
      </w:divBdr>
    </w:div>
    <w:div w:id="1881819553">
      <w:bodyDiv w:val="1"/>
      <w:marLeft w:val="0"/>
      <w:marRight w:val="0"/>
      <w:marTop w:val="0"/>
      <w:marBottom w:val="0"/>
      <w:divBdr>
        <w:top w:val="none" w:sz="0" w:space="0" w:color="auto"/>
        <w:left w:val="none" w:sz="0" w:space="0" w:color="auto"/>
        <w:bottom w:val="none" w:sz="0" w:space="0" w:color="auto"/>
        <w:right w:val="none" w:sz="0" w:space="0" w:color="auto"/>
      </w:divBdr>
    </w:div>
    <w:div w:id="1883445502">
      <w:bodyDiv w:val="1"/>
      <w:marLeft w:val="0"/>
      <w:marRight w:val="0"/>
      <w:marTop w:val="0"/>
      <w:marBottom w:val="0"/>
      <w:divBdr>
        <w:top w:val="none" w:sz="0" w:space="0" w:color="auto"/>
        <w:left w:val="none" w:sz="0" w:space="0" w:color="auto"/>
        <w:bottom w:val="none" w:sz="0" w:space="0" w:color="auto"/>
        <w:right w:val="none" w:sz="0" w:space="0" w:color="auto"/>
      </w:divBdr>
    </w:div>
    <w:div w:id="1884830885">
      <w:bodyDiv w:val="1"/>
      <w:marLeft w:val="0"/>
      <w:marRight w:val="0"/>
      <w:marTop w:val="0"/>
      <w:marBottom w:val="0"/>
      <w:divBdr>
        <w:top w:val="none" w:sz="0" w:space="0" w:color="auto"/>
        <w:left w:val="none" w:sz="0" w:space="0" w:color="auto"/>
        <w:bottom w:val="none" w:sz="0" w:space="0" w:color="auto"/>
        <w:right w:val="none" w:sz="0" w:space="0" w:color="auto"/>
      </w:divBdr>
    </w:div>
    <w:div w:id="1885099732">
      <w:bodyDiv w:val="1"/>
      <w:marLeft w:val="0"/>
      <w:marRight w:val="0"/>
      <w:marTop w:val="0"/>
      <w:marBottom w:val="0"/>
      <w:divBdr>
        <w:top w:val="none" w:sz="0" w:space="0" w:color="auto"/>
        <w:left w:val="none" w:sz="0" w:space="0" w:color="auto"/>
        <w:bottom w:val="none" w:sz="0" w:space="0" w:color="auto"/>
        <w:right w:val="none" w:sz="0" w:space="0" w:color="auto"/>
      </w:divBdr>
    </w:div>
    <w:div w:id="1886092595">
      <w:bodyDiv w:val="1"/>
      <w:marLeft w:val="0"/>
      <w:marRight w:val="0"/>
      <w:marTop w:val="0"/>
      <w:marBottom w:val="0"/>
      <w:divBdr>
        <w:top w:val="none" w:sz="0" w:space="0" w:color="auto"/>
        <w:left w:val="none" w:sz="0" w:space="0" w:color="auto"/>
        <w:bottom w:val="none" w:sz="0" w:space="0" w:color="auto"/>
        <w:right w:val="none" w:sz="0" w:space="0" w:color="auto"/>
      </w:divBdr>
    </w:div>
    <w:div w:id="1888250088">
      <w:bodyDiv w:val="1"/>
      <w:marLeft w:val="0"/>
      <w:marRight w:val="0"/>
      <w:marTop w:val="0"/>
      <w:marBottom w:val="0"/>
      <w:divBdr>
        <w:top w:val="none" w:sz="0" w:space="0" w:color="auto"/>
        <w:left w:val="none" w:sz="0" w:space="0" w:color="auto"/>
        <w:bottom w:val="none" w:sz="0" w:space="0" w:color="auto"/>
        <w:right w:val="none" w:sz="0" w:space="0" w:color="auto"/>
      </w:divBdr>
    </w:div>
    <w:div w:id="1888948359">
      <w:bodyDiv w:val="1"/>
      <w:marLeft w:val="0"/>
      <w:marRight w:val="0"/>
      <w:marTop w:val="0"/>
      <w:marBottom w:val="0"/>
      <w:divBdr>
        <w:top w:val="none" w:sz="0" w:space="0" w:color="auto"/>
        <w:left w:val="none" w:sz="0" w:space="0" w:color="auto"/>
        <w:bottom w:val="none" w:sz="0" w:space="0" w:color="auto"/>
        <w:right w:val="none" w:sz="0" w:space="0" w:color="auto"/>
      </w:divBdr>
    </w:div>
    <w:div w:id="1889149550">
      <w:bodyDiv w:val="1"/>
      <w:marLeft w:val="0"/>
      <w:marRight w:val="0"/>
      <w:marTop w:val="0"/>
      <w:marBottom w:val="0"/>
      <w:divBdr>
        <w:top w:val="none" w:sz="0" w:space="0" w:color="auto"/>
        <w:left w:val="none" w:sz="0" w:space="0" w:color="auto"/>
        <w:bottom w:val="none" w:sz="0" w:space="0" w:color="auto"/>
        <w:right w:val="none" w:sz="0" w:space="0" w:color="auto"/>
      </w:divBdr>
    </w:div>
    <w:div w:id="1889605024">
      <w:bodyDiv w:val="1"/>
      <w:marLeft w:val="0"/>
      <w:marRight w:val="0"/>
      <w:marTop w:val="0"/>
      <w:marBottom w:val="0"/>
      <w:divBdr>
        <w:top w:val="none" w:sz="0" w:space="0" w:color="auto"/>
        <w:left w:val="none" w:sz="0" w:space="0" w:color="auto"/>
        <w:bottom w:val="none" w:sz="0" w:space="0" w:color="auto"/>
        <w:right w:val="none" w:sz="0" w:space="0" w:color="auto"/>
      </w:divBdr>
    </w:div>
    <w:div w:id="1890071843">
      <w:bodyDiv w:val="1"/>
      <w:marLeft w:val="0"/>
      <w:marRight w:val="0"/>
      <w:marTop w:val="0"/>
      <w:marBottom w:val="0"/>
      <w:divBdr>
        <w:top w:val="none" w:sz="0" w:space="0" w:color="auto"/>
        <w:left w:val="none" w:sz="0" w:space="0" w:color="auto"/>
        <w:bottom w:val="none" w:sz="0" w:space="0" w:color="auto"/>
        <w:right w:val="none" w:sz="0" w:space="0" w:color="auto"/>
      </w:divBdr>
    </w:div>
    <w:div w:id="1890341282">
      <w:bodyDiv w:val="1"/>
      <w:marLeft w:val="0"/>
      <w:marRight w:val="0"/>
      <w:marTop w:val="0"/>
      <w:marBottom w:val="0"/>
      <w:divBdr>
        <w:top w:val="none" w:sz="0" w:space="0" w:color="auto"/>
        <w:left w:val="none" w:sz="0" w:space="0" w:color="auto"/>
        <w:bottom w:val="none" w:sz="0" w:space="0" w:color="auto"/>
        <w:right w:val="none" w:sz="0" w:space="0" w:color="auto"/>
      </w:divBdr>
    </w:div>
    <w:div w:id="1890413162">
      <w:bodyDiv w:val="1"/>
      <w:marLeft w:val="0"/>
      <w:marRight w:val="0"/>
      <w:marTop w:val="0"/>
      <w:marBottom w:val="0"/>
      <w:divBdr>
        <w:top w:val="none" w:sz="0" w:space="0" w:color="auto"/>
        <w:left w:val="none" w:sz="0" w:space="0" w:color="auto"/>
        <w:bottom w:val="none" w:sz="0" w:space="0" w:color="auto"/>
        <w:right w:val="none" w:sz="0" w:space="0" w:color="auto"/>
      </w:divBdr>
    </w:div>
    <w:div w:id="1890460174">
      <w:bodyDiv w:val="1"/>
      <w:marLeft w:val="0"/>
      <w:marRight w:val="0"/>
      <w:marTop w:val="0"/>
      <w:marBottom w:val="0"/>
      <w:divBdr>
        <w:top w:val="none" w:sz="0" w:space="0" w:color="auto"/>
        <w:left w:val="none" w:sz="0" w:space="0" w:color="auto"/>
        <w:bottom w:val="none" w:sz="0" w:space="0" w:color="auto"/>
        <w:right w:val="none" w:sz="0" w:space="0" w:color="auto"/>
      </w:divBdr>
    </w:div>
    <w:div w:id="1890528530">
      <w:bodyDiv w:val="1"/>
      <w:marLeft w:val="0"/>
      <w:marRight w:val="0"/>
      <w:marTop w:val="0"/>
      <w:marBottom w:val="0"/>
      <w:divBdr>
        <w:top w:val="none" w:sz="0" w:space="0" w:color="auto"/>
        <w:left w:val="none" w:sz="0" w:space="0" w:color="auto"/>
        <w:bottom w:val="none" w:sz="0" w:space="0" w:color="auto"/>
        <w:right w:val="none" w:sz="0" w:space="0" w:color="auto"/>
      </w:divBdr>
    </w:div>
    <w:div w:id="1890653043">
      <w:bodyDiv w:val="1"/>
      <w:marLeft w:val="0"/>
      <w:marRight w:val="0"/>
      <w:marTop w:val="0"/>
      <w:marBottom w:val="0"/>
      <w:divBdr>
        <w:top w:val="none" w:sz="0" w:space="0" w:color="auto"/>
        <w:left w:val="none" w:sz="0" w:space="0" w:color="auto"/>
        <w:bottom w:val="none" w:sz="0" w:space="0" w:color="auto"/>
        <w:right w:val="none" w:sz="0" w:space="0" w:color="auto"/>
      </w:divBdr>
    </w:div>
    <w:div w:id="1891375506">
      <w:bodyDiv w:val="1"/>
      <w:marLeft w:val="0"/>
      <w:marRight w:val="0"/>
      <w:marTop w:val="0"/>
      <w:marBottom w:val="0"/>
      <w:divBdr>
        <w:top w:val="none" w:sz="0" w:space="0" w:color="auto"/>
        <w:left w:val="none" w:sz="0" w:space="0" w:color="auto"/>
        <w:bottom w:val="none" w:sz="0" w:space="0" w:color="auto"/>
        <w:right w:val="none" w:sz="0" w:space="0" w:color="auto"/>
      </w:divBdr>
    </w:div>
    <w:div w:id="1892689992">
      <w:bodyDiv w:val="1"/>
      <w:marLeft w:val="0"/>
      <w:marRight w:val="0"/>
      <w:marTop w:val="0"/>
      <w:marBottom w:val="0"/>
      <w:divBdr>
        <w:top w:val="none" w:sz="0" w:space="0" w:color="auto"/>
        <w:left w:val="none" w:sz="0" w:space="0" w:color="auto"/>
        <w:bottom w:val="none" w:sz="0" w:space="0" w:color="auto"/>
        <w:right w:val="none" w:sz="0" w:space="0" w:color="auto"/>
      </w:divBdr>
    </w:div>
    <w:div w:id="1892766278">
      <w:bodyDiv w:val="1"/>
      <w:marLeft w:val="0"/>
      <w:marRight w:val="0"/>
      <w:marTop w:val="0"/>
      <w:marBottom w:val="0"/>
      <w:divBdr>
        <w:top w:val="none" w:sz="0" w:space="0" w:color="auto"/>
        <w:left w:val="none" w:sz="0" w:space="0" w:color="auto"/>
        <w:bottom w:val="none" w:sz="0" w:space="0" w:color="auto"/>
        <w:right w:val="none" w:sz="0" w:space="0" w:color="auto"/>
      </w:divBdr>
    </w:div>
    <w:div w:id="1893341764">
      <w:bodyDiv w:val="1"/>
      <w:marLeft w:val="0"/>
      <w:marRight w:val="0"/>
      <w:marTop w:val="0"/>
      <w:marBottom w:val="0"/>
      <w:divBdr>
        <w:top w:val="none" w:sz="0" w:space="0" w:color="auto"/>
        <w:left w:val="none" w:sz="0" w:space="0" w:color="auto"/>
        <w:bottom w:val="none" w:sz="0" w:space="0" w:color="auto"/>
        <w:right w:val="none" w:sz="0" w:space="0" w:color="auto"/>
      </w:divBdr>
    </w:div>
    <w:div w:id="1895896589">
      <w:bodyDiv w:val="1"/>
      <w:marLeft w:val="0"/>
      <w:marRight w:val="0"/>
      <w:marTop w:val="0"/>
      <w:marBottom w:val="0"/>
      <w:divBdr>
        <w:top w:val="none" w:sz="0" w:space="0" w:color="auto"/>
        <w:left w:val="none" w:sz="0" w:space="0" w:color="auto"/>
        <w:bottom w:val="none" w:sz="0" w:space="0" w:color="auto"/>
        <w:right w:val="none" w:sz="0" w:space="0" w:color="auto"/>
      </w:divBdr>
    </w:div>
    <w:div w:id="1898320668">
      <w:bodyDiv w:val="1"/>
      <w:marLeft w:val="0"/>
      <w:marRight w:val="0"/>
      <w:marTop w:val="0"/>
      <w:marBottom w:val="0"/>
      <w:divBdr>
        <w:top w:val="none" w:sz="0" w:space="0" w:color="auto"/>
        <w:left w:val="none" w:sz="0" w:space="0" w:color="auto"/>
        <w:bottom w:val="none" w:sz="0" w:space="0" w:color="auto"/>
        <w:right w:val="none" w:sz="0" w:space="0" w:color="auto"/>
      </w:divBdr>
    </w:div>
    <w:div w:id="1898591324">
      <w:bodyDiv w:val="1"/>
      <w:marLeft w:val="0"/>
      <w:marRight w:val="0"/>
      <w:marTop w:val="0"/>
      <w:marBottom w:val="0"/>
      <w:divBdr>
        <w:top w:val="none" w:sz="0" w:space="0" w:color="auto"/>
        <w:left w:val="none" w:sz="0" w:space="0" w:color="auto"/>
        <w:bottom w:val="none" w:sz="0" w:space="0" w:color="auto"/>
        <w:right w:val="none" w:sz="0" w:space="0" w:color="auto"/>
      </w:divBdr>
    </w:div>
    <w:div w:id="1903786059">
      <w:bodyDiv w:val="1"/>
      <w:marLeft w:val="0"/>
      <w:marRight w:val="0"/>
      <w:marTop w:val="0"/>
      <w:marBottom w:val="0"/>
      <w:divBdr>
        <w:top w:val="none" w:sz="0" w:space="0" w:color="auto"/>
        <w:left w:val="none" w:sz="0" w:space="0" w:color="auto"/>
        <w:bottom w:val="none" w:sz="0" w:space="0" w:color="auto"/>
        <w:right w:val="none" w:sz="0" w:space="0" w:color="auto"/>
      </w:divBdr>
    </w:div>
    <w:div w:id="1904023684">
      <w:bodyDiv w:val="1"/>
      <w:marLeft w:val="0"/>
      <w:marRight w:val="0"/>
      <w:marTop w:val="0"/>
      <w:marBottom w:val="0"/>
      <w:divBdr>
        <w:top w:val="none" w:sz="0" w:space="0" w:color="auto"/>
        <w:left w:val="none" w:sz="0" w:space="0" w:color="auto"/>
        <w:bottom w:val="none" w:sz="0" w:space="0" w:color="auto"/>
        <w:right w:val="none" w:sz="0" w:space="0" w:color="auto"/>
      </w:divBdr>
    </w:div>
    <w:div w:id="1904178340">
      <w:bodyDiv w:val="1"/>
      <w:marLeft w:val="0"/>
      <w:marRight w:val="0"/>
      <w:marTop w:val="0"/>
      <w:marBottom w:val="0"/>
      <w:divBdr>
        <w:top w:val="none" w:sz="0" w:space="0" w:color="auto"/>
        <w:left w:val="none" w:sz="0" w:space="0" w:color="auto"/>
        <w:bottom w:val="none" w:sz="0" w:space="0" w:color="auto"/>
        <w:right w:val="none" w:sz="0" w:space="0" w:color="auto"/>
      </w:divBdr>
    </w:div>
    <w:div w:id="1907569408">
      <w:bodyDiv w:val="1"/>
      <w:marLeft w:val="0"/>
      <w:marRight w:val="0"/>
      <w:marTop w:val="0"/>
      <w:marBottom w:val="0"/>
      <w:divBdr>
        <w:top w:val="none" w:sz="0" w:space="0" w:color="auto"/>
        <w:left w:val="none" w:sz="0" w:space="0" w:color="auto"/>
        <w:bottom w:val="none" w:sz="0" w:space="0" w:color="auto"/>
        <w:right w:val="none" w:sz="0" w:space="0" w:color="auto"/>
      </w:divBdr>
    </w:div>
    <w:div w:id="1907648742">
      <w:bodyDiv w:val="1"/>
      <w:marLeft w:val="0"/>
      <w:marRight w:val="0"/>
      <w:marTop w:val="0"/>
      <w:marBottom w:val="0"/>
      <w:divBdr>
        <w:top w:val="none" w:sz="0" w:space="0" w:color="auto"/>
        <w:left w:val="none" w:sz="0" w:space="0" w:color="auto"/>
        <w:bottom w:val="none" w:sz="0" w:space="0" w:color="auto"/>
        <w:right w:val="none" w:sz="0" w:space="0" w:color="auto"/>
      </w:divBdr>
    </w:div>
    <w:div w:id="1908875373">
      <w:bodyDiv w:val="1"/>
      <w:marLeft w:val="0"/>
      <w:marRight w:val="0"/>
      <w:marTop w:val="0"/>
      <w:marBottom w:val="0"/>
      <w:divBdr>
        <w:top w:val="none" w:sz="0" w:space="0" w:color="auto"/>
        <w:left w:val="none" w:sz="0" w:space="0" w:color="auto"/>
        <w:bottom w:val="none" w:sz="0" w:space="0" w:color="auto"/>
        <w:right w:val="none" w:sz="0" w:space="0" w:color="auto"/>
      </w:divBdr>
    </w:div>
    <w:div w:id="1910576899">
      <w:bodyDiv w:val="1"/>
      <w:marLeft w:val="0"/>
      <w:marRight w:val="0"/>
      <w:marTop w:val="0"/>
      <w:marBottom w:val="0"/>
      <w:divBdr>
        <w:top w:val="none" w:sz="0" w:space="0" w:color="auto"/>
        <w:left w:val="none" w:sz="0" w:space="0" w:color="auto"/>
        <w:bottom w:val="none" w:sz="0" w:space="0" w:color="auto"/>
        <w:right w:val="none" w:sz="0" w:space="0" w:color="auto"/>
      </w:divBdr>
    </w:div>
    <w:div w:id="1910652711">
      <w:bodyDiv w:val="1"/>
      <w:marLeft w:val="0"/>
      <w:marRight w:val="0"/>
      <w:marTop w:val="0"/>
      <w:marBottom w:val="0"/>
      <w:divBdr>
        <w:top w:val="none" w:sz="0" w:space="0" w:color="auto"/>
        <w:left w:val="none" w:sz="0" w:space="0" w:color="auto"/>
        <w:bottom w:val="none" w:sz="0" w:space="0" w:color="auto"/>
        <w:right w:val="none" w:sz="0" w:space="0" w:color="auto"/>
      </w:divBdr>
    </w:div>
    <w:div w:id="1910841204">
      <w:bodyDiv w:val="1"/>
      <w:marLeft w:val="0"/>
      <w:marRight w:val="0"/>
      <w:marTop w:val="0"/>
      <w:marBottom w:val="0"/>
      <w:divBdr>
        <w:top w:val="none" w:sz="0" w:space="0" w:color="auto"/>
        <w:left w:val="none" w:sz="0" w:space="0" w:color="auto"/>
        <w:bottom w:val="none" w:sz="0" w:space="0" w:color="auto"/>
        <w:right w:val="none" w:sz="0" w:space="0" w:color="auto"/>
      </w:divBdr>
    </w:div>
    <w:div w:id="1911187566">
      <w:bodyDiv w:val="1"/>
      <w:marLeft w:val="0"/>
      <w:marRight w:val="0"/>
      <w:marTop w:val="0"/>
      <w:marBottom w:val="0"/>
      <w:divBdr>
        <w:top w:val="none" w:sz="0" w:space="0" w:color="auto"/>
        <w:left w:val="none" w:sz="0" w:space="0" w:color="auto"/>
        <w:bottom w:val="none" w:sz="0" w:space="0" w:color="auto"/>
        <w:right w:val="none" w:sz="0" w:space="0" w:color="auto"/>
      </w:divBdr>
    </w:div>
    <w:div w:id="1911189344">
      <w:bodyDiv w:val="1"/>
      <w:marLeft w:val="0"/>
      <w:marRight w:val="0"/>
      <w:marTop w:val="0"/>
      <w:marBottom w:val="0"/>
      <w:divBdr>
        <w:top w:val="none" w:sz="0" w:space="0" w:color="auto"/>
        <w:left w:val="none" w:sz="0" w:space="0" w:color="auto"/>
        <w:bottom w:val="none" w:sz="0" w:space="0" w:color="auto"/>
        <w:right w:val="none" w:sz="0" w:space="0" w:color="auto"/>
      </w:divBdr>
    </w:div>
    <w:div w:id="1911504776">
      <w:bodyDiv w:val="1"/>
      <w:marLeft w:val="0"/>
      <w:marRight w:val="0"/>
      <w:marTop w:val="0"/>
      <w:marBottom w:val="0"/>
      <w:divBdr>
        <w:top w:val="none" w:sz="0" w:space="0" w:color="auto"/>
        <w:left w:val="none" w:sz="0" w:space="0" w:color="auto"/>
        <w:bottom w:val="none" w:sz="0" w:space="0" w:color="auto"/>
        <w:right w:val="none" w:sz="0" w:space="0" w:color="auto"/>
      </w:divBdr>
    </w:div>
    <w:div w:id="1911696320">
      <w:bodyDiv w:val="1"/>
      <w:marLeft w:val="0"/>
      <w:marRight w:val="0"/>
      <w:marTop w:val="0"/>
      <w:marBottom w:val="0"/>
      <w:divBdr>
        <w:top w:val="none" w:sz="0" w:space="0" w:color="auto"/>
        <w:left w:val="none" w:sz="0" w:space="0" w:color="auto"/>
        <w:bottom w:val="none" w:sz="0" w:space="0" w:color="auto"/>
        <w:right w:val="none" w:sz="0" w:space="0" w:color="auto"/>
      </w:divBdr>
    </w:div>
    <w:div w:id="1912080163">
      <w:bodyDiv w:val="1"/>
      <w:marLeft w:val="0"/>
      <w:marRight w:val="0"/>
      <w:marTop w:val="0"/>
      <w:marBottom w:val="0"/>
      <w:divBdr>
        <w:top w:val="none" w:sz="0" w:space="0" w:color="auto"/>
        <w:left w:val="none" w:sz="0" w:space="0" w:color="auto"/>
        <w:bottom w:val="none" w:sz="0" w:space="0" w:color="auto"/>
        <w:right w:val="none" w:sz="0" w:space="0" w:color="auto"/>
      </w:divBdr>
    </w:div>
    <w:div w:id="1915699897">
      <w:bodyDiv w:val="1"/>
      <w:marLeft w:val="0"/>
      <w:marRight w:val="0"/>
      <w:marTop w:val="0"/>
      <w:marBottom w:val="0"/>
      <w:divBdr>
        <w:top w:val="none" w:sz="0" w:space="0" w:color="auto"/>
        <w:left w:val="none" w:sz="0" w:space="0" w:color="auto"/>
        <w:bottom w:val="none" w:sz="0" w:space="0" w:color="auto"/>
        <w:right w:val="none" w:sz="0" w:space="0" w:color="auto"/>
      </w:divBdr>
    </w:div>
    <w:div w:id="1916893313">
      <w:bodyDiv w:val="1"/>
      <w:marLeft w:val="0"/>
      <w:marRight w:val="0"/>
      <w:marTop w:val="0"/>
      <w:marBottom w:val="0"/>
      <w:divBdr>
        <w:top w:val="none" w:sz="0" w:space="0" w:color="auto"/>
        <w:left w:val="none" w:sz="0" w:space="0" w:color="auto"/>
        <w:bottom w:val="none" w:sz="0" w:space="0" w:color="auto"/>
        <w:right w:val="none" w:sz="0" w:space="0" w:color="auto"/>
      </w:divBdr>
    </w:div>
    <w:div w:id="1917353500">
      <w:bodyDiv w:val="1"/>
      <w:marLeft w:val="0"/>
      <w:marRight w:val="0"/>
      <w:marTop w:val="0"/>
      <w:marBottom w:val="0"/>
      <w:divBdr>
        <w:top w:val="none" w:sz="0" w:space="0" w:color="auto"/>
        <w:left w:val="none" w:sz="0" w:space="0" w:color="auto"/>
        <w:bottom w:val="none" w:sz="0" w:space="0" w:color="auto"/>
        <w:right w:val="none" w:sz="0" w:space="0" w:color="auto"/>
      </w:divBdr>
    </w:div>
    <w:div w:id="1917662607">
      <w:bodyDiv w:val="1"/>
      <w:marLeft w:val="0"/>
      <w:marRight w:val="0"/>
      <w:marTop w:val="0"/>
      <w:marBottom w:val="0"/>
      <w:divBdr>
        <w:top w:val="none" w:sz="0" w:space="0" w:color="auto"/>
        <w:left w:val="none" w:sz="0" w:space="0" w:color="auto"/>
        <w:bottom w:val="none" w:sz="0" w:space="0" w:color="auto"/>
        <w:right w:val="none" w:sz="0" w:space="0" w:color="auto"/>
      </w:divBdr>
    </w:div>
    <w:div w:id="1917861158">
      <w:bodyDiv w:val="1"/>
      <w:marLeft w:val="0"/>
      <w:marRight w:val="0"/>
      <w:marTop w:val="0"/>
      <w:marBottom w:val="0"/>
      <w:divBdr>
        <w:top w:val="none" w:sz="0" w:space="0" w:color="auto"/>
        <w:left w:val="none" w:sz="0" w:space="0" w:color="auto"/>
        <w:bottom w:val="none" w:sz="0" w:space="0" w:color="auto"/>
        <w:right w:val="none" w:sz="0" w:space="0" w:color="auto"/>
      </w:divBdr>
    </w:div>
    <w:div w:id="1918049156">
      <w:bodyDiv w:val="1"/>
      <w:marLeft w:val="0"/>
      <w:marRight w:val="0"/>
      <w:marTop w:val="0"/>
      <w:marBottom w:val="0"/>
      <w:divBdr>
        <w:top w:val="none" w:sz="0" w:space="0" w:color="auto"/>
        <w:left w:val="none" w:sz="0" w:space="0" w:color="auto"/>
        <w:bottom w:val="none" w:sz="0" w:space="0" w:color="auto"/>
        <w:right w:val="none" w:sz="0" w:space="0" w:color="auto"/>
      </w:divBdr>
    </w:div>
    <w:div w:id="1918978201">
      <w:bodyDiv w:val="1"/>
      <w:marLeft w:val="0"/>
      <w:marRight w:val="0"/>
      <w:marTop w:val="0"/>
      <w:marBottom w:val="0"/>
      <w:divBdr>
        <w:top w:val="none" w:sz="0" w:space="0" w:color="auto"/>
        <w:left w:val="none" w:sz="0" w:space="0" w:color="auto"/>
        <w:bottom w:val="none" w:sz="0" w:space="0" w:color="auto"/>
        <w:right w:val="none" w:sz="0" w:space="0" w:color="auto"/>
      </w:divBdr>
    </w:div>
    <w:div w:id="1921256350">
      <w:bodyDiv w:val="1"/>
      <w:marLeft w:val="0"/>
      <w:marRight w:val="0"/>
      <w:marTop w:val="0"/>
      <w:marBottom w:val="0"/>
      <w:divBdr>
        <w:top w:val="none" w:sz="0" w:space="0" w:color="auto"/>
        <w:left w:val="none" w:sz="0" w:space="0" w:color="auto"/>
        <w:bottom w:val="none" w:sz="0" w:space="0" w:color="auto"/>
        <w:right w:val="none" w:sz="0" w:space="0" w:color="auto"/>
      </w:divBdr>
    </w:div>
    <w:div w:id="1921911864">
      <w:bodyDiv w:val="1"/>
      <w:marLeft w:val="0"/>
      <w:marRight w:val="0"/>
      <w:marTop w:val="0"/>
      <w:marBottom w:val="0"/>
      <w:divBdr>
        <w:top w:val="none" w:sz="0" w:space="0" w:color="auto"/>
        <w:left w:val="none" w:sz="0" w:space="0" w:color="auto"/>
        <w:bottom w:val="none" w:sz="0" w:space="0" w:color="auto"/>
        <w:right w:val="none" w:sz="0" w:space="0" w:color="auto"/>
      </w:divBdr>
    </w:div>
    <w:div w:id="1922910303">
      <w:bodyDiv w:val="1"/>
      <w:marLeft w:val="0"/>
      <w:marRight w:val="0"/>
      <w:marTop w:val="0"/>
      <w:marBottom w:val="0"/>
      <w:divBdr>
        <w:top w:val="none" w:sz="0" w:space="0" w:color="auto"/>
        <w:left w:val="none" w:sz="0" w:space="0" w:color="auto"/>
        <w:bottom w:val="none" w:sz="0" w:space="0" w:color="auto"/>
        <w:right w:val="none" w:sz="0" w:space="0" w:color="auto"/>
      </w:divBdr>
    </w:div>
    <w:div w:id="1923489787">
      <w:bodyDiv w:val="1"/>
      <w:marLeft w:val="0"/>
      <w:marRight w:val="0"/>
      <w:marTop w:val="0"/>
      <w:marBottom w:val="0"/>
      <w:divBdr>
        <w:top w:val="none" w:sz="0" w:space="0" w:color="auto"/>
        <w:left w:val="none" w:sz="0" w:space="0" w:color="auto"/>
        <w:bottom w:val="none" w:sz="0" w:space="0" w:color="auto"/>
        <w:right w:val="none" w:sz="0" w:space="0" w:color="auto"/>
      </w:divBdr>
    </w:div>
    <w:div w:id="1923563958">
      <w:bodyDiv w:val="1"/>
      <w:marLeft w:val="0"/>
      <w:marRight w:val="0"/>
      <w:marTop w:val="0"/>
      <w:marBottom w:val="0"/>
      <w:divBdr>
        <w:top w:val="none" w:sz="0" w:space="0" w:color="auto"/>
        <w:left w:val="none" w:sz="0" w:space="0" w:color="auto"/>
        <w:bottom w:val="none" w:sz="0" w:space="0" w:color="auto"/>
        <w:right w:val="none" w:sz="0" w:space="0" w:color="auto"/>
      </w:divBdr>
    </w:div>
    <w:div w:id="1924795666">
      <w:bodyDiv w:val="1"/>
      <w:marLeft w:val="0"/>
      <w:marRight w:val="0"/>
      <w:marTop w:val="0"/>
      <w:marBottom w:val="0"/>
      <w:divBdr>
        <w:top w:val="none" w:sz="0" w:space="0" w:color="auto"/>
        <w:left w:val="none" w:sz="0" w:space="0" w:color="auto"/>
        <w:bottom w:val="none" w:sz="0" w:space="0" w:color="auto"/>
        <w:right w:val="none" w:sz="0" w:space="0" w:color="auto"/>
      </w:divBdr>
    </w:div>
    <w:div w:id="1926189799">
      <w:bodyDiv w:val="1"/>
      <w:marLeft w:val="0"/>
      <w:marRight w:val="0"/>
      <w:marTop w:val="0"/>
      <w:marBottom w:val="0"/>
      <w:divBdr>
        <w:top w:val="none" w:sz="0" w:space="0" w:color="auto"/>
        <w:left w:val="none" w:sz="0" w:space="0" w:color="auto"/>
        <w:bottom w:val="none" w:sz="0" w:space="0" w:color="auto"/>
        <w:right w:val="none" w:sz="0" w:space="0" w:color="auto"/>
      </w:divBdr>
    </w:div>
    <w:div w:id="1926650019">
      <w:bodyDiv w:val="1"/>
      <w:marLeft w:val="0"/>
      <w:marRight w:val="0"/>
      <w:marTop w:val="0"/>
      <w:marBottom w:val="0"/>
      <w:divBdr>
        <w:top w:val="none" w:sz="0" w:space="0" w:color="auto"/>
        <w:left w:val="none" w:sz="0" w:space="0" w:color="auto"/>
        <w:bottom w:val="none" w:sz="0" w:space="0" w:color="auto"/>
        <w:right w:val="none" w:sz="0" w:space="0" w:color="auto"/>
      </w:divBdr>
    </w:div>
    <w:div w:id="1927303393">
      <w:bodyDiv w:val="1"/>
      <w:marLeft w:val="0"/>
      <w:marRight w:val="0"/>
      <w:marTop w:val="0"/>
      <w:marBottom w:val="0"/>
      <w:divBdr>
        <w:top w:val="none" w:sz="0" w:space="0" w:color="auto"/>
        <w:left w:val="none" w:sz="0" w:space="0" w:color="auto"/>
        <w:bottom w:val="none" w:sz="0" w:space="0" w:color="auto"/>
        <w:right w:val="none" w:sz="0" w:space="0" w:color="auto"/>
      </w:divBdr>
    </w:div>
    <w:div w:id="1927349528">
      <w:bodyDiv w:val="1"/>
      <w:marLeft w:val="0"/>
      <w:marRight w:val="0"/>
      <w:marTop w:val="0"/>
      <w:marBottom w:val="0"/>
      <w:divBdr>
        <w:top w:val="none" w:sz="0" w:space="0" w:color="auto"/>
        <w:left w:val="none" w:sz="0" w:space="0" w:color="auto"/>
        <w:bottom w:val="none" w:sz="0" w:space="0" w:color="auto"/>
        <w:right w:val="none" w:sz="0" w:space="0" w:color="auto"/>
      </w:divBdr>
    </w:div>
    <w:div w:id="1927572464">
      <w:bodyDiv w:val="1"/>
      <w:marLeft w:val="0"/>
      <w:marRight w:val="0"/>
      <w:marTop w:val="0"/>
      <w:marBottom w:val="0"/>
      <w:divBdr>
        <w:top w:val="none" w:sz="0" w:space="0" w:color="auto"/>
        <w:left w:val="none" w:sz="0" w:space="0" w:color="auto"/>
        <w:bottom w:val="none" w:sz="0" w:space="0" w:color="auto"/>
        <w:right w:val="none" w:sz="0" w:space="0" w:color="auto"/>
      </w:divBdr>
    </w:div>
    <w:div w:id="1928076057">
      <w:bodyDiv w:val="1"/>
      <w:marLeft w:val="0"/>
      <w:marRight w:val="0"/>
      <w:marTop w:val="0"/>
      <w:marBottom w:val="0"/>
      <w:divBdr>
        <w:top w:val="none" w:sz="0" w:space="0" w:color="auto"/>
        <w:left w:val="none" w:sz="0" w:space="0" w:color="auto"/>
        <w:bottom w:val="none" w:sz="0" w:space="0" w:color="auto"/>
        <w:right w:val="none" w:sz="0" w:space="0" w:color="auto"/>
      </w:divBdr>
    </w:div>
    <w:div w:id="1928686349">
      <w:bodyDiv w:val="1"/>
      <w:marLeft w:val="0"/>
      <w:marRight w:val="0"/>
      <w:marTop w:val="0"/>
      <w:marBottom w:val="0"/>
      <w:divBdr>
        <w:top w:val="none" w:sz="0" w:space="0" w:color="auto"/>
        <w:left w:val="none" w:sz="0" w:space="0" w:color="auto"/>
        <w:bottom w:val="none" w:sz="0" w:space="0" w:color="auto"/>
        <w:right w:val="none" w:sz="0" w:space="0" w:color="auto"/>
      </w:divBdr>
    </w:div>
    <w:div w:id="1930312696">
      <w:bodyDiv w:val="1"/>
      <w:marLeft w:val="0"/>
      <w:marRight w:val="0"/>
      <w:marTop w:val="0"/>
      <w:marBottom w:val="0"/>
      <w:divBdr>
        <w:top w:val="none" w:sz="0" w:space="0" w:color="auto"/>
        <w:left w:val="none" w:sz="0" w:space="0" w:color="auto"/>
        <w:bottom w:val="none" w:sz="0" w:space="0" w:color="auto"/>
        <w:right w:val="none" w:sz="0" w:space="0" w:color="auto"/>
      </w:divBdr>
    </w:div>
    <w:div w:id="1932160301">
      <w:bodyDiv w:val="1"/>
      <w:marLeft w:val="0"/>
      <w:marRight w:val="0"/>
      <w:marTop w:val="0"/>
      <w:marBottom w:val="0"/>
      <w:divBdr>
        <w:top w:val="none" w:sz="0" w:space="0" w:color="auto"/>
        <w:left w:val="none" w:sz="0" w:space="0" w:color="auto"/>
        <w:bottom w:val="none" w:sz="0" w:space="0" w:color="auto"/>
        <w:right w:val="none" w:sz="0" w:space="0" w:color="auto"/>
      </w:divBdr>
    </w:div>
    <w:div w:id="1932883888">
      <w:bodyDiv w:val="1"/>
      <w:marLeft w:val="0"/>
      <w:marRight w:val="0"/>
      <w:marTop w:val="0"/>
      <w:marBottom w:val="0"/>
      <w:divBdr>
        <w:top w:val="none" w:sz="0" w:space="0" w:color="auto"/>
        <w:left w:val="none" w:sz="0" w:space="0" w:color="auto"/>
        <w:bottom w:val="none" w:sz="0" w:space="0" w:color="auto"/>
        <w:right w:val="none" w:sz="0" w:space="0" w:color="auto"/>
      </w:divBdr>
    </w:div>
    <w:div w:id="1933470156">
      <w:bodyDiv w:val="1"/>
      <w:marLeft w:val="0"/>
      <w:marRight w:val="0"/>
      <w:marTop w:val="0"/>
      <w:marBottom w:val="0"/>
      <w:divBdr>
        <w:top w:val="none" w:sz="0" w:space="0" w:color="auto"/>
        <w:left w:val="none" w:sz="0" w:space="0" w:color="auto"/>
        <w:bottom w:val="none" w:sz="0" w:space="0" w:color="auto"/>
        <w:right w:val="none" w:sz="0" w:space="0" w:color="auto"/>
      </w:divBdr>
    </w:div>
    <w:div w:id="1934505821">
      <w:bodyDiv w:val="1"/>
      <w:marLeft w:val="0"/>
      <w:marRight w:val="0"/>
      <w:marTop w:val="0"/>
      <w:marBottom w:val="0"/>
      <w:divBdr>
        <w:top w:val="none" w:sz="0" w:space="0" w:color="auto"/>
        <w:left w:val="none" w:sz="0" w:space="0" w:color="auto"/>
        <w:bottom w:val="none" w:sz="0" w:space="0" w:color="auto"/>
        <w:right w:val="none" w:sz="0" w:space="0" w:color="auto"/>
      </w:divBdr>
    </w:div>
    <w:div w:id="1934584921">
      <w:bodyDiv w:val="1"/>
      <w:marLeft w:val="0"/>
      <w:marRight w:val="0"/>
      <w:marTop w:val="0"/>
      <w:marBottom w:val="0"/>
      <w:divBdr>
        <w:top w:val="none" w:sz="0" w:space="0" w:color="auto"/>
        <w:left w:val="none" w:sz="0" w:space="0" w:color="auto"/>
        <w:bottom w:val="none" w:sz="0" w:space="0" w:color="auto"/>
        <w:right w:val="none" w:sz="0" w:space="0" w:color="auto"/>
      </w:divBdr>
    </w:div>
    <w:div w:id="1935279794">
      <w:bodyDiv w:val="1"/>
      <w:marLeft w:val="0"/>
      <w:marRight w:val="0"/>
      <w:marTop w:val="0"/>
      <w:marBottom w:val="0"/>
      <w:divBdr>
        <w:top w:val="none" w:sz="0" w:space="0" w:color="auto"/>
        <w:left w:val="none" w:sz="0" w:space="0" w:color="auto"/>
        <w:bottom w:val="none" w:sz="0" w:space="0" w:color="auto"/>
        <w:right w:val="none" w:sz="0" w:space="0" w:color="auto"/>
      </w:divBdr>
    </w:div>
    <w:div w:id="1935480309">
      <w:bodyDiv w:val="1"/>
      <w:marLeft w:val="0"/>
      <w:marRight w:val="0"/>
      <w:marTop w:val="0"/>
      <w:marBottom w:val="0"/>
      <w:divBdr>
        <w:top w:val="none" w:sz="0" w:space="0" w:color="auto"/>
        <w:left w:val="none" w:sz="0" w:space="0" w:color="auto"/>
        <w:bottom w:val="none" w:sz="0" w:space="0" w:color="auto"/>
        <w:right w:val="none" w:sz="0" w:space="0" w:color="auto"/>
      </w:divBdr>
    </w:div>
    <w:div w:id="1935626912">
      <w:bodyDiv w:val="1"/>
      <w:marLeft w:val="0"/>
      <w:marRight w:val="0"/>
      <w:marTop w:val="0"/>
      <w:marBottom w:val="0"/>
      <w:divBdr>
        <w:top w:val="none" w:sz="0" w:space="0" w:color="auto"/>
        <w:left w:val="none" w:sz="0" w:space="0" w:color="auto"/>
        <w:bottom w:val="none" w:sz="0" w:space="0" w:color="auto"/>
        <w:right w:val="none" w:sz="0" w:space="0" w:color="auto"/>
      </w:divBdr>
    </w:div>
    <w:div w:id="1935629375">
      <w:bodyDiv w:val="1"/>
      <w:marLeft w:val="0"/>
      <w:marRight w:val="0"/>
      <w:marTop w:val="0"/>
      <w:marBottom w:val="0"/>
      <w:divBdr>
        <w:top w:val="none" w:sz="0" w:space="0" w:color="auto"/>
        <w:left w:val="none" w:sz="0" w:space="0" w:color="auto"/>
        <w:bottom w:val="none" w:sz="0" w:space="0" w:color="auto"/>
        <w:right w:val="none" w:sz="0" w:space="0" w:color="auto"/>
      </w:divBdr>
    </w:div>
    <w:div w:id="1936936928">
      <w:bodyDiv w:val="1"/>
      <w:marLeft w:val="0"/>
      <w:marRight w:val="0"/>
      <w:marTop w:val="0"/>
      <w:marBottom w:val="0"/>
      <w:divBdr>
        <w:top w:val="none" w:sz="0" w:space="0" w:color="auto"/>
        <w:left w:val="none" w:sz="0" w:space="0" w:color="auto"/>
        <w:bottom w:val="none" w:sz="0" w:space="0" w:color="auto"/>
        <w:right w:val="none" w:sz="0" w:space="0" w:color="auto"/>
      </w:divBdr>
    </w:div>
    <w:div w:id="1938632217">
      <w:bodyDiv w:val="1"/>
      <w:marLeft w:val="0"/>
      <w:marRight w:val="0"/>
      <w:marTop w:val="0"/>
      <w:marBottom w:val="0"/>
      <w:divBdr>
        <w:top w:val="none" w:sz="0" w:space="0" w:color="auto"/>
        <w:left w:val="none" w:sz="0" w:space="0" w:color="auto"/>
        <w:bottom w:val="none" w:sz="0" w:space="0" w:color="auto"/>
        <w:right w:val="none" w:sz="0" w:space="0" w:color="auto"/>
      </w:divBdr>
    </w:div>
    <w:div w:id="1938975037">
      <w:bodyDiv w:val="1"/>
      <w:marLeft w:val="0"/>
      <w:marRight w:val="0"/>
      <w:marTop w:val="0"/>
      <w:marBottom w:val="0"/>
      <w:divBdr>
        <w:top w:val="none" w:sz="0" w:space="0" w:color="auto"/>
        <w:left w:val="none" w:sz="0" w:space="0" w:color="auto"/>
        <w:bottom w:val="none" w:sz="0" w:space="0" w:color="auto"/>
        <w:right w:val="none" w:sz="0" w:space="0" w:color="auto"/>
      </w:divBdr>
    </w:div>
    <w:div w:id="1939672228">
      <w:bodyDiv w:val="1"/>
      <w:marLeft w:val="0"/>
      <w:marRight w:val="0"/>
      <w:marTop w:val="0"/>
      <w:marBottom w:val="0"/>
      <w:divBdr>
        <w:top w:val="none" w:sz="0" w:space="0" w:color="auto"/>
        <w:left w:val="none" w:sz="0" w:space="0" w:color="auto"/>
        <w:bottom w:val="none" w:sz="0" w:space="0" w:color="auto"/>
        <w:right w:val="none" w:sz="0" w:space="0" w:color="auto"/>
      </w:divBdr>
    </w:div>
    <w:div w:id="1940062263">
      <w:bodyDiv w:val="1"/>
      <w:marLeft w:val="0"/>
      <w:marRight w:val="0"/>
      <w:marTop w:val="0"/>
      <w:marBottom w:val="0"/>
      <w:divBdr>
        <w:top w:val="none" w:sz="0" w:space="0" w:color="auto"/>
        <w:left w:val="none" w:sz="0" w:space="0" w:color="auto"/>
        <w:bottom w:val="none" w:sz="0" w:space="0" w:color="auto"/>
        <w:right w:val="none" w:sz="0" w:space="0" w:color="auto"/>
      </w:divBdr>
    </w:div>
    <w:div w:id="1941985034">
      <w:bodyDiv w:val="1"/>
      <w:marLeft w:val="0"/>
      <w:marRight w:val="0"/>
      <w:marTop w:val="0"/>
      <w:marBottom w:val="0"/>
      <w:divBdr>
        <w:top w:val="none" w:sz="0" w:space="0" w:color="auto"/>
        <w:left w:val="none" w:sz="0" w:space="0" w:color="auto"/>
        <w:bottom w:val="none" w:sz="0" w:space="0" w:color="auto"/>
        <w:right w:val="none" w:sz="0" w:space="0" w:color="auto"/>
      </w:divBdr>
    </w:div>
    <w:div w:id="1942837966">
      <w:bodyDiv w:val="1"/>
      <w:marLeft w:val="0"/>
      <w:marRight w:val="0"/>
      <w:marTop w:val="0"/>
      <w:marBottom w:val="0"/>
      <w:divBdr>
        <w:top w:val="none" w:sz="0" w:space="0" w:color="auto"/>
        <w:left w:val="none" w:sz="0" w:space="0" w:color="auto"/>
        <w:bottom w:val="none" w:sz="0" w:space="0" w:color="auto"/>
        <w:right w:val="none" w:sz="0" w:space="0" w:color="auto"/>
      </w:divBdr>
    </w:div>
    <w:div w:id="1943297428">
      <w:bodyDiv w:val="1"/>
      <w:marLeft w:val="0"/>
      <w:marRight w:val="0"/>
      <w:marTop w:val="0"/>
      <w:marBottom w:val="0"/>
      <w:divBdr>
        <w:top w:val="none" w:sz="0" w:space="0" w:color="auto"/>
        <w:left w:val="none" w:sz="0" w:space="0" w:color="auto"/>
        <w:bottom w:val="none" w:sz="0" w:space="0" w:color="auto"/>
        <w:right w:val="none" w:sz="0" w:space="0" w:color="auto"/>
      </w:divBdr>
    </w:div>
    <w:div w:id="1944259569">
      <w:bodyDiv w:val="1"/>
      <w:marLeft w:val="0"/>
      <w:marRight w:val="0"/>
      <w:marTop w:val="0"/>
      <w:marBottom w:val="0"/>
      <w:divBdr>
        <w:top w:val="none" w:sz="0" w:space="0" w:color="auto"/>
        <w:left w:val="none" w:sz="0" w:space="0" w:color="auto"/>
        <w:bottom w:val="none" w:sz="0" w:space="0" w:color="auto"/>
        <w:right w:val="none" w:sz="0" w:space="0" w:color="auto"/>
      </w:divBdr>
    </w:div>
    <w:div w:id="1944334996">
      <w:bodyDiv w:val="1"/>
      <w:marLeft w:val="0"/>
      <w:marRight w:val="0"/>
      <w:marTop w:val="0"/>
      <w:marBottom w:val="0"/>
      <w:divBdr>
        <w:top w:val="none" w:sz="0" w:space="0" w:color="auto"/>
        <w:left w:val="none" w:sz="0" w:space="0" w:color="auto"/>
        <w:bottom w:val="none" w:sz="0" w:space="0" w:color="auto"/>
        <w:right w:val="none" w:sz="0" w:space="0" w:color="auto"/>
      </w:divBdr>
    </w:div>
    <w:div w:id="1944336314">
      <w:bodyDiv w:val="1"/>
      <w:marLeft w:val="0"/>
      <w:marRight w:val="0"/>
      <w:marTop w:val="0"/>
      <w:marBottom w:val="0"/>
      <w:divBdr>
        <w:top w:val="none" w:sz="0" w:space="0" w:color="auto"/>
        <w:left w:val="none" w:sz="0" w:space="0" w:color="auto"/>
        <w:bottom w:val="none" w:sz="0" w:space="0" w:color="auto"/>
        <w:right w:val="none" w:sz="0" w:space="0" w:color="auto"/>
      </w:divBdr>
    </w:div>
    <w:div w:id="1944799590">
      <w:bodyDiv w:val="1"/>
      <w:marLeft w:val="0"/>
      <w:marRight w:val="0"/>
      <w:marTop w:val="0"/>
      <w:marBottom w:val="0"/>
      <w:divBdr>
        <w:top w:val="none" w:sz="0" w:space="0" w:color="auto"/>
        <w:left w:val="none" w:sz="0" w:space="0" w:color="auto"/>
        <w:bottom w:val="none" w:sz="0" w:space="0" w:color="auto"/>
        <w:right w:val="none" w:sz="0" w:space="0" w:color="auto"/>
      </w:divBdr>
    </w:div>
    <w:div w:id="1945457953">
      <w:bodyDiv w:val="1"/>
      <w:marLeft w:val="0"/>
      <w:marRight w:val="0"/>
      <w:marTop w:val="0"/>
      <w:marBottom w:val="0"/>
      <w:divBdr>
        <w:top w:val="none" w:sz="0" w:space="0" w:color="auto"/>
        <w:left w:val="none" w:sz="0" w:space="0" w:color="auto"/>
        <w:bottom w:val="none" w:sz="0" w:space="0" w:color="auto"/>
        <w:right w:val="none" w:sz="0" w:space="0" w:color="auto"/>
      </w:divBdr>
    </w:div>
    <w:div w:id="1946225495">
      <w:bodyDiv w:val="1"/>
      <w:marLeft w:val="0"/>
      <w:marRight w:val="0"/>
      <w:marTop w:val="0"/>
      <w:marBottom w:val="0"/>
      <w:divBdr>
        <w:top w:val="none" w:sz="0" w:space="0" w:color="auto"/>
        <w:left w:val="none" w:sz="0" w:space="0" w:color="auto"/>
        <w:bottom w:val="none" w:sz="0" w:space="0" w:color="auto"/>
        <w:right w:val="none" w:sz="0" w:space="0" w:color="auto"/>
      </w:divBdr>
    </w:div>
    <w:div w:id="1946423010">
      <w:bodyDiv w:val="1"/>
      <w:marLeft w:val="0"/>
      <w:marRight w:val="0"/>
      <w:marTop w:val="0"/>
      <w:marBottom w:val="0"/>
      <w:divBdr>
        <w:top w:val="none" w:sz="0" w:space="0" w:color="auto"/>
        <w:left w:val="none" w:sz="0" w:space="0" w:color="auto"/>
        <w:bottom w:val="none" w:sz="0" w:space="0" w:color="auto"/>
        <w:right w:val="none" w:sz="0" w:space="0" w:color="auto"/>
      </w:divBdr>
    </w:div>
    <w:div w:id="1946644347">
      <w:bodyDiv w:val="1"/>
      <w:marLeft w:val="0"/>
      <w:marRight w:val="0"/>
      <w:marTop w:val="0"/>
      <w:marBottom w:val="0"/>
      <w:divBdr>
        <w:top w:val="none" w:sz="0" w:space="0" w:color="auto"/>
        <w:left w:val="none" w:sz="0" w:space="0" w:color="auto"/>
        <w:bottom w:val="none" w:sz="0" w:space="0" w:color="auto"/>
        <w:right w:val="none" w:sz="0" w:space="0" w:color="auto"/>
      </w:divBdr>
    </w:div>
    <w:div w:id="1948124247">
      <w:bodyDiv w:val="1"/>
      <w:marLeft w:val="0"/>
      <w:marRight w:val="0"/>
      <w:marTop w:val="0"/>
      <w:marBottom w:val="0"/>
      <w:divBdr>
        <w:top w:val="none" w:sz="0" w:space="0" w:color="auto"/>
        <w:left w:val="none" w:sz="0" w:space="0" w:color="auto"/>
        <w:bottom w:val="none" w:sz="0" w:space="0" w:color="auto"/>
        <w:right w:val="none" w:sz="0" w:space="0" w:color="auto"/>
      </w:divBdr>
    </w:div>
    <w:div w:id="1948653278">
      <w:bodyDiv w:val="1"/>
      <w:marLeft w:val="0"/>
      <w:marRight w:val="0"/>
      <w:marTop w:val="0"/>
      <w:marBottom w:val="0"/>
      <w:divBdr>
        <w:top w:val="none" w:sz="0" w:space="0" w:color="auto"/>
        <w:left w:val="none" w:sz="0" w:space="0" w:color="auto"/>
        <w:bottom w:val="none" w:sz="0" w:space="0" w:color="auto"/>
        <w:right w:val="none" w:sz="0" w:space="0" w:color="auto"/>
      </w:divBdr>
    </w:div>
    <w:div w:id="1948998150">
      <w:bodyDiv w:val="1"/>
      <w:marLeft w:val="0"/>
      <w:marRight w:val="0"/>
      <w:marTop w:val="0"/>
      <w:marBottom w:val="0"/>
      <w:divBdr>
        <w:top w:val="none" w:sz="0" w:space="0" w:color="auto"/>
        <w:left w:val="none" w:sz="0" w:space="0" w:color="auto"/>
        <w:bottom w:val="none" w:sz="0" w:space="0" w:color="auto"/>
        <w:right w:val="none" w:sz="0" w:space="0" w:color="auto"/>
      </w:divBdr>
      <w:divsChild>
        <w:div w:id="953560663">
          <w:marLeft w:val="0"/>
          <w:marRight w:val="0"/>
          <w:marTop w:val="0"/>
          <w:marBottom w:val="0"/>
          <w:divBdr>
            <w:top w:val="none" w:sz="0" w:space="0" w:color="auto"/>
            <w:left w:val="none" w:sz="0" w:space="0" w:color="auto"/>
            <w:bottom w:val="none" w:sz="0" w:space="0" w:color="auto"/>
            <w:right w:val="none" w:sz="0" w:space="0" w:color="auto"/>
          </w:divBdr>
          <w:divsChild>
            <w:div w:id="1641350693">
              <w:marLeft w:val="-225"/>
              <w:marRight w:val="-225"/>
              <w:marTop w:val="0"/>
              <w:marBottom w:val="0"/>
              <w:divBdr>
                <w:top w:val="none" w:sz="0" w:space="0" w:color="auto"/>
                <w:left w:val="none" w:sz="0" w:space="0" w:color="auto"/>
                <w:bottom w:val="none" w:sz="0" w:space="0" w:color="auto"/>
                <w:right w:val="none" w:sz="0" w:space="0" w:color="auto"/>
              </w:divBdr>
              <w:divsChild>
                <w:div w:id="961690540">
                  <w:marLeft w:val="0"/>
                  <w:marRight w:val="0"/>
                  <w:marTop w:val="0"/>
                  <w:marBottom w:val="0"/>
                  <w:divBdr>
                    <w:top w:val="none" w:sz="0" w:space="0" w:color="auto"/>
                    <w:left w:val="none" w:sz="0" w:space="0" w:color="auto"/>
                    <w:bottom w:val="none" w:sz="0" w:space="0" w:color="auto"/>
                    <w:right w:val="none" w:sz="0" w:space="0" w:color="auto"/>
                  </w:divBdr>
                  <w:divsChild>
                    <w:div w:id="144929547">
                      <w:marLeft w:val="0"/>
                      <w:marRight w:val="0"/>
                      <w:marTop w:val="0"/>
                      <w:marBottom w:val="75"/>
                      <w:divBdr>
                        <w:top w:val="none" w:sz="0" w:space="0" w:color="auto"/>
                        <w:left w:val="none" w:sz="0" w:space="0" w:color="auto"/>
                        <w:bottom w:val="none" w:sz="0" w:space="0" w:color="auto"/>
                        <w:right w:val="none" w:sz="0" w:space="0" w:color="auto"/>
                      </w:divBdr>
                    </w:div>
                    <w:div w:id="299724341">
                      <w:marLeft w:val="0"/>
                      <w:marRight w:val="0"/>
                      <w:marTop w:val="0"/>
                      <w:marBottom w:val="0"/>
                      <w:divBdr>
                        <w:top w:val="none" w:sz="0" w:space="0" w:color="auto"/>
                        <w:left w:val="none" w:sz="0" w:space="0" w:color="auto"/>
                        <w:bottom w:val="none" w:sz="0" w:space="0" w:color="auto"/>
                        <w:right w:val="none" w:sz="0" w:space="0" w:color="auto"/>
                      </w:divBdr>
                    </w:div>
                    <w:div w:id="392242503">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371415271">
          <w:marLeft w:val="0"/>
          <w:marRight w:val="0"/>
          <w:marTop w:val="0"/>
          <w:marBottom w:val="0"/>
          <w:divBdr>
            <w:top w:val="none" w:sz="0" w:space="0" w:color="auto"/>
            <w:left w:val="none" w:sz="0" w:space="0" w:color="auto"/>
            <w:bottom w:val="none" w:sz="0" w:space="0" w:color="auto"/>
            <w:right w:val="none" w:sz="0" w:space="0" w:color="auto"/>
          </w:divBdr>
          <w:divsChild>
            <w:div w:id="875896429">
              <w:marLeft w:val="-225"/>
              <w:marRight w:val="-225"/>
              <w:marTop w:val="0"/>
              <w:marBottom w:val="0"/>
              <w:divBdr>
                <w:top w:val="none" w:sz="0" w:space="0" w:color="auto"/>
                <w:left w:val="none" w:sz="0" w:space="0" w:color="auto"/>
                <w:bottom w:val="none" w:sz="0" w:space="0" w:color="auto"/>
                <w:right w:val="none" w:sz="0" w:space="0" w:color="auto"/>
              </w:divBdr>
              <w:divsChild>
                <w:div w:id="1335453614">
                  <w:marLeft w:val="0"/>
                  <w:marRight w:val="0"/>
                  <w:marTop w:val="0"/>
                  <w:marBottom w:val="0"/>
                  <w:divBdr>
                    <w:top w:val="none" w:sz="0" w:space="0" w:color="auto"/>
                    <w:left w:val="none" w:sz="0" w:space="0" w:color="auto"/>
                    <w:bottom w:val="none" w:sz="0" w:space="0" w:color="auto"/>
                    <w:right w:val="none" w:sz="0" w:space="0" w:color="auto"/>
                  </w:divBdr>
                  <w:divsChild>
                    <w:div w:id="529414733">
                      <w:marLeft w:val="0"/>
                      <w:marRight w:val="0"/>
                      <w:marTop w:val="0"/>
                      <w:marBottom w:val="0"/>
                      <w:divBdr>
                        <w:top w:val="none" w:sz="0" w:space="0" w:color="auto"/>
                        <w:left w:val="none" w:sz="0" w:space="0" w:color="auto"/>
                        <w:bottom w:val="none" w:sz="0" w:space="0" w:color="auto"/>
                        <w:right w:val="none" w:sz="0" w:space="0" w:color="auto"/>
                      </w:divBdr>
                    </w:div>
                    <w:div w:id="773480860">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466508527">
          <w:marLeft w:val="0"/>
          <w:marRight w:val="0"/>
          <w:marTop w:val="0"/>
          <w:marBottom w:val="0"/>
          <w:divBdr>
            <w:top w:val="none" w:sz="0" w:space="0" w:color="auto"/>
            <w:left w:val="none" w:sz="0" w:space="0" w:color="auto"/>
            <w:bottom w:val="none" w:sz="0" w:space="0" w:color="auto"/>
            <w:right w:val="none" w:sz="0" w:space="0" w:color="auto"/>
          </w:divBdr>
        </w:div>
        <w:div w:id="2027050547">
          <w:marLeft w:val="0"/>
          <w:marRight w:val="0"/>
          <w:marTop w:val="0"/>
          <w:marBottom w:val="0"/>
          <w:divBdr>
            <w:top w:val="none" w:sz="0" w:space="0" w:color="auto"/>
            <w:left w:val="none" w:sz="0" w:space="0" w:color="auto"/>
            <w:bottom w:val="none" w:sz="0" w:space="0" w:color="auto"/>
            <w:right w:val="none" w:sz="0" w:space="0" w:color="auto"/>
          </w:divBdr>
          <w:divsChild>
            <w:div w:id="1073696692">
              <w:marLeft w:val="-225"/>
              <w:marRight w:val="-225"/>
              <w:marTop w:val="0"/>
              <w:marBottom w:val="0"/>
              <w:divBdr>
                <w:top w:val="none" w:sz="0" w:space="0" w:color="auto"/>
                <w:left w:val="none" w:sz="0" w:space="0" w:color="auto"/>
                <w:bottom w:val="none" w:sz="0" w:space="0" w:color="auto"/>
                <w:right w:val="none" w:sz="0" w:space="0" w:color="auto"/>
              </w:divBdr>
              <w:divsChild>
                <w:div w:id="1965496990">
                  <w:marLeft w:val="0"/>
                  <w:marRight w:val="0"/>
                  <w:marTop w:val="0"/>
                  <w:marBottom w:val="0"/>
                  <w:divBdr>
                    <w:top w:val="none" w:sz="0" w:space="0" w:color="auto"/>
                    <w:left w:val="none" w:sz="0" w:space="0" w:color="auto"/>
                    <w:bottom w:val="none" w:sz="0" w:space="0" w:color="auto"/>
                    <w:right w:val="none" w:sz="0" w:space="0" w:color="auto"/>
                  </w:divBdr>
                  <w:divsChild>
                    <w:div w:id="280302401">
                      <w:marLeft w:val="0"/>
                      <w:marRight w:val="0"/>
                      <w:marTop w:val="0"/>
                      <w:marBottom w:val="0"/>
                      <w:divBdr>
                        <w:top w:val="none" w:sz="0" w:space="0" w:color="auto"/>
                        <w:left w:val="none" w:sz="0" w:space="0" w:color="auto"/>
                        <w:bottom w:val="none" w:sz="0" w:space="0" w:color="auto"/>
                        <w:right w:val="none" w:sz="0" w:space="0" w:color="auto"/>
                      </w:divBdr>
                    </w:div>
                    <w:div w:id="639502079">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 w:id="1295408324">
              <w:marLeft w:val="-225"/>
              <w:marRight w:val="-225"/>
              <w:marTop w:val="0"/>
              <w:marBottom w:val="0"/>
              <w:divBdr>
                <w:top w:val="none" w:sz="0" w:space="0" w:color="auto"/>
                <w:left w:val="none" w:sz="0" w:space="0" w:color="auto"/>
                <w:bottom w:val="none" w:sz="0" w:space="0" w:color="auto"/>
                <w:right w:val="none" w:sz="0" w:space="0" w:color="auto"/>
              </w:divBdr>
              <w:divsChild>
                <w:div w:id="1617254154">
                  <w:marLeft w:val="0"/>
                  <w:marRight w:val="0"/>
                  <w:marTop w:val="0"/>
                  <w:marBottom w:val="0"/>
                  <w:divBdr>
                    <w:top w:val="none" w:sz="0" w:space="0" w:color="auto"/>
                    <w:left w:val="none" w:sz="0" w:space="0" w:color="auto"/>
                    <w:bottom w:val="none" w:sz="0" w:space="0" w:color="auto"/>
                    <w:right w:val="none" w:sz="0" w:space="0" w:color="auto"/>
                  </w:divBdr>
                  <w:divsChild>
                    <w:div w:id="71702236">
                      <w:marLeft w:val="0"/>
                      <w:marRight w:val="0"/>
                      <w:marTop w:val="0"/>
                      <w:marBottom w:val="75"/>
                      <w:divBdr>
                        <w:top w:val="none" w:sz="0" w:space="0" w:color="auto"/>
                        <w:left w:val="none" w:sz="0" w:space="0" w:color="auto"/>
                        <w:bottom w:val="none" w:sz="0" w:space="0" w:color="auto"/>
                        <w:right w:val="none" w:sz="0" w:space="0" w:color="auto"/>
                      </w:divBdr>
                    </w:div>
                    <w:div w:id="221142215">
                      <w:marLeft w:val="0"/>
                      <w:marRight w:val="0"/>
                      <w:marTop w:val="0"/>
                      <w:marBottom w:val="300"/>
                      <w:divBdr>
                        <w:top w:val="none" w:sz="0" w:space="0" w:color="auto"/>
                        <w:left w:val="none" w:sz="0" w:space="0" w:color="auto"/>
                        <w:bottom w:val="none" w:sz="0" w:space="0" w:color="auto"/>
                        <w:right w:val="none" w:sz="0" w:space="0" w:color="auto"/>
                      </w:divBdr>
                    </w:div>
                    <w:div w:id="1510025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9309822">
      <w:bodyDiv w:val="1"/>
      <w:marLeft w:val="0"/>
      <w:marRight w:val="0"/>
      <w:marTop w:val="0"/>
      <w:marBottom w:val="0"/>
      <w:divBdr>
        <w:top w:val="none" w:sz="0" w:space="0" w:color="auto"/>
        <w:left w:val="none" w:sz="0" w:space="0" w:color="auto"/>
        <w:bottom w:val="none" w:sz="0" w:space="0" w:color="auto"/>
        <w:right w:val="none" w:sz="0" w:space="0" w:color="auto"/>
      </w:divBdr>
    </w:div>
    <w:div w:id="1949727665">
      <w:bodyDiv w:val="1"/>
      <w:marLeft w:val="0"/>
      <w:marRight w:val="0"/>
      <w:marTop w:val="0"/>
      <w:marBottom w:val="0"/>
      <w:divBdr>
        <w:top w:val="none" w:sz="0" w:space="0" w:color="auto"/>
        <w:left w:val="none" w:sz="0" w:space="0" w:color="auto"/>
        <w:bottom w:val="none" w:sz="0" w:space="0" w:color="auto"/>
        <w:right w:val="none" w:sz="0" w:space="0" w:color="auto"/>
      </w:divBdr>
    </w:div>
    <w:div w:id="1950351747">
      <w:bodyDiv w:val="1"/>
      <w:marLeft w:val="0"/>
      <w:marRight w:val="0"/>
      <w:marTop w:val="0"/>
      <w:marBottom w:val="0"/>
      <w:divBdr>
        <w:top w:val="none" w:sz="0" w:space="0" w:color="auto"/>
        <w:left w:val="none" w:sz="0" w:space="0" w:color="auto"/>
        <w:bottom w:val="none" w:sz="0" w:space="0" w:color="auto"/>
        <w:right w:val="none" w:sz="0" w:space="0" w:color="auto"/>
      </w:divBdr>
    </w:div>
    <w:div w:id="1951163263">
      <w:bodyDiv w:val="1"/>
      <w:marLeft w:val="0"/>
      <w:marRight w:val="0"/>
      <w:marTop w:val="0"/>
      <w:marBottom w:val="0"/>
      <w:divBdr>
        <w:top w:val="none" w:sz="0" w:space="0" w:color="auto"/>
        <w:left w:val="none" w:sz="0" w:space="0" w:color="auto"/>
        <w:bottom w:val="none" w:sz="0" w:space="0" w:color="auto"/>
        <w:right w:val="none" w:sz="0" w:space="0" w:color="auto"/>
      </w:divBdr>
    </w:div>
    <w:div w:id="1952056295">
      <w:bodyDiv w:val="1"/>
      <w:marLeft w:val="0"/>
      <w:marRight w:val="0"/>
      <w:marTop w:val="0"/>
      <w:marBottom w:val="0"/>
      <w:divBdr>
        <w:top w:val="none" w:sz="0" w:space="0" w:color="auto"/>
        <w:left w:val="none" w:sz="0" w:space="0" w:color="auto"/>
        <w:bottom w:val="none" w:sz="0" w:space="0" w:color="auto"/>
        <w:right w:val="none" w:sz="0" w:space="0" w:color="auto"/>
      </w:divBdr>
    </w:div>
    <w:div w:id="1952203418">
      <w:bodyDiv w:val="1"/>
      <w:marLeft w:val="0"/>
      <w:marRight w:val="0"/>
      <w:marTop w:val="0"/>
      <w:marBottom w:val="0"/>
      <w:divBdr>
        <w:top w:val="none" w:sz="0" w:space="0" w:color="auto"/>
        <w:left w:val="none" w:sz="0" w:space="0" w:color="auto"/>
        <w:bottom w:val="none" w:sz="0" w:space="0" w:color="auto"/>
        <w:right w:val="none" w:sz="0" w:space="0" w:color="auto"/>
      </w:divBdr>
    </w:div>
    <w:div w:id="1955625402">
      <w:bodyDiv w:val="1"/>
      <w:marLeft w:val="0"/>
      <w:marRight w:val="0"/>
      <w:marTop w:val="0"/>
      <w:marBottom w:val="0"/>
      <w:divBdr>
        <w:top w:val="none" w:sz="0" w:space="0" w:color="auto"/>
        <w:left w:val="none" w:sz="0" w:space="0" w:color="auto"/>
        <w:bottom w:val="none" w:sz="0" w:space="0" w:color="auto"/>
        <w:right w:val="none" w:sz="0" w:space="0" w:color="auto"/>
      </w:divBdr>
    </w:div>
    <w:div w:id="1956715240">
      <w:bodyDiv w:val="1"/>
      <w:marLeft w:val="0"/>
      <w:marRight w:val="0"/>
      <w:marTop w:val="0"/>
      <w:marBottom w:val="0"/>
      <w:divBdr>
        <w:top w:val="none" w:sz="0" w:space="0" w:color="auto"/>
        <w:left w:val="none" w:sz="0" w:space="0" w:color="auto"/>
        <w:bottom w:val="none" w:sz="0" w:space="0" w:color="auto"/>
        <w:right w:val="none" w:sz="0" w:space="0" w:color="auto"/>
      </w:divBdr>
    </w:div>
    <w:div w:id="1957173272">
      <w:bodyDiv w:val="1"/>
      <w:marLeft w:val="0"/>
      <w:marRight w:val="0"/>
      <w:marTop w:val="0"/>
      <w:marBottom w:val="0"/>
      <w:divBdr>
        <w:top w:val="none" w:sz="0" w:space="0" w:color="auto"/>
        <w:left w:val="none" w:sz="0" w:space="0" w:color="auto"/>
        <w:bottom w:val="none" w:sz="0" w:space="0" w:color="auto"/>
        <w:right w:val="none" w:sz="0" w:space="0" w:color="auto"/>
      </w:divBdr>
    </w:div>
    <w:div w:id="1958176044">
      <w:bodyDiv w:val="1"/>
      <w:marLeft w:val="0"/>
      <w:marRight w:val="0"/>
      <w:marTop w:val="0"/>
      <w:marBottom w:val="0"/>
      <w:divBdr>
        <w:top w:val="none" w:sz="0" w:space="0" w:color="auto"/>
        <w:left w:val="none" w:sz="0" w:space="0" w:color="auto"/>
        <w:bottom w:val="none" w:sz="0" w:space="0" w:color="auto"/>
        <w:right w:val="none" w:sz="0" w:space="0" w:color="auto"/>
      </w:divBdr>
    </w:div>
    <w:div w:id="1958412738">
      <w:bodyDiv w:val="1"/>
      <w:marLeft w:val="0"/>
      <w:marRight w:val="0"/>
      <w:marTop w:val="0"/>
      <w:marBottom w:val="0"/>
      <w:divBdr>
        <w:top w:val="none" w:sz="0" w:space="0" w:color="auto"/>
        <w:left w:val="none" w:sz="0" w:space="0" w:color="auto"/>
        <w:bottom w:val="none" w:sz="0" w:space="0" w:color="auto"/>
        <w:right w:val="none" w:sz="0" w:space="0" w:color="auto"/>
      </w:divBdr>
    </w:div>
    <w:div w:id="1959605731">
      <w:bodyDiv w:val="1"/>
      <w:marLeft w:val="0"/>
      <w:marRight w:val="0"/>
      <w:marTop w:val="0"/>
      <w:marBottom w:val="0"/>
      <w:divBdr>
        <w:top w:val="none" w:sz="0" w:space="0" w:color="auto"/>
        <w:left w:val="none" w:sz="0" w:space="0" w:color="auto"/>
        <w:bottom w:val="none" w:sz="0" w:space="0" w:color="auto"/>
        <w:right w:val="none" w:sz="0" w:space="0" w:color="auto"/>
      </w:divBdr>
    </w:div>
    <w:div w:id="1960722882">
      <w:bodyDiv w:val="1"/>
      <w:marLeft w:val="0"/>
      <w:marRight w:val="0"/>
      <w:marTop w:val="0"/>
      <w:marBottom w:val="0"/>
      <w:divBdr>
        <w:top w:val="none" w:sz="0" w:space="0" w:color="auto"/>
        <w:left w:val="none" w:sz="0" w:space="0" w:color="auto"/>
        <w:bottom w:val="none" w:sz="0" w:space="0" w:color="auto"/>
        <w:right w:val="none" w:sz="0" w:space="0" w:color="auto"/>
      </w:divBdr>
    </w:div>
    <w:div w:id="1961838884">
      <w:bodyDiv w:val="1"/>
      <w:marLeft w:val="0"/>
      <w:marRight w:val="0"/>
      <w:marTop w:val="0"/>
      <w:marBottom w:val="0"/>
      <w:divBdr>
        <w:top w:val="none" w:sz="0" w:space="0" w:color="auto"/>
        <w:left w:val="none" w:sz="0" w:space="0" w:color="auto"/>
        <w:bottom w:val="none" w:sz="0" w:space="0" w:color="auto"/>
        <w:right w:val="none" w:sz="0" w:space="0" w:color="auto"/>
      </w:divBdr>
    </w:div>
    <w:div w:id="1962104540">
      <w:bodyDiv w:val="1"/>
      <w:marLeft w:val="0"/>
      <w:marRight w:val="0"/>
      <w:marTop w:val="0"/>
      <w:marBottom w:val="0"/>
      <w:divBdr>
        <w:top w:val="none" w:sz="0" w:space="0" w:color="auto"/>
        <w:left w:val="none" w:sz="0" w:space="0" w:color="auto"/>
        <w:bottom w:val="none" w:sz="0" w:space="0" w:color="auto"/>
        <w:right w:val="none" w:sz="0" w:space="0" w:color="auto"/>
      </w:divBdr>
    </w:div>
    <w:div w:id="1962298982">
      <w:bodyDiv w:val="1"/>
      <w:marLeft w:val="0"/>
      <w:marRight w:val="0"/>
      <w:marTop w:val="0"/>
      <w:marBottom w:val="0"/>
      <w:divBdr>
        <w:top w:val="none" w:sz="0" w:space="0" w:color="auto"/>
        <w:left w:val="none" w:sz="0" w:space="0" w:color="auto"/>
        <w:bottom w:val="none" w:sz="0" w:space="0" w:color="auto"/>
        <w:right w:val="none" w:sz="0" w:space="0" w:color="auto"/>
      </w:divBdr>
    </w:div>
    <w:div w:id="1962880971">
      <w:bodyDiv w:val="1"/>
      <w:marLeft w:val="0"/>
      <w:marRight w:val="0"/>
      <w:marTop w:val="0"/>
      <w:marBottom w:val="0"/>
      <w:divBdr>
        <w:top w:val="none" w:sz="0" w:space="0" w:color="auto"/>
        <w:left w:val="none" w:sz="0" w:space="0" w:color="auto"/>
        <w:bottom w:val="none" w:sz="0" w:space="0" w:color="auto"/>
        <w:right w:val="none" w:sz="0" w:space="0" w:color="auto"/>
      </w:divBdr>
    </w:div>
    <w:div w:id="1964188415">
      <w:bodyDiv w:val="1"/>
      <w:marLeft w:val="0"/>
      <w:marRight w:val="0"/>
      <w:marTop w:val="0"/>
      <w:marBottom w:val="0"/>
      <w:divBdr>
        <w:top w:val="none" w:sz="0" w:space="0" w:color="auto"/>
        <w:left w:val="none" w:sz="0" w:space="0" w:color="auto"/>
        <w:bottom w:val="none" w:sz="0" w:space="0" w:color="auto"/>
        <w:right w:val="none" w:sz="0" w:space="0" w:color="auto"/>
      </w:divBdr>
    </w:div>
    <w:div w:id="1965696187">
      <w:bodyDiv w:val="1"/>
      <w:marLeft w:val="0"/>
      <w:marRight w:val="0"/>
      <w:marTop w:val="0"/>
      <w:marBottom w:val="0"/>
      <w:divBdr>
        <w:top w:val="none" w:sz="0" w:space="0" w:color="auto"/>
        <w:left w:val="none" w:sz="0" w:space="0" w:color="auto"/>
        <w:bottom w:val="none" w:sz="0" w:space="0" w:color="auto"/>
        <w:right w:val="none" w:sz="0" w:space="0" w:color="auto"/>
      </w:divBdr>
    </w:div>
    <w:div w:id="1967470070">
      <w:bodyDiv w:val="1"/>
      <w:marLeft w:val="0"/>
      <w:marRight w:val="0"/>
      <w:marTop w:val="0"/>
      <w:marBottom w:val="0"/>
      <w:divBdr>
        <w:top w:val="none" w:sz="0" w:space="0" w:color="auto"/>
        <w:left w:val="none" w:sz="0" w:space="0" w:color="auto"/>
        <w:bottom w:val="none" w:sz="0" w:space="0" w:color="auto"/>
        <w:right w:val="none" w:sz="0" w:space="0" w:color="auto"/>
      </w:divBdr>
    </w:div>
    <w:div w:id="1968051142">
      <w:bodyDiv w:val="1"/>
      <w:marLeft w:val="0"/>
      <w:marRight w:val="0"/>
      <w:marTop w:val="0"/>
      <w:marBottom w:val="0"/>
      <w:divBdr>
        <w:top w:val="none" w:sz="0" w:space="0" w:color="auto"/>
        <w:left w:val="none" w:sz="0" w:space="0" w:color="auto"/>
        <w:bottom w:val="none" w:sz="0" w:space="0" w:color="auto"/>
        <w:right w:val="none" w:sz="0" w:space="0" w:color="auto"/>
      </w:divBdr>
    </w:div>
    <w:div w:id="1969436531">
      <w:bodyDiv w:val="1"/>
      <w:marLeft w:val="0"/>
      <w:marRight w:val="0"/>
      <w:marTop w:val="0"/>
      <w:marBottom w:val="0"/>
      <w:divBdr>
        <w:top w:val="none" w:sz="0" w:space="0" w:color="auto"/>
        <w:left w:val="none" w:sz="0" w:space="0" w:color="auto"/>
        <w:bottom w:val="none" w:sz="0" w:space="0" w:color="auto"/>
        <w:right w:val="none" w:sz="0" w:space="0" w:color="auto"/>
      </w:divBdr>
    </w:div>
    <w:div w:id="1970360393">
      <w:bodyDiv w:val="1"/>
      <w:marLeft w:val="0"/>
      <w:marRight w:val="0"/>
      <w:marTop w:val="0"/>
      <w:marBottom w:val="0"/>
      <w:divBdr>
        <w:top w:val="none" w:sz="0" w:space="0" w:color="auto"/>
        <w:left w:val="none" w:sz="0" w:space="0" w:color="auto"/>
        <w:bottom w:val="none" w:sz="0" w:space="0" w:color="auto"/>
        <w:right w:val="none" w:sz="0" w:space="0" w:color="auto"/>
      </w:divBdr>
    </w:div>
    <w:div w:id="1971083400">
      <w:bodyDiv w:val="1"/>
      <w:marLeft w:val="0"/>
      <w:marRight w:val="0"/>
      <w:marTop w:val="0"/>
      <w:marBottom w:val="0"/>
      <w:divBdr>
        <w:top w:val="none" w:sz="0" w:space="0" w:color="auto"/>
        <w:left w:val="none" w:sz="0" w:space="0" w:color="auto"/>
        <w:bottom w:val="none" w:sz="0" w:space="0" w:color="auto"/>
        <w:right w:val="none" w:sz="0" w:space="0" w:color="auto"/>
      </w:divBdr>
    </w:div>
    <w:div w:id="1973629734">
      <w:bodyDiv w:val="1"/>
      <w:marLeft w:val="0"/>
      <w:marRight w:val="0"/>
      <w:marTop w:val="0"/>
      <w:marBottom w:val="0"/>
      <w:divBdr>
        <w:top w:val="none" w:sz="0" w:space="0" w:color="auto"/>
        <w:left w:val="none" w:sz="0" w:space="0" w:color="auto"/>
        <w:bottom w:val="none" w:sz="0" w:space="0" w:color="auto"/>
        <w:right w:val="none" w:sz="0" w:space="0" w:color="auto"/>
      </w:divBdr>
    </w:div>
    <w:div w:id="1975212197">
      <w:bodyDiv w:val="1"/>
      <w:marLeft w:val="0"/>
      <w:marRight w:val="0"/>
      <w:marTop w:val="0"/>
      <w:marBottom w:val="0"/>
      <w:divBdr>
        <w:top w:val="none" w:sz="0" w:space="0" w:color="auto"/>
        <w:left w:val="none" w:sz="0" w:space="0" w:color="auto"/>
        <w:bottom w:val="none" w:sz="0" w:space="0" w:color="auto"/>
        <w:right w:val="none" w:sz="0" w:space="0" w:color="auto"/>
      </w:divBdr>
    </w:div>
    <w:div w:id="1975673508">
      <w:bodyDiv w:val="1"/>
      <w:marLeft w:val="0"/>
      <w:marRight w:val="0"/>
      <w:marTop w:val="0"/>
      <w:marBottom w:val="0"/>
      <w:divBdr>
        <w:top w:val="none" w:sz="0" w:space="0" w:color="auto"/>
        <w:left w:val="none" w:sz="0" w:space="0" w:color="auto"/>
        <w:bottom w:val="none" w:sz="0" w:space="0" w:color="auto"/>
        <w:right w:val="none" w:sz="0" w:space="0" w:color="auto"/>
      </w:divBdr>
    </w:div>
    <w:div w:id="1977447527">
      <w:bodyDiv w:val="1"/>
      <w:marLeft w:val="0"/>
      <w:marRight w:val="0"/>
      <w:marTop w:val="0"/>
      <w:marBottom w:val="0"/>
      <w:divBdr>
        <w:top w:val="none" w:sz="0" w:space="0" w:color="auto"/>
        <w:left w:val="none" w:sz="0" w:space="0" w:color="auto"/>
        <w:bottom w:val="none" w:sz="0" w:space="0" w:color="auto"/>
        <w:right w:val="none" w:sz="0" w:space="0" w:color="auto"/>
      </w:divBdr>
    </w:div>
    <w:div w:id="1978100237">
      <w:bodyDiv w:val="1"/>
      <w:marLeft w:val="0"/>
      <w:marRight w:val="0"/>
      <w:marTop w:val="0"/>
      <w:marBottom w:val="0"/>
      <w:divBdr>
        <w:top w:val="none" w:sz="0" w:space="0" w:color="auto"/>
        <w:left w:val="none" w:sz="0" w:space="0" w:color="auto"/>
        <w:bottom w:val="none" w:sz="0" w:space="0" w:color="auto"/>
        <w:right w:val="none" w:sz="0" w:space="0" w:color="auto"/>
      </w:divBdr>
    </w:div>
    <w:div w:id="1978952119">
      <w:bodyDiv w:val="1"/>
      <w:marLeft w:val="0"/>
      <w:marRight w:val="0"/>
      <w:marTop w:val="0"/>
      <w:marBottom w:val="0"/>
      <w:divBdr>
        <w:top w:val="none" w:sz="0" w:space="0" w:color="auto"/>
        <w:left w:val="none" w:sz="0" w:space="0" w:color="auto"/>
        <w:bottom w:val="none" w:sz="0" w:space="0" w:color="auto"/>
        <w:right w:val="none" w:sz="0" w:space="0" w:color="auto"/>
      </w:divBdr>
    </w:div>
    <w:div w:id="1979996295">
      <w:bodyDiv w:val="1"/>
      <w:marLeft w:val="0"/>
      <w:marRight w:val="0"/>
      <w:marTop w:val="0"/>
      <w:marBottom w:val="0"/>
      <w:divBdr>
        <w:top w:val="none" w:sz="0" w:space="0" w:color="auto"/>
        <w:left w:val="none" w:sz="0" w:space="0" w:color="auto"/>
        <w:bottom w:val="none" w:sz="0" w:space="0" w:color="auto"/>
        <w:right w:val="none" w:sz="0" w:space="0" w:color="auto"/>
      </w:divBdr>
    </w:div>
    <w:div w:id="1980458449">
      <w:bodyDiv w:val="1"/>
      <w:marLeft w:val="0"/>
      <w:marRight w:val="0"/>
      <w:marTop w:val="0"/>
      <w:marBottom w:val="0"/>
      <w:divBdr>
        <w:top w:val="none" w:sz="0" w:space="0" w:color="auto"/>
        <w:left w:val="none" w:sz="0" w:space="0" w:color="auto"/>
        <w:bottom w:val="none" w:sz="0" w:space="0" w:color="auto"/>
        <w:right w:val="none" w:sz="0" w:space="0" w:color="auto"/>
      </w:divBdr>
    </w:div>
    <w:div w:id="1981230663">
      <w:bodyDiv w:val="1"/>
      <w:marLeft w:val="0"/>
      <w:marRight w:val="0"/>
      <w:marTop w:val="0"/>
      <w:marBottom w:val="0"/>
      <w:divBdr>
        <w:top w:val="none" w:sz="0" w:space="0" w:color="auto"/>
        <w:left w:val="none" w:sz="0" w:space="0" w:color="auto"/>
        <w:bottom w:val="none" w:sz="0" w:space="0" w:color="auto"/>
        <w:right w:val="none" w:sz="0" w:space="0" w:color="auto"/>
      </w:divBdr>
    </w:div>
    <w:div w:id="1981377439">
      <w:bodyDiv w:val="1"/>
      <w:marLeft w:val="0"/>
      <w:marRight w:val="0"/>
      <w:marTop w:val="0"/>
      <w:marBottom w:val="0"/>
      <w:divBdr>
        <w:top w:val="none" w:sz="0" w:space="0" w:color="auto"/>
        <w:left w:val="none" w:sz="0" w:space="0" w:color="auto"/>
        <w:bottom w:val="none" w:sz="0" w:space="0" w:color="auto"/>
        <w:right w:val="none" w:sz="0" w:space="0" w:color="auto"/>
      </w:divBdr>
    </w:div>
    <w:div w:id="1982154908">
      <w:bodyDiv w:val="1"/>
      <w:marLeft w:val="0"/>
      <w:marRight w:val="0"/>
      <w:marTop w:val="0"/>
      <w:marBottom w:val="0"/>
      <w:divBdr>
        <w:top w:val="none" w:sz="0" w:space="0" w:color="auto"/>
        <w:left w:val="none" w:sz="0" w:space="0" w:color="auto"/>
        <w:bottom w:val="none" w:sz="0" w:space="0" w:color="auto"/>
        <w:right w:val="none" w:sz="0" w:space="0" w:color="auto"/>
      </w:divBdr>
    </w:div>
    <w:div w:id="1984774654">
      <w:bodyDiv w:val="1"/>
      <w:marLeft w:val="0"/>
      <w:marRight w:val="0"/>
      <w:marTop w:val="0"/>
      <w:marBottom w:val="0"/>
      <w:divBdr>
        <w:top w:val="none" w:sz="0" w:space="0" w:color="auto"/>
        <w:left w:val="none" w:sz="0" w:space="0" w:color="auto"/>
        <w:bottom w:val="none" w:sz="0" w:space="0" w:color="auto"/>
        <w:right w:val="none" w:sz="0" w:space="0" w:color="auto"/>
      </w:divBdr>
    </w:div>
    <w:div w:id="1986740675">
      <w:bodyDiv w:val="1"/>
      <w:marLeft w:val="0"/>
      <w:marRight w:val="0"/>
      <w:marTop w:val="0"/>
      <w:marBottom w:val="0"/>
      <w:divBdr>
        <w:top w:val="none" w:sz="0" w:space="0" w:color="auto"/>
        <w:left w:val="none" w:sz="0" w:space="0" w:color="auto"/>
        <w:bottom w:val="none" w:sz="0" w:space="0" w:color="auto"/>
        <w:right w:val="none" w:sz="0" w:space="0" w:color="auto"/>
      </w:divBdr>
    </w:div>
    <w:div w:id="1987128963">
      <w:bodyDiv w:val="1"/>
      <w:marLeft w:val="0"/>
      <w:marRight w:val="0"/>
      <w:marTop w:val="0"/>
      <w:marBottom w:val="0"/>
      <w:divBdr>
        <w:top w:val="none" w:sz="0" w:space="0" w:color="auto"/>
        <w:left w:val="none" w:sz="0" w:space="0" w:color="auto"/>
        <w:bottom w:val="none" w:sz="0" w:space="0" w:color="auto"/>
        <w:right w:val="none" w:sz="0" w:space="0" w:color="auto"/>
      </w:divBdr>
    </w:div>
    <w:div w:id="1987664926">
      <w:bodyDiv w:val="1"/>
      <w:marLeft w:val="0"/>
      <w:marRight w:val="0"/>
      <w:marTop w:val="0"/>
      <w:marBottom w:val="0"/>
      <w:divBdr>
        <w:top w:val="none" w:sz="0" w:space="0" w:color="auto"/>
        <w:left w:val="none" w:sz="0" w:space="0" w:color="auto"/>
        <w:bottom w:val="none" w:sz="0" w:space="0" w:color="auto"/>
        <w:right w:val="none" w:sz="0" w:space="0" w:color="auto"/>
      </w:divBdr>
    </w:div>
    <w:div w:id="1987977971">
      <w:bodyDiv w:val="1"/>
      <w:marLeft w:val="0"/>
      <w:marRight w:val="0"/>
      <w:marTop w:val="0"/>
      <w:marBottom w:val="0"/>
      <w:divBdr>
        <w:top w:val="none" w:sz="0" w:space="0" w:color="auto"/>
        <w:left w:val="none" w:sz="0" w:space="0" w:color="auto"/>
        <w:bottom w:val="none" w:sz="0" w:space="0" w:color="auto"/>
        <w:right w:val="none" w:sz="0" w:space="0" w:color="auto"/>
      </w:divBdr>
    </w:div>
    <w:div w:id="1988589514">
      <w:bodyDiv w:val="1"/>
      <w:marLeft w:val="0"/>
      <w:marRight w:val="0"/>
      <w:marTop w:val="0"/>
      <w:marBottom w:val="0"/>
      <w:divBdr>
        <w:top w:val="none" w:sz="0" w:space="0" w:color="auto"/>
        <w:left w:val="none" w:sz="0" w:space="0" w:color="auto"/>
        <w:bottom w:val="none" w:sz="0" w:space="0" w:color="auto"/>
        <w:right w:val="none" w:sz="0" w:space="0" w:color="auto"/>
      </w:divBdr>
    </w:div>
    <w:div w:id="1988700792">
      <w:bodyDiv w:val="1"/>
      <w:marLeft w:val="0"/>
      <w:marRight w:val="0"/>
      <w:marTop w:val="0"/>
      <w:marBottom w:val="0"/>
      <w:divBdr>
        <w:top w:val="none" w:sz="0" w:space="0" w:color="auto"/>
        <w:left w:val="none" w:sz="0" w:space="0" w:color="auto"/>
        <w:bottom w:val="none" w:sz="0" w:space="0" w:color="auto"/>
        <w:right w:val="none" w:sz="0" w:space="0" w:color="auto"/>
      </w:divBdr>
    </w:div>
    <w:div w:id="1989019981">
      <w:bodyDiv w:val="1"/>
      <w:marLeft w:val="0"/>
      <w:marRight w:val="0"/>
      <w:marTop w:val="0"/>
      <w:marBottom w:val="0"/>
      <w:divBdr>
        <w:top w:val="none" w:sz="0" w:space="0" w:color="auto"/>
        <w:left w:val="none" w:sz="0" w:space="0" w:color="auto"/>
        <w:bottom w:val="none" w:sz="0" w:space="0" w:color="auto"/>
        <w:right w:val="none" w:sz="0" w:space="0" w:color="auto"/>
      </w:divBdr>
    </w:div>
    <w:div w:id="1991136722">
      <w:bodyDiv w:val="1"/>
      <w:marLeft w:val="0"/>
      <w:marRight w:val="0"/>
      <w:marTop w:val="0"/>
      <w:marBottom w:val="0"/>
      <w:divBdr>
        <w:top w:val="none" w:sz="0" w:space="0" w:color="auto"/>
        <w:left w:val="none" w:sz="0" w:space="0" w:color="auto"/>
        <w:bottom w:val="none" w:sz="0" w:space="0" w:color="auto"/>
        <w:right w:val="none" w:sz="0" w:space="0" w:color="auto"/>
      </w:divBdr>
    </w:div>
    <w:div w:id="1991252408">
      <w:bodyDiv w:val="1"/>
      <w:marLeft w:val="0"/>
      <w:marRight w:val="0"/>
      <w:marTop w:val="0"/>
      <w:marBottom w:val="0"/>
      <w:divBdr>
        <w:top w:val="none" w:sz="0" w:space="0" w:color="auto"/>
        <w:left w:val="none" w:sz="0" w:space="0" w:color="auto"/>
        <w:bottom w:val="none" w:sz="0" w:space="0" w:color="auto"/>
        <w:right w:val="none" w:sz="0" w:space="0" w:color="auto"/>
      </w:divBdr>
    </w:div>
    <w:div w:id="1991446657">
      <w:bodyDiv w:val="1"/>
      <w:marLeft w:val="0"/>
      <w:marRight w:val="0"/>
      <w:marTop w:val="0"/>
      <w:marBottom w:val="0"/>
      <w:divBdr>
        <w:top w:val="none" w:sz="0" w:space="0" w:color="auto"/>
        <w:left w:val="none" w:sz="0" w:space="0" w:color="auto"/>
        <w:bottom w:val="none" w:sz="0" w:space="0" w:color="auto"/>
        <w:right w:val="none" w:sz="0" w:space="0" w:color="auto"/>
      </w:divBdr>
    </w:div>
    <w:div w:id="1991980228">
      <w:bodyDiv w:val="1"/>
      <w:marLeft w:val="0"/>
      <w:marRight w:val="0"/>
      <w:marTop w:val="0"/>
      <w:marBottom w:val="0"/>
      <w:divBdr>
        <w:top w:val="none" w:sz="0" w:space="0" w:color="auto"/>
        <w:left w:val="none" w:sz="0" w:space="0" w:color="auto"/>
        <w:bottom w:val="none" w:sz="0" w:space="0" w:color="auto"/>
        <w:right w:val="none" w:sz="0" w:space="0" w:color="auto"/>
      </w:divBdr>
    </w:div>
    <w:div w:id="1993363797">
      <w:bodyDiv w:val="1"/>
      <w:marLeft w:val="0"/>
      <w:marRight w:val="0"/>
      <w:marTop w:val="0"/>
      <w:marBottom w:val="0"/>
      <w:divBdr>
        <w:top w:val="none" w:sz="0" w:space="0" w:color="auto"/>
        <w:left w:val="none" w:sz="0" w:space="0" w:color="auto"/>
        <w:bottom w:val="none" w:sz="0" w:space="0" w:color="auto"/>
        <w:right w:val="none" w:sz="0" w:space="0" w:color="auto"/>
      </w:divBdr>
    </w:div>
    <w:div w:id="1994600521">
      <w:bodyDiv w:val="1"/>
      <w:marLeft w:val="0"/>
      <w:marRight w:val="0"/>
      <w:marTop w:val="0"/>
      <w:marBottom w:val="0"/>
      <w:divBdr>
        <w:top w:val="none" w:sz="0" w:space="0" w:color="auto"/>
        <w:left w:val="none" w:sz="0" w:space="0" w:color="auto"/>
        <w:bottom w:val="none" w:sz="0" w:space="0" w:color="auto"/>
        <w:right w:val="none" w:sz="0" w:space="0" w:color="auto"/>
      </w:divBdr>
    </w:div>
    <w:div w:id="1994749693">
      <w:bodyDiv w:val="1"/>
      <w:marLeft w:val="0"/>
      <w:marRight w:val="0"/>
      <w:marTop w:val="0"/>
      <w:marBottom w:val="0"/>
      <w:divBdr>
        <w:top w:val="none" w:sz="0" w:space="0" w:color="auto"/>
        <w:left w:val="none" w:sz="0" w:space="0" w:color="auto"/>
        <w:bottom w:val="none" w:sz="0" w:space="0" w:color="auto"/>
        <w:right w:val="none" w:sz="0" w:space="0" w:color="auto"/>
      </w:divBdr>
    </w:div>
    <w:div w:id="1995795824">
      <w:bodyDiv w:val="1"/>
      <w:marLeft w:val="0"/>
      <w:marRight w:val="0"/>
      <w:marTop w:val="0"/>
      <w:marBottom w:val="0"/>
      <w:divBdr>
        <w:top w:val="none" w:sz="0" w:space="0" w:color="auto"/>
        <w:left w:val="none" w:sz="0" w:space="0" w:color="auto"/>
        <w:bottom w:val="none" w:sz="0" w:space="0" w:color="auto"/>
        <w:right w:val="none" w:sz="0" w:space="0" w:color="auto"/>
      </w:divBdr>
    </w:div>
    <w:div w:id="1996831271">
      <w:bodyDiv w:val="1"/>
      <w:marLeft w:val="0"/>
      <w:marRight w:val="0"/>
      <w:marTop w:val="0"/>
      <w:marBottom w:val="0"/>
      <w:divBdr>
        <w:top w:val="none" w:sz="0" w:space="0" w:color="auto"/>
        <w:left w:val="none" w:sz="0" w:space="0" w:color="auto"/>
        <w:bottom w:val="none" w:sz="0" w:space="0" w:color="auto"/>
        <w:right w:val="none" w:sz="0" w:space="0" w:color="auto"/>
      </w:divBdr>
    </w:div>
    <w:div w:id="1997025354">
      <w:bodyDiv w:val="1"/>
      <w:marLeft w:val="0"/>
      <w:marRight w:val="0"/>
      <w:marTop w:val="0"/>
      <w:marBottom w:val="0"/>
      <w:divBdr>
        <w:top w:val="none" w:sz="0" w:space="0" w:color="auto"/>
        <w:left w:val="none" w:sz="0" w:space="0" w:color="auto"/>
        <w:bottom w:val="none" w:sz="0" w:space="0" w:color="auto"/>
        <w:right w:val="none" w:sz="0" w:space="0" w:color="auto"/>
      </w:divBdr>
    </w:div>
    <w:div w:id="1997145602">
      <w:bodyDiv w:val="1"/>
      <w:marLeft w:val="0"/>
      <w:marRight w:val="0"/>
      <w:marTop w:val="0"/>
      <w:marBottom w:val="0"/>
      <w:divBdr>
        <w:top w:val="none" w:sz="0" w:space="0" w:color="auto"/>
        <w:left w:val="none" w:sz="0" w:space="0" w:color="auto"/>
        <w:bottom w:val="none" w:sz="0" w:space="0" w:color="auto"/>
        <w:right w:val="none" w:sz="0" w:space="0" w:color="auto"/>
      </w:divBdr>
    </w:div>
    <w:div w:id="1997955156">
      <w:bodyDiv w:val="1"/>
      <w:marLeft w:val="0"/>
      <w:marRight w:val="0"/>
      <w:marTop w:val="0"/>
      <w:marBottom w:val="0"/>
      <w:divBdr>
        <w:top w:val="none" w:sz="0" w:space="0" w:color="auto"/>
        <w:left w:val="none" w:sz="0" w:space="0" w:color="auto"/>
        <w:bottom w:val="none" w:sz="0" w:space="0" w:color="auto"/>
        <w:right w:val="none" w:sz="0" w:space="0" w:color="auto"/>
      </w:divBdr>
    </w:div>
    <w:div w:id="1999914929">
      <w:bodyDiv w:val="1"/>
      <w:marLeft w:val="0"/>
      <w:marRight w:val="0"/>
      <w:marTop w:val="0"/>
      <w:marBottom w:val="0"/>
      <w:divBdr>
        <w:top w:val="none" w:sz="0" w:space="0" w:color="auto"/>
        <w:left w:val="none" w:sz="0" w:space="0" w:color="auto"/>
        <w:bottom w:val="none" w:sz="0" w:space="0" w:color="auto"/>
        <w:right w:val="none" w:sz="0" w:space="0" w:color="auto"/>
      </w:divBdr>
    </w:div>
    <w:div w:id="2000645864">
      <w:bodyDiv w:val="1"/>
      <w:marLeft w:val="0"/>
      <w:marRight w:val="0"/>
      <w:marTop w:val="0"/>
      <w:marBottom w:val="0"/>
      <w:divBdr>
        <w:top w:val="none" w:sz="0" w:space="0" w:color="auto"/>
        <w:left w:val="none" w:sz="0" w:space="0" w:color="auto"/>
        <w:bottom w:val="none" w:sz="0" w:space="0" w:color="auto"/>
        <w:right w:val="none" w:sz="0" w:space="0" w:color="auto"/>
      </w:divBdr>
    </w:div>
    <w:div w:id="2001883127">
      <w:bodyDiv w:val="1"/>
      <w:marLeft w:val="0"/>
      <w:marRight w:val="0"/>
      <w:marTop w:val="0"/>
      <w:marBottom w:val="0"/>
      <w:divBdr>
        <w:top w:val="none" w:sz="0" w:space="0" w:color="auto"/>
        <w:left w:val="none" w:sz="0" w:space="0" w:color="auto"/>
        <w:bottom w:val="none" w:sz="0" w:space="0" w:color="auto"/>
        <w:right w:val="none" w:sz="0" w:space="0" w:color="auto"/>
      </w:divBdr>
    </w:div>
    <w:div w:id="2002198320">
      <w:bodyDiv w:val="1"/>
      <w:marLeft w:val="0"/>
      <w:marRight w:val="0"/>
      <w:marTop w:val="0"/>
      <w:marBottom w:val="0"/>
      <w:divBdr>
        <w:top w:val="none" w:sz="0" w:space="0" w:color="auto"/>
        <w:left w:val="none" w:sz="0" w:space="0" w:color="auto"/>
        <w:bottom w:val="none" w:sz="0" w:space="0" w:color="auto"/>
        <w:right w:val="none" w:sz="0" w:space="0" w:color="auto"/>
      </w:divBdr>
    </w:div>
    <w:div w:id="2002419058">
      <w:bodyDiv w:val="1"/>
      <w:marLeft w:val="0"/>
      <w:marRight w:val="0"/>
      <w:marTop w:val="0"/>
      <w:marBottom w:val="0"/>
      <w:divBdr>
        <w:top w:val="none" w:sz="0" w:space="0" w:color="auto"/>
        <w:left w:val="none" w:sz="0" w:space="0" w:color="auto"/>
        <w:bottom w:val="none" w:sz="0" w:space="0" w:color="auto"/>
        <w:right w:val="none" w:sz="0" w:space="0" w:color="auto"/>
      </w:divBdr>
    </w:div>
    <w:div w:id="2003388542">
      <w:bodyDiv w:val="1"/>
      <w:marLeft w:val="0"/>
      <w:marRight w:val="0"/>
      <w:marTop w:val="0"/>
      <w:marBottom w:val="0"/>
      <w:divBdr>
        <w:top w:val="none" w:sz="0" w:space="0" w:color="auto"/>
        <w:left w:val="none" w:sz="0" w:space="0" w:color="auto"/>
        <w:bottom w:val="none" w:sz="0" w:space="0" w:color="auto"/>
        <w:right w:val="none" w:sz="0" w:space="0" w:color="auto"/>
      </w:divBdr>
    </w:div>
    <w:div w:id="2004433415">
      <w:bodyDiv w:val="1"/>
      <w:marLeft w:val="0"/>
      <w:marRight w:val="0"/>
      <w:marTop w:val="0"/>
      <w:marBottom w:val="0"/>
      <w:divBdr>
        <w:top w:val="none" w:sz="0" w:space="0" w:color="auto"/>
        <w:left w:val="none" w:sz="0" w:space="0" w:color="auto"/>
        <w:bottom w:val="none" w:sz="0" w:space="0" w:color="auto"/>
        <w:right w:val="none" w:sz="0" w:space="0" w:color="auto"/>
      </w:divBdr>
    </w:div>
    <w:div w:id="2005015187">
      <w:bodyDiv w:val="1"/>
      <w:marLeft w:val="0"/>
      <w:marRight w:val="0"/>
      <w:marTop w:val="0"/>
      <w:marBottom w:val="0"/>
      <w:divBdr>
        <w:top w:val="none" w:sz="0" w:space="0" w:color="auto"/>
        <w:left w:val="none" w:sz="0" w:space="0" w:color="auto"/>
        <w:bottom w:val="none" w:sz="0" w:space="0" w:color="auto"/>
        <w:right w:val="none" w:sz="0" w:space="0" w:color="auto"/>
      </w:divBdr>
    </w:div>
    <w:div w:id="2006398626">
      <w:bodyDiv w:val="1"/>
      <w:marLeft w:val="0"/>
      <w:marRight w:val="0"/>
      <w:marTop w:val="0"/>
      <w:marBottom w:val="0"/>
      <w:divBdr>
        <w:top w:val="none" w:sz="0" w:space="0" w:color="auto"/>
        <w:left w:val="none" w:sz="0" w:space="0" w:color="auto"/>
        <w:bottom w:val="none" w:sz="0" w:space="0" w:color="auto"/>
        <w:right w:val="none" w:sz="0" w:space="0" w:color="auto"/>
      </w:divBdr>
    </w:div>
    <w:div w:id="2006736529">
      <w:bodyDiv w:val="1"/>
      <w:marLeft w:val="0"/>
      <w:marRight w:val="0"/>
      <w:marTop w:val="0"/>
      <w:marBottom w:val="0"/>
      <w:divBdr>
        <w:top w:val="none" w:sz="0" w:space="0" w:color="auto"/>
        <w:left w:val="none" w:sz="0" w:space="0" w:color="auto"/>
        <w:bottom w:val="none" w:sz="0" w:space="0" w:color="auto"/>
        <w:right w:val="none" w:sz="0" w:space="0" w:color="auto"/>
      </w:divBdr>
    </w:div>
    <w:div w:id="2007125310">
      <w:bodyDiv w:val="1"/>
      <w:marLeft w:val="0"/>
      <w:marRight w:val="0"/>
      <w:marTop w:val="0"/>
      <w:marBottom w:val="0"/>
      <w:divBdr>
        <w:top w:val="none" w:sz="0" w:space="0" w:color="auto"/>
        <w:left w:val="none" w:sz="0" w:space="0" w:color="auto"/>
        <w:bottom w:val="none" w:sz="0" w:space="0" w:color="auto"/>
        <w:right w:val="none" w:sz="0" w:space="0" w:color="auto"/>
      </w:divBdr>
    </w:div>
    <w:div w:id="2007515732">
      <w:bodyDiv w:val="1"/>
      <w:marLeft w:val="0"/>
      <w:marRight w:val="0"/>
      <w:marTop w:val="0"/>
      <w:marBottom w:val="0"/>
      <w:divBdr>
        <w:top w:val="none" w:sz="0" w:space="0" w:color="auto"/>
        <w:left w:val="none" w:sz="0" w:space="0" w:color="auto"/>
        <w:bottom w:val="none" w:sz="0" w:space="0" w:color="auto"/>
        <w:right w:val="none" w:sz="0" w:space="0" w:color="auto"/>
      </w:divBdr>
    </w:div>
    <w:div w:id="2008364873">
      <w:bodyDiv w:val="1"/>
      <w:marLeft w:val="0"/>
      <w:marRight w:val="0"/>
      <w:marTop w:val="0"/>
      <w:marBottom w:val="0"/>
      <w:divBdr>
        <w:top w:val="none" w:sz="0" w:space="0" w:color="auto"/>
        <w:left w:val="none" w:sz="0" w:space="0" w:color="auto"/>
        <w:bottom w:val="none" w:sz="0" w:space="0" w:color="auto"/>
        <w:right w:val="none" w:sz="0" w:space="0" w:color="auto"/>
      </w:divBdr>
    </w:div>
    <w:div w:id="2008825031">
      <w:bodyDiv w:val="1"/>
      <w:marLeft w:val="0"/>
      <w:marRight w:val="0"/>
      <w:marTop w:val="0"/>
      <w:marBottom w:val="0"/>
      <w:divBdr>
        <w:top w:val="none" w:sz="0" w:space="0" w:color="auto"/>
        <w:left w:val="none" w:sz="0" w:space="0" w:color="auto"/>
        <w:bottom w:val="none" w:sz="0" w:space="0" w:color="auto"/>
        <w:right w:val="none" w:sz="0" w:space="0" w:color="auto"/>
      </w:divBdr>
    </w:div>
    <w:div w:id="2009402941">
      <w:bodyDiv w:val="1"/>
      <w:marLeft w:val="0"/>
      <w:marRight w:val="0"/>
      <w:marTop w:val="0"/>
      <w:marBottom w:val="0"/>
      <w:divBdr>
        <w:top w:val="none" w:sz="0" w:space="0" w:color="auto"/>
        <w:left w:val="none" w:sz="0" w:space="0" w:color="auto"/>
        <w:bottom w:val="none" w:sz="0" w:space="0" w:color="auto"/>
        <w:right w:val="none" w:sz="0" w:space="0" w:color="auto"/>
      </w:divBdr>
    </w:div>
    <w:div w:id="2011642570">
      <w:bodyDiv w:val="1"/>
      <w:marLeft w:val="0"/>
      <w:marRight w:val="0"/>
      <w:marTop w:val="0"/>
      <w:marBottom w:val="0"/>
      <w:divBdr>
        <w:top w:val="none" w:sz="0" w:space="0" w:color="auto"/>
        <w:left w:val="none" w:sz="0" w:space="0" w:color="auto"/>
        <w:bottom w:val="none" w:sz="0" w:space="0" w:color="auto"/>
        <w:right w:val="none" w:sz="0" w:space="0" w:color="auto"/>
      </w:divBdr>
    </w:div>
    <w:div w:id="2012218120">
      <w:bodyDiv w:val="1"/>
      <w:marLeft w:val="0"/>
      <w:marRight w:val="0"/>
      <w:marTop w:val="0"/>
      <w:marBottom w:val="0"/>
      <w:divBdr>
        <w:top w:val="none" w:sz="0" w:space="0" w:color="auto"/>
        <w:left w:val="none" w:sz="0" w:space="0" w:color="auto"/>
        <w:bottom w:val="none" w:sz="0" w:space="0" w:color="auto"/>
        <w:right w:val="none" w:sz="0" w:space="0" w:color="auto"/>
      </w:divBdr>
    </w:div>
    <w:div w:id="2012444530">
      <w:bodyDiv w:val="1"/>
      <w:marLeft w:val="0"/>
      <w:marRight w:val="0"/>
      <w:marTop w:val="0"/>
      <w:marBottom w:val="0"/>
      <w:divBdr>
        <w:top w:val="none" w:sz="0" w:space="0" w:color="auto"/>
        <w:left w:val="none" w:sz="0" w:space="0" w:color="auto"/>
        <w:bottom w:val="none" w:sz="0" w:space="0" w:color="auto"/>
        <w:right w:val="none" w:sz="0" w:space="0" w:color="auto"/>
      </w:divBdr>
    </w:div>
    <w:div w:id="2013219749">
      <w:bodyDiv w:val="1"/>
      <w:marLeft w:val="0"/>
      <w:marRight w:val="0"/>
      <w:marTop w:val="0"/>
      <w:marBottom w:val="0"/>
      <w:divBdr>
        <w:top w:val="none" w:sz="0" w:space="0" w:color="auto"/>
        <w:left w:val="none" w:sz="0" w:space="0" w:color="auto"/>
        <w:bottom w:val="none" w:sz="0" w:space="0" w:color="auto"/>
        <w:right w:val="none" w:sz="0" w:space="0" w:color="auto"/>
      </w:divBdr>
    </w:div>
    <w:div w:id="2013560763">
      <w:bodyDiv w:val="1"/>
      <w:marLeft w:val="0"/>
      <w:marRight w:val="0"/>
      <w:marTop w:val="0"/>
      <w:marBottom w:val="0"/>
      <w:divBdr>
        <w:top w:val="none" w:sz="0" w:space="0" w:color="auto"/>
        <w:left w:val="none" w:sz="0" w:space="0" w:color="auto"/>
        <w:bottom w:val="none" w:sz="0" w:space="0" w:color="auto"/>
        <w:right w:val="none" w:sz="0" w:space="0" w:color="auto"/>
      </w:divBdr>
    </w:div>
    <w:div w:id="2014142350">
      <w:bodyDiv w:val="1"/>
      <w:marLeft w:val="0"/>
      <w:marRight w:val="0"/>
      <w:marTop w:val="0"/>
      <w:marBottom w:val="0"/>
      <w:divBdr>
        <w:top w:val="none" w:sz="0" w:space="0" w:color="auto"/>
        <w:left w:val="none" w:sz="0" w:space="0" w:color="auto"/>
        <w:bottom w:val="none" w:sz="0" w:space="0" w:color="auto"/>
        <w:right w:val="none" w:sz="0" w:space="0" w:color="auto"/>
      </w:divBdr>
    </w:div>
    <w:div w:id="2015650271">
      <w:bodyDiv w:val="1"/>
      <w:marLeft w:val="0"/>
      <w:marRight w:val="0"/>
      <w:marTop w:val="0"/>
      <w:marBottom w:val="0"/>
      <w:divBdr>
        <w:top w:val="none" w:sz="0" w:space="0" w:color="auto"/>
        <w:left w:val="none" w:sz="0" w:space="0" w:color="auto"/>
        <w:bottom w:val="none" w:sz="0" w:space="0" w:color="auto"/>
        <w:right w:val="none" w:sz="0" w:space="0" w:color="auto"/>
      </w:divBdr>
    </w:div>
    <w:div w:id="2015957859">
      <w:bodyDiv w:val="1"/>
      <w:marLeft w:val="0"/>
      <w:marRight w:val="0"/>
      <w:marTop w:val="0"/>
      <w:marBottom w:val="0"/>
      <w:divBdr>
        <w:top w:val="none" w:sz="0" w:space="0" w:color="auto"/>
        <w:left w:val="none" w:sz="0" w:space="0" w:color="auto"/>
        <w:bottom w:val="none" w:sz="0" w:space="0" w:color="auto"/>
        <w:right w:val="none" w:sz="0" w:space="0" w:color="auto"/>
      </w:divBdr>
    </w:div>
    <w:div w:id="2016032825">
      <w:bodyDiv w:val="1"/>
      <w:marLeft w:val="0"/>
      <w:marRight w:val="0"/>
      <w:marTop w:val="0"/>
      <w:marBottom w:val="0"/>
      <w:divBdr>
        <w:top w:val="none" w:sz="0" w:space="0" w:color="auto"/>
        <w:left w:val="none" w:sz="0" w:space="0" w:color="auto"/>
        <w:bottom w:val="none" w:sz="0" w:space="0" w:color="auto"/>
        <w:right w:val="none" w:sz="0" w:space="0" w:color="auto"/>
      </w:divBdr>
    </w:div>
    <w:div w:id="2018733336">
      <w:bodyDiv w:val="1"/>
      <w:marLeft w:val="0"/>
      <w:marRight w:val="0"/>
      <w:marTop w:val="0"/>
      <w:marBottom w:val="0"/>
      <w:divBdr>
        <w:top w:val="none" w:sz="0" w:space="0" w:color="auto"/>
        <w:left w:val="none" w:sz="0" w:space="0" w:color="auto"/>
        <w:bottom w:val="none" w:sz="0" w:space="0" w:color="auto"/>
        <w:right w:val="none" w:sz="0" w:space="0" w:color="auto"/>
      </w:divBdr>
    </w:div>
    <w:div w:id="2019188186">
      <w:bodyDiv w:val="1"/>
      <w:marLeft w:val="0"/>
      <w:marRight w:val="0"/>
      <w:marTop w:val="0"/>
      <w:marBottom w:val="0"/>
      <w:divBdr>
        <w:top w:val="none" w:sz="0" w:space="0" w:color="auto"/>
        <w:left w:val="none" w:sz="0" w:space="0" w:color="auto"/>
        <w:bottom w:val="none" w:sz="0" w:space="0" w:color="auto"/>
        <w:right w:val="none" w:sz="0" w:space="0" w:color="auto"/>
      </w:divBdr>
    </w:div>
    <w:div w:id="2020112288">
      <w:bodyDiv w:val="1"/>
      <w:marLeft w:val="0"/>
      <w:marRight w:val="0"/>
      <w:marTop w:val="0"/>
      <w:marBottom w:val="0"/>
      <w:divBdr>
        <w:top w:val="none" w:sz="0" w:space="0" w:color="auto"/>
        <w:left w:val="none" w:sz="0" w:space="0" w:color="auto"/>
        <w:bottom w:val="none" w:sz="0" w:space="0" w:color="auto"/>
        <w:right w:val="none" w:sz="0" w:space="0" w:color="auto"/>
      </w:divBdr>
    </w:div>
    <w:div w:id="2020154254">
      <w:bodyDiv w:val="1"/>
      <w:marLeft w:val="0"/>
      <w:marRight w:val="0"/>
      <w:marTop w:val="0"/>
      <w:marBottom w:val="0"/>
      <w:divBdr>
        <w:top w:val="none" w:sz="0" w:space="0" w:color="auto"/>
        <w:left w:val="none" w:sz="0" w:space="0" w:color="auto"/>
        <w:bottom w:val="none" w:sz="0" w:space="0" w:color="auto"/>
        <w:right w:val="none" w:sz="0" w:space="0" w:color="auto"/>
      </w:divBdr>
    </w:div>
    <w:div w:id="2022007979">
      <w:bodyDiv w:val="1"/>
      <w:marLeft w:val="0"/>
      <w:marRight w:val="0"/>
      <w:marTop w:val="0"/>
      <w:marBottom w:val="0"/>
      <w:divBdr>
        <w:top w:val="none" w:sz="0" w:space="0" w:color="auto"/>
        <w:left w:val="none" w:sz="0" w:space="0" w:color="auto"/>
        <w:bottom w:val="none" w:sz="0" w:space="0" w:color="auto"/>
        <w:right w:val="none" w:sz="0" w:space="0" w:color="auto"/>
      </w:divBdr>
    </w:div>
    <w:div w:id="2023122313">
      <w:bodyDiv w:val="1"/>
      <w:marLeft w:val="0"/>
      <w:marRight w:val="0"/>
      <w:marTop w:val="0"/>
      <w:marBottom w:val="0"/>
      <w:divBdr>
        <w:top w:val="none" w:sz="0" w:space="0" w:color="auto"/>
        <w:left w:val="none" w:sz="0" w:space="0" w:color="auto"/>
        <w:bottom w:val="none" w:sz="0" w:space="0" w:color="auto"/>
        <w:right w:val="none" w:sz="0" w:space="0" w:color="auto"/>
      </w:divBdr>
    </w:div>
    <w:div w:id="2023701221">
      <w:bodyDiv w:val="1"/>
      <w:marLeft w:val="0"/>
      <w:marRight w:val="0"/>
      <w:marTop w:val="0"/>
      <w:marBottom w:val="0"/>
      <w:divBdr>
        <w:top w:val="none" w:sz="0" w:space="0" w:color="auto"/>
        <w:left w:val="none" w:sz="0" w:space="0" w:color="auto"/>
        <w:bottom w:val="none" w:sz="0" w:space="0" w:color="auto"/>
        <w:right w:val="none" w:sz="0" w:space="0" w:color="auto"/>
      </w:divBdr>
    </w:div>
    <w:div w:id="2023776715">
      <w:bodyDiv w:val="1"/>
      <w:marLeft w:val="0"/>
      <w:marRight w:val="0"/>
      <w:marTop w:val="0"/>
      <w:marBottom w:val="0"/>
      <w:divBdr>
        <w:top w:val="none" w:sz="0" w:space="0" w:color="auto"/>
        <w:left w:val="none" w:sz="0" w:space="0" w:color="auto"/>
        <w:bottom w:val="none" w:sz="0" w:space="0" w:color="auto"/>
        <w:right w:val="none" w:sz="0" w:space="0" w:color="auto"/>
      </w:divBdr>
    </w:div>
    <w:div w:id="2025010378">
      <w:bodyDiv w:val="1"/>
      <w:marLeft w:val="0"/>
      <w:marRight w:val="0"/>
      <w:marTop w:val="0"/>
      <w:marBottom w:val="0"/>
      <w:divBdr>
        <w:top w:val="none" w:sz="0" w:space="0" w:color="auto"/>
        <w:left w:val="none" w:sz="0" w:space="0" w:color="auto"/>
        <w:bottom w:val="none" w:sz="0" w:space="0" w:color="auto"/>
        <w:right w:val="none" w:sz="0" w:space="0" w:color="auto"/>
      </w:divBdr>
    </w:div>
    <w:div w:id="2025553171">
      <w:bodyDiv w:val="1"/>
      <w:marLeft w:val="0"/>
      <w:marRight w:val="0"/>
      <w:marTop w:val="0"/>
      <w:marBottom w:val="0"/>
      <w:divBdr>
        <w:top w:val="none" w:sz="0" w:space="0" w:color="auto"/>
        <w:left w:val="none" w:sz="0" w:space="0" w:color="auto"/>
        <w:bottom w:val="none" w:sz="0" w:space="0" w:color="auto"/>
        <w:right w:val="none" w:sz="0" w:space="0" w:color="auto"/>
      </w:divBdr>
    </w:div>
    <w:div w:id="2026252524">
      <w:bodyDiv w:val="1"/>
      <w:marLeft w:val="0"/>
      <w:marRight w:val="0"/>
      <w:marTop w:val="0"/>
      <w:marBottom w:val="0"/>
      <w:divBdr>
        <w:top w:val="none" w:sz="0" w:space="0" w:color="auto"/>
        <w:left w:val="none" w:sz="0" w:space="0" w:color="auto"/>
        <w:bottom w:val="none" w:sz="0" w:space="0" w:color="auto"/>
        <w:right w:val="none" w:sz="0" w:space="0" w:color="auto"/>
      </w:divBdr>
    </w:div>
    <w:div w:id="2027514360">
      <w:bodyDiv w:val="1"/>
      <w:marLeft w:val="0"/>
      <w:marRight w:val="0"/>
      <w:marTop w:val="0"/>
      <w:marBottom w:val="0"/>
      <w:divBdr>
        <w:top w:val="none" w:sz="0" w:space="0" w:color="auto"/>
        <w:left w:val="none" w:sz="0" w:space="0" w:color="auto"/>
        <w:bottom w:val="none" w:sz="0" w:space="0" w:color="auto"/>
        <w:right w:val="none" w:sz="0" w:space="0" w:color="auto"/>
      </w:divBdr>
    </w:div>
    <w:div w:id="2028098939">
      <w:bodyDiv w:val="1"/>
      <w:marLeft w:val="0"/>
      <w:marRight w:val="0"/>
      <w:marTop w:val="0"/>
      <w:marBottom w:val="0"/>
      <w:divBdr>
        <w:top w:val="none" w:sz="0" w:space="0" w:color="auto"/>
        <w:left w:val="none" w:sz="0" w:space="0" w:color="auto"/>
        <w:bottom w:val="none" w:sz="0" w:space="0" w:color="auto"/>
        <w:right w:val="none" w:sz="0" w:space="0" w:color="auto"/>
      </w:divBdr>
    </w:div>
    <w:div w:id="2028675819">
      <w:bodyDiv w:val="1"/>
      <w:marLeft w:val="0"/>
      <w:marRight w:val="0"/>
      <w:marTop w:val="0"/>
      <w:marBottom w:val="0"/>
      <w:divBdr>
        <w:top w:val="none" w:sz="0" w:space="0" w:color="auto"/>
        <w:left w:val="none" w:sz="0" w:space="0" w:color="auto"/>
        <w:bottom w:val="none" w:sz="0" w:space="0" w:color="auto"/>
        <w:right w:val="none" w:sz="0" w:space="0" w:color="auto"/>
      </w:divBdr>
    </w:div>
    <w:div w:id="2028941455">
      <w:bodyDiv w:val="1"/>
      <w:marLeft w:val="0"/>
      <w:marRight w:val="0"/>
      <w:marTop w:val="0"/>
      <w:marBottom w:val="0"/>
      <w:divBdr>
        <w:top w:val="none" w:sz="0" w:space="0" w:color="auto"/>
        <w:left w:val="none" w:sz="0" w:space="0" w:color="auto"/>
        <w:bottom w:val="none" w:sz="0" w:space="0" w:color="auto"/>
        <w:right w:val="none" w:sz="0" w:space="0" w:color="auto"/>
      </w:divBdr>
    </w:div>
    <w:div w:id="2030134706">
      <w:bodyDiv w:val="1"/>
      <w:marLeft w:val="0"/>
      <w:marRight w:val="0"/>
      <w:marTop w:val="0"/>
      <w:marBottom w:val="0"/>
      <w:divBdr>
        <w:top w:val="none" w:sz="0" w:space="0" w:color="auto"/>
        <w:left w:val="none" w:sz="0" w:space="0" w:color="auto"/>
        <w:bottom w:val="none" w:sz="0" w:space="0" w:color="auto"/>
        <w:right w:val="none" w:sz="0" w:space="0" w:color="auto"/>
      </w:divBdr>
    </w:div>
    <w:div w:id="2030451692">
      <w:bodyDiv w:val="1"/>
      <w:marLeft w:val="0"/>
      <w:marRight w:val="0"/>
      <w:marTop w:val="0"/>
      <w:marBottom w:val="0"/>
      <w:divBdr>
        <w:top w:val="none" w:sz="0" w:space="0" w:color="auto"/>
        <w:left w:val="none" w:sz="0" w:space="0" w:color="auto"/>
        <w:bottom w:val="none" w:sz="0" w:space="0" w:color="auto"/>
        <w:right w:val="none" w:sz="0" w:space="0" w:color="auto"/>
      </w:divBdr>
    </w:div>
    <w:div w:id="2032417973">
      <w:bodyDiv w:val="1"/>
      <w:marLeft w:val="0"/>
      <w:marRight w:val="0"/>
      <w:marTop w:val="0"/>
      <w:marBottom w:val="0"/>
      <w:divBdr>
        <w:top w:val="none" w:sz="0" w:space="0" w:color="auto"/>
        <w:left w:val="none" w:sz="0" w:space="0" w:color="auto"/>
        <w:bottom w:val="none" w:sz="0" w:space="0" w:color="auto"/>
        <w:right w:val="none" w:sz="0" w:space="0" w:color="auto"/>
      </w:divBdr>
    </w:div>
    <w:div w:id="2033653828">
      <w:bodyDiv w:val="1"/>
      <w:marLeft w:val="0"/>
      <w:marRight w:val="0"/>
      <w:marTop w:val="0"/>
      <w:marBottom w:val="0"/>
      <w:divBdr>
        <w:top w:val="none" w:sz="0" w:space="0" w:color="auto"/>
        <w:left w:val="none" w:sz="0" w:space="0" w:color="auto"/>
        <w:bottom w:val="none" w:sz="0" w:space="0" w:color="auto"/>
        <w:right w:val="none" w:sz="0" w:space="0" w:color="auto"/>
      </w:divBdr>
    </w:div>
    <w:div w:id="2034958691">
      <w:bodyDiv w:val="1"/>
      <w:marLeft w:val="0"/>
      <w:marRight w:val="0"/>
      <w:marTop w:val="0"/>
      <w:marBottom w:val="0"/>
      <w:divBdr>
        <w:top w:val="none" w:sz="0" w:space="0" w:color="auto"/>
        <w:left w:val="none" w:sz="0" w:space="0" w:color="auto"/>
        <w:bottom w:val="none" w:sz="0" w:space="0" w:color="auto"/>
        <w:right w:val="none" w:sz="0" w:space="0" w:color="auto"/>
      </w:divBdr>
    </w:div>
    <w:div w:id="2035110203">
      <w:bodyDiv w:val="1"/>
      <w:marLeft w:val="0"/>
      <w:marRight w:val="0"/>
      <w:marTop w:val="0"/>
      <w:marBottom w:val="0"/>
      <w:divBdr>
        <w:top w:val="none" w:sz="0" w:space="0" w:color="auto"/>
        <w:left w:val="none" w:sz="0" w:space="0" w:color="auto"/>
        <w:bottom w:val="none" w:sz="0" w:space="0" w:color="auto"/>
        <w:right w:val="none" w:sz="0" w:space="0" w:color="auto"/>
      </w:divBdr>
    </w:div>
    <w:div w:id="2037269078">
      <w:bodyDiv w:val="1"/>
      <w:marLeft w:val="0"/>
      <w:marRight w:val="0"/>
      <w:marTop w:val="0"/>
      <w:marBottom w:val="0"/>
      <w:divBdr>
        <w:top w:val="none" w:sz="0" w:space="0" w:color="auto"/>
        <w:left w:val="none" w:sz="0" w:space="0" w:color="auto"/>
        <w:bottom w:val="none" w:sz="0" w:space="0" w:color="auto"/>
        <w:right w:val="none" w:sz="0" w:space="0" w:color="auto"/>
      </w:divBdr>
    </w:div>
    <w:div w:id="2037995319">
      <w:bodyDiv w:val="1"/>
      <w:marLeft w:val="0"/>
      <w:marRight w:val="0"/>
      <w:marTop w:val="0"/>
      <w:marBottom w:val="0"/>
      <w:divBdr>
        <w:top w:val="none" w:sz="0" w:space="0" w:color="auto"/>
        <w:left w:val="none" w:sz="0" w:space="0" w:color="auto"/>
        <w:bottom w:val="none" w:sz="0" w:space="0" w:color="auto"/>
        <w:right w:val="none" w:sz="0" w:space="0" w:color="auto"/>
      </w:divBdr>
    </w:div>
    <w:div w:id="2038117587">
      <w:bodyDiv w:val="1"/>
      <w:marLeft w:val="0"/>
      <w:marRight w:val="0"/>
      <w:marTop w:val="0"/>
      <w:marBottom w:val="0"/>
      <w:divBdr>
        <w:top w:val="none" w:sz="0" w:space="0" w:color="auto"/>
        <w:left w:val="none" w:sz="0" w:space="0" w:color="auto"/>
        <w:bottom w:val="none" w:sz="0" w:space="0" w:color="auto"/>
        <w:right w:val="none" w:sz="0" w:space="0" w:color="auto"/>
      </w:divBdr>
    </w:div>
    <w:div w:id="2039162050">
      <w:bodyDiv w:val="1"/>
      <w:marLeft w:val="0"/>
      <w:marRight w:val="0"/>
      <w:marTop w:val="0"/>
      <w:marBottom w:val="0"/>
      <w:divBdr>
        <w:top w:val="none" w:sz="0" w:space="0" w:color="auto"/>
        <w:left w:val="none" w:sz="0" w:space="0" w:color="auto"/>
        <w:bottom w:val="none" w:sz="0" w:space="0" w:color="auto"/>
        <w:right w:val="none" w:sz="0" w:space="0" w:color="auto"/>
      </w:divBdr>
    </w:div>
    <w:div w:id="2039500393">
      <w:bodyDiv w:val="1"/>
      <w:marLeft w:val="0"/>
      <w:marRight w:val="0"/>
      <w:marTop w:val="0"/>
      <w:marBottom w:val="0"/>
      <w:divBdr>
        <w:top w:val="none" w:sz="0" w:space="0" w:color="auto"/>
        <w:left w:val="none" w:sz="0" w:space="0" w:color="auto"/>
        <w:bottom w:val="none" w:sz="0" w:space="0" w:color="auto"/>
        <w:right w:val="none" w:sz="0" w:space="0" w:color="auto"/>
      </w:divBdr>
    </w:div>
    <w:div w:id="2041011730">
      <w:bodyDiv w:val="1"/>
      <w:marLeft w:val="0"/>
      <w:marRight w:val="0"/>
      <w:marTop w:val="0"/>
      <w:marBottom w:val="0"/>
      <w:divBdr>
        <w:top w:val="none" w:sz="0" w:space="0" w:color="auto"/>
        <w:left w:val="none" w:sz="0" w:space="0" w:color="auto"/>
        <w:bottom w:val="none" w:sz="0" w:space="0" w:color="auto"/>
        <w:right w:val="none" w:sz="0" w:space="0" w:color="auto"/>
      </w:divBdr>
    </w:div>
    <w:div w:id="2041587652">
      <w:bodyDiv w:val="1"/>
      <w:marLeft w:val="0"/>
      <w:marRight w:val="0"/>
      <w:marTop w:val="0"/>
      <w:marBottom w:val="0"/>
      <w:divBdr>
        <w:top w:val="none" w:sz="0" w:space="0" w:color="auto"/>
        <w:left w:val="none" w:sz="0" w:space="0" w:color="auto"/>
        <w:bottom w:val="none" w:sz="0" w:space="0" w:color="auto"/>
        <w:right w:val="none" w:sz="0" w:space="0" w:color="auto"/>
      </w:divBdr>
    </w:div>
    <w:div w:id="2041589577">
      <w:bodyDiv w:val="1"/>
      <w:marLeft w:val="0"/>
      <w:marRight w:val="0"/>
      <w:marTop w:val="0"/>
      <w:marBottom w:val="0"/>
      <w:divBdr>
        <w:top w:val="none" w:sz="0" w:space="0" w:color="auto"/>
        <w:left w:val="none" w:sz="0" w:space="0" w:color="auto"/>
        <w:bottom w:val="none" w:sz="0" w:space="0" w:color="auto"/>
        <w:right w:val="none" w:sz="0" w:space="0" w:color="auto"/>
      </w:divBdr>
    </w:div>
    <w:div w:id="2042701423">
      <w:bodyDiv w:val="1"/>
      <w:marLeft w:val="0"/>
      <w:marRight w:val="0"/>
      <w:marTop w:val="0"/>
      <w:marBottom w:val="0"/>
      <w:divBdr>
        <w:top w:val="none" w:sz="0" w:space="0" w:color="auto"/>
        <w:left w:val="none" w:sz="0" w:space="0" w:color="auto"/>
        <w:bottom w:val="none" w:sz="0" w:space="0" w:color="auto"/>
        <w:right w:val="none" w:sz="0" w:space="0" w:color="auto"/>
      </w:divBdr>
    </w:div>
    <w:div w:id="2043244916">
      <w:bodyDiv w:val="1"/>
      <w:marLeft w:val="0"/>
      <w:marRight w:val="0"/>
      <w:marTop w:val="0"/>
      <w:marBottom w:val="0"/>
      <w:divBdr>
        <w:top w:val="none" w:sz="0" w:space="0" w:color="auto"/>
        <w:left w:val="none" w:sz="0" w:space="0" w:color="auto"/>
        <w:bottom w:val="none" w:sz="0" w:space="0" w:color="auto"/>
        <w:right w:val="none" w:sz="0" w:space="0" w:color="auto"/>
      </w:divBdr>
    </w:div>
    <w:div w:id="2044623707">
      <w:bodyDiv w:val="1"/>
      <w:marLeft w:val="0"/>
      <w:marRight w:val="0"/>
      <w:marTop w:val="0"/>
      <w:marBottom w:val="0"/>
      <w:divBdr>
        <w:top w:val="none" w:sz="0" w:space="0" w:color="auto"/>
        <w:left w:val="none" w:sz="0" w:space="0" w:color="auto"/>
        <w:bottom w:val="none" w:sz="0" w:space="0" w:color="auto"/>
        <w:right w:val="none" w:sz="0" w:space="0" w:color="auto"/>
      </w:divBdr>
    </w:div>
    <w:div w:id="2044675245">
      <w:bodyDiv w:val="1"/>
      <w:marLeft w:val="0"/>
      <w:marRight w:val="0"/>
      <w:marTop w:val="0"/>
      <w:marBottom w:val="0"/>
      <w:divBdr>
        <w:top w:val="none" w:sz="0" w:space="0" w:color="auto"/>
        <w:left w:val="none" w:sz="0" w:space="0" w:color="auto"/>
        <w:bottom w:val="none" w:sz="0" w:space="0" w:color="auto"/>
        <w:right w:val="none" w:sz="0" w:space="0" w:color="auto"/>
      </w:divBdr>
    </w:div>
    <w:div w:id="2044937970">
      <w:bodyDiv w:val="1"/>
      <w:marLeft w:val="0"/>
      <w:marRight w:val="0"/>
      <w:marTop w:val="0"/>
      <w:marBottom w:val="0"/>
      <w:divBdr>
        <w:top w:val="none" w:sz="0" w:space="0" w:color="auto"/>
        <w:left w:val="none" w:sz="0" w:space="0" w:color="auto"/>
        <w:bottom w:val="none" w:sz="0" w:space="0" w:color="auto"/>
        <w:right w:val="none" w:sz="0" w:space="0" w:color="auto"/>
      </w:divBdr>
    </w:div>
    <w:div w:id="2045522295">
      <w:bodyDiv w:val="1"/>
      <w:marLeft w:val="0"/>
      <w:marRight w:val="0"/>
      <w:marTop w:val="0"/>
      <w:marBottom w:val="0"/>
      <w:divBdr>
        <w:top w:val="none" w:sz="0" w:space="0" w:color="auto"/>
        <w:left w:val="none" w:sz="0" w:space="0" w:color="auto"/>
        <w:bottom w:val="none" w:sz="0" w:space="0" w:color="auto"/>
        <w:right w:val="none" w:sz="0" w:space="0" w:color="auto"/>
      </w:divBdr>
    </w:div>
    <w:div w:id="2046438667">
      <w:bodyDiv w:val="1"/>
      <w:marLeft w:val="0"/>
      <w:marRight w:val="0"/>
      <w:marTop w:val="0"/>
      <w:marBottom w:val="0"/>
      <w:divBdr>
        <w:top w:val="none" w:sz="0" w:space="0" w:color="auto"/>
        <w:left w:val="none" w:sz="0" w:space="0" w:color="auto"/>
        <w:bottom w:val="none" w:sz="0" w:space="0" w:color="auto"/>
        <w:right w:val="none" w:sz="0" w:space="0" w:color="auto"/>
      </w:divBdr>
    </w:div>
    <w:div w:id="2047755654">
      <w:bodyDiv w:val="1"/>
      <w:marLeft w:val="0"/>
      <w:marRight w:val="0"/>
      <w:marTop w:val="0"/>
      <w:marBottom w:val="0"/>
      <w:divBdr>
        <w:top w:val="none" w:sz="0" w:space="0" w:color="auto"/>
        <w:left w:val="none" w:sz="0" w:space="0" w:color="auto"/>
        <w:bottom w:val="none" w:sz="0" w:space="0" w:color="auto"/>
        <w:right w:val="none" w:sz="0" w:space="0" w:color="auto"/>
      </w:divBdr>
    </w:div>
    <w:div w:id="2049135999">
      <w:bodyDiv w:val="1"/>
      <w:marLeft w:val="0"/>
      <w:marRight w:val="0"/>
      <w:marTop w:val="0"/>
      <w:marBottom w:val="0"/>
      <w:divBdr>
        <w:top w:val="none" w:sz="0" w:space="0" w:color="auto"/>
        <w:left w:val="none" w:sz="0" w:space="0" w:color="auto"/>
        <w:bottom w:val="none" w:sz="0" w:space="0" w:color="auto"/>
        <w:right w:val="none" w:sz="0" w:space="0" w:color="auto"/>
      </w:divBdr>
    </w:div>
    <w:div w:id="2049841409">
      <w:bodyDiv w:val="1"/>
      <w:marLeft w:val="0"/>
      <w:marRight w:val="0"/>
      <w:marTop w:val="0"/>
      <w:marBottom w:val="0"/>
      <w:divBdr>
        <w:top w:val="none" w:sz="0" w:space="0" w:color="auto"/>
        <w:left w:val="none" w:sz="0" w:space="0" w:color="auto"/>
        <w:bottom w:val="none" w:sz="0" w:space="0" w:color="auto"/>
        <w:right w:val="none" w:sz="0" w:space="0" w:color="auto"/>
      </w:divBdr>
    </w:div>
    <w:div w:id="2050299014">
      <w:bodyDiv w:val="1"/>
      <w:marLeft w:val="0"/>
      <w:marRight w:val="0"/>
      <w:marTop w:val="0"/>
      <w:marBottom w:val="0"/>
      <w:divBdr>
        <w:top w:val="none" w:sz="0" w:space="0" w:color="auto"/>
        <w:left w:val="none" w:sz="0" w:space="0" w:color="auto"/>
        <w:bottom w:val="none" w:sz="0" w:space="0" w:color="auto"/>
        <w:right w:val="none" w:sz="0" w:space="0" w:color="auto"/>
      </w:divBdr>
    </w:div>
    <w:div w:id="2051227339">
      <w:bodyDiv w:val="1"/>
      <w:marLeft w:val="0"/>
      <w:marRight w:val="0"/>
      <w:marTop w:val="0"/>
      <w:marBottom w:val="0"/>
      <w:divBdr>
        <w:top w:val="none" w:sz="0" w:space="0" w:color="auto"/>
        <w:left w:val="none" w:sz="0" w:space="0" w:color="auto"/>
        <w:bottom w:val="none" w:sz="0" w:space="0" w:color="auto"/>
        <w:right w:val="none" w:sz="0" w:space="0" w:color="auto"/>
      </w:divBdr>
    </w:div>
    <w:div w:id="2051759553">
      <w:bodyDiv w:val="1"/>
      <w:marLeft w:val="0"/>
      <w:marRight w:val="0"/>
      <w:marTop w:val="0"/>
      <w:marBottom w:val="0"/>
      <w:divBdr>
        <w:top w:val="none" w:sz="0" w:space="0" w:color="auto"/>
        <w:left w:val="none" w:sz="0" w:space="0" w:color="auto"/>
        <w:bottom w:val="none" w:sz="0" w:space="0" w:color="auto"/>
        <w:right w:val="none" w:sz="0" w:space="0" w:color="auto"/>
      </w:divBdr>
    </w:div>
    <w:div w:id="2051831207">
      <w:bodyDiv w:val="1"/>
      <w:marLeft w:val="0"/>
      <w:marRight w:val="0"/>
      <w:marTop w:val="0"/>
      <w:marBottom w:val="0"/>
      <w:divBdr>
        <w:top w:val="none" w:sz="0" w:space="0" w:color="auto"/>
        <w:left w:val="none" w:sz="0" w:space="0" w:color="auto"/>
        <w:bottom w:val="none" w:sz="0" w:space="0" w:color="auto"/>
        <w:right w:val="none" w:sz="0" w:space="0" w:color="auto"/>
      </w:divBdr>
    </w:div>
    <w:div w:id="2052459290">
      <w:bodyDiv w:val="1"/>
      <w:marLeft w:val="0"/>
      <w:marRight w:val="0"/>
      <w:marTop w:val="0"/>
      <w:marBottom w:val="0"/>
      <w:divBdr>
        <w:top w:val="none" w:sz="0" w:space="0" w:color="auto"/>
        <w:left w:val="none" w:sz="0" w:space="0" w:color="auto"/>
        <w:bottom w:val="none" w:sz="0" w:space="0" w:color="auto"/>
        <w:right w:val="none" w:sz="0" w:space="0" w:color="auto"/>
      </w:divBdr>
    </w:div>
    <w:div w:id="2052656458">
      <w:bodyDiv w:val="1"/>
      <w:marLeft w:val="0"/>
      <w:marRight w:val="0"/>
      <w:marTop w:val="0"/>
      <w:marBottom w:val="0"/>
      <w:divBdr>
        <w:top w:val="none" w:sz="0" w:space="0" w:color="auto"/>
        <w:left w:val="none" w:sz="0" w:space="0" w:color="auto"/>
        <w:bottom w:val="none" w:sz="0" w:space="0" w:color="auto"/>
        <w:right w:val="none" w:sz="0" w:space="0" w:color="auto"/>
      </w:divBdr>
    </w:div>
    <w:div w:id="2054502996">
      <w:bodyDiv w:val="1"/>
      <w:marLeft w:val="0"/>
      <w:marRight w:val="0"/>
      <w:marTop w:val="0"/>
      <w:marBottom w:val="0"/>
      <w:divBdr>
        <w:top w:val="none" w:sz="0" w:space="0" w:color="auto"/>
        <w:left w:val="none" w:sz="0" w:space="0" w:color="auto"/>
        <w:bottom w:val="none" w:sz="0" w:space="0" w:color="auto"/>
        <w:right w:val="none" w:sz="0" w:space="0" w:color="auto"/>
      </w:divBdr>
    </w:div>
    <w:div w:id="2055306835">
      <w:bodyDiv w:val="1"/>
      <w:marLeft w:val="0"/>
      <w:marRight w:val="0"/>
      <w:marTop w:val="0"/>
      <w:marBottom w:val="0"/>
      <w:divBdr>
        <w:top w:val="none" w:sz="0" w:space="0" w:color="auto"/>
        <w:left w:val="none" w:sz="0" w:space="0" w:color="auto"/>
        <w:bottom w:val="none" w:sz="0" w:space="0" w:color="auto"/>
        <w:right w:val="none" w:sz="0" w:space="0" w:color="auto"/>
      </w:divBdr>
    </w:div>
    <w:div w:id="2057586978">
      <w:bodyDiv w:val="1"/>
      <w:marLeft w:val="0"/>
      <w:marRight w:val="0"/>
      <w:marTop w:val="0"/>
      <w:marBottom w:val="0"/>
      <w:divBdr>
        <w:top w:val="none" w:sz="0" w:space="0" w:color="auto"/>
        <w:left w:val="none" w:sz="0" w:space="0" w:color="auto"/>
        <w:bottom w:val="none" w:sz="0" w:space="0" w:color="auto"/>
        <w:right w:val="none" w:sz="0" w:space="0" w:color="auto"/>
      </w:divBdr>
    </w:div>
    <w:div w:id="2057774717">
      <w:bodyDiv w:val="1"/>
      <w:marLeft w:val="0"/>
      <w:marRight w:val="0"/>
      <w:marTop w:val="0"/>
      <w:marBottom w:val="0"/>
      <w:divBdr>
        <w:top w:val="none" w:sz="0" w:space="0" w:color="auto"/>
        <w:left w:val="none" w:sz="0" w:space="0" w:color="auto"/>
        <w:bottom w:val="none" w:sz="0" w:space="0" w:color="auto"/>
        <w:right w:val="none" w:sz="0" w:space="0" w:color="auto"/>
      </w:divBdr>
    </w:div>
    <w:div w:id="2058122538">
      <w:bodyDiv w:val="1"/>
      <w:marLeft w:val="0"/>
      <w:marRight w:val="0"/>
      <w:marTop w:val="0"/>
      <w:marBottom w:val="0"/>
      <w:divBdr>
        <w:top w:val="none" w:sz="0" w:space="0" w:color="auto"/>
        <w:left w:val="none" w:sz="0" w:space="0" w:color="auto"/>
        <w:bottom w:val="none" w:sz="0" w:space="0" w:color="auto"/>
        <w:right w:val="none" w:sz="0" w:space="0" w:color="auto"/>
      </w:divBdr>
    </w:div>
    <w:div w:id="2058162039">
      <w:bodyDiv w:val="1"/>
      <w:marLeft w:val="0"/>
      <w:marRight w:val="0"/>
      <w:marTop w:val="0"/>
      <w:marBottom w:val="0"/>
      <w:divBdr>
        <w:top w:val="none" w:sz="0" w:space="0" w:color="auto"/>
        <w:left w:val="none" w:sz="0" w:space="0" w:color="auto"/>
        <w:bottom w:val="none" w:sz="0" w:space="0" w:color="auto"/>
        <w:right w:val="none" w:sz="0" w:space="0" w:color="auto"/>
      </w:divBdr>
    </w:div>
    <w:div w:id="2058318191">
      <w:bodyDiv w:val="1"/>
      <w:marLeft w:val="0"/>
      <w:marRight w:val="0"/>
      <w:marTop w:val="0"/>
      <w:marBottom w:val="0"/>
      <w:divBdr>
        <w:top w:val="none" w:sz="0" w:space="0" w:color="auto"/>
        <w:left w:val="none" w:sz="0" w:space="0" w:color="auto"/>
        <w:bottom w:val="none" w:sz="0" w:space="0" w:color="auto"/>
        <w:right w:val="none" w:sz="0" w:space="0" w:color="auto"/>
      </w:divBdr>
    </w:div>
    <w:div w:id="2058357499">
      <w:bodyDiv w:val="1"/>
      <w:marLeft w:val="0"/>
      <w:marRight w:val="0"/>
      <w:marTop w:val="0"/>
      <w:marBottom w:val="0"/>
      <w:divBdr>
        <w:top w:val="none" w:sz="0" w:space="0" w:color="auto"/>
        <w:left w:val="none" w:sz="0" w:space="0" w:color="auto"/>
        <w:bottom w:val="none" w:sz="0" w:space="0" w:color="auto"/>
        <w:right w:val="none" w:sz="0" w:space="0" w:color="auto"/>
      </w:divBdr>
    </w:div>
    <w:div w:id="2058506214">
      <w:bodyDiv w:val="1"/>
      <w:marLeft w:val="0"/>
      <w:marRight w:val="0"/>
      <w:marTop w:val="0"/>
      <w:marBottom w:val="0"/>
      <w:divBdr>
        <w:top w:val="none" w:sz="0" w:space="0" w:color="auto"/>
        <w:left w:val="none" w:sz="0" w:space="0" w:color="auto"/>
        <w:bottom w:val="none" w:sz="0" w:space="0" w:color="auto"/>
        <w:right w:val="none" w:sz="0" w:space="0" w:color="auto"/>
      </w:divBdr>
    </w:div>
    <w:div w:id="2058817431">
      <w:bodyDiv w:val="1"/>
      <w:marLeft w:val="0"/>
      <w:marRight w:val="0"/>
      <w:marTop w:val="0"/>
      <w:marBottom w:val="0"/>
      <w:divBdr>
        <w:top w:val="none" w:sz="0" w:space="0" w:color="auto"/>
        <w:left w:val="none" w:sz="0" w:space="0" w:color="auto"/>
        <w:bottom w:val="none" w:sz="0" w:space="0" w:color="auto"/>
        <w:right w:val="none" w:sz="0" w:space="0" w:color="auto"/>
      </w:divBdr>
    </w:div>
    <w:div w:id="2061007249">
      <w:bodyDiv w:val="1"/>
      <w:marLeft w:val="0"/>
      <w:marRight w:val="0"/>
      <w:marTop w:val="0"/>
      <w:marBottom w:val="0"/>
      <w:divBdr>
        <w:top w:val="none" w:sz="0" w:space="0" w:color="auto"/>
        <w:left w:val="none" w:sz="0" w:space="0" w:color="auto"/>
        <w:bottom w:val="none" w:sz="0" w:space="0" w:color="auto"/>
        <w:right w:val="none" w:sz="0" w:space="0" w:color="auto"/>
      </w:divBdr>
    </w:div>
    <w:div w:id="2061631811">
      <w:bodyDiv w:val="1"/>
      <w:marLeft w:val="0"/>
      <w:marRight w:val="0"/>
      <w:marTop w:val="0"/>
      <w:marBottom w:val="0"/>
      <w:divBdr>
        <w:top w:val="none" w:sz="0" w:space="0" w:color="auto"/>
        <w:left w:val="none" w:sz="0" w:space="0" w:color="auto"/>
        <w:bottom w:val="none" w:sz="0" w:space="0" w:color="auto"/>
        <w:right w:val="none" w:sz="0" w:space="0" w:color="auto"/>
      </w:divBdr>
    </w:div>
    <w:div w:id="2061636072">
      <w:bodyDiv w:val="1"/>
      <w:marLeft w:val="0"/>
      <w:marRight w:val="0"/>
      <w:marTop w:val="0"/>
      <w:marBottom w:val="0"/>
      <w:divBdr>
        <w:top w:val="none" w:sz="0" w:space="0" w:color="auto"/>
        <w:left w:val="none" w:sz="0" w:space="0" w:color="auto"/>
        <w:bottom w:val="none" w:sz="0" w:space="0" w:color="auto"/>
        <w:right w:val="none" w:sz="0" w:space="0" w:color="auto"/>
      </w:divBdr>
    </w:div>
    <w:div w:id="2062777646">
      <w:bodyDiv w:val="1"/>
      <w:marLeft w:val="0"/>
      <w:marRight w:val="0"/>
      <w:marTop w:val="0"/>
      <w:marBottom w:val="0"/>
      <w:divBdr>
        <w:top w:val="none" w:sz="0" w:space="0" w:color="auto"/>
        <w:left w:val="none" w:sz="0" w:space="0" w:color="auto"/>
        <w:bottom w:val="none" w:sz="0" w:space="0" w:color="auto"/>
        <w:right w:val="none" w:sz="0" w:space="0" w:color="auto"/>
      </w:divBdr>
    </w:div>
    <w:div w:id="2062895817">
      <w:bodyDiv w:val="1"/>
      <w:marLeft w:val="0"/>
      <w:marRight w:val="0"/>
      <w:marTop w:val="0"/>
      <w:marBottom w:val="0"/>
      <w:divBdr>
        <w:top w:val="none" w:sz="0" w:space="0" w:color="auto"/>
        <w:left w:val="none" w:sz="0" w:space="0" w:color="auto"/>
        <w:bottom w:val="none" w:sz="0" w:space="0" w:color="auto"/>
        <w:right w:val="none" w:sz="0" w:space="0" w:color="auto"/>
      </w:divBdr>
    </w:div>
    <w:div w:id="2063552765">
      <w:bodyDiv w:val="1"/>
      <w:marLeft w:val="0"/>
      <w:marRight w:val="0"/>
      <w:marTop w:val="0"/>
      <w:marBottom w:val="0"/>
      <w:divBdr>
        <w:top w:val="none" w:sz="0" w:space="0" w:color="auto"/>
        <w:left w:val="none" w:sz="0" w:space="0" w:color="auto"/>
        <w:bottom w:val="none" w:sz="0" w:space="0" w:color="auto"/>
        <w:right w:val="none" w:sz="0" w:space="0" w:color="auto"/>
      </w:divBdr>
    </w:div>
    <w:div w:id="2065450606">
      <w:bodyDiv w:val="1"/>
      <w:marLeft w:val="0"/>
      <w:marRight w:val="0"/>
      <w:marTop w:val="0"/>
      <w:marBottom w:val="0"/>
      <w:divBdr>
        <w:top w:val="none" w:sz="0" w:space="0" w:color="auto"/>
        <w:left w:val="none" w:sz="0" w:space="0" w:color="auto"/>
        <w:bottom w:val="none" w:sz="0" w:space="0" w:color="auto"/>
        <w:right w:val="none" w:sz="0" w:space="0" w:color="auto"/>
      </w:divBdr>
    </w:div>
    <w:div w:id="2066448018">
      <w:bodyDiv w:val="1"/>
      <w:marLeft w:val="0"/>
      <w:marRight w:val="0"/>
      <w:marTop w:val="0"/>
      <w:marBottom w:val="0"/>
      <w:divBdr>
        <w:top w:val="none" w:sz="0" w:space="0" w:color="auto"/>
        <w:left w:val="none" w:sz="0" w:space="0" w:color="auto"/>
        <w:bottom w:val="none" w:sz="0" w:space="0" w:color="auto"/>
        <w:right w:val="none" w:sz="0" w:space="0" w:color="auto"/>
      </w:divBdr>
    </w:div>
    <w:div w:id="2066485975">
      <w:bodyDiv w:val="1"/>
      <w:marLeft w:val="0"/>
      <w:marRight w:val="0"/>
      <w:marTop w:val="0"/>
      <w:marBottom w:val="0"/>
      <w:divBdr>
        <w:top w:val="none" w:sz="0" w:space="0" w:color="auto"/>
        <w:left w:val="none" w:sz="0" w:space="0" w:color="auto"/>
        <w:bottom w:val="none" w:sz="0" w:space="0" w:color="auto"/>
        <w:right w:val="none" w:sz="0" w:space="0" w:color="auto"/>
      </w:divBdr>
    </w:div>
    <w:div w:id="2067294987">
      <w:bodyDiv w:val="1"/>
      <w:marLeft w:val="0"/>
      <w:marRight w:val="0"/>
      <w:marTop w:val="0"/>
      <w:marBottom w:val="0"/>
      <w:divBdr>
        <w:top w:val="none" w:sz="0" w:space="0" w:color="auto"/>
        <w:left w:val="none" w:sz="0" w:space="0" w:color="auto"/>
        <w:bottom w:val="none" w:sz="0" w:space="0" w:color="auto"/>
        <w:right w:val="none" w:sz="0" w:space="0" w:color="auto"/>
      </w:divBdr>
    </w:div>
    <w:div w:id="2068063635">
      <w:bodyDiv w:val="1"/>
      <w:marLeft w:val="0"/>
      <w:marRight w:val="0"/>
      <w:marTop w:val="0"/>
      <w:marBottom w:val="0"/>
      <w:divBdr>
        <w:top w:val="none" w:sz="0" w:space="0" w:color="auto"/>
        <w:left w:val="none" w:sz="0" w:space="0" w:color="auto"/>
        <w:bottom w:val="none" w:sz="0" w:space="0" w:color="auto"/>
        <w:right w:val="none" w:sz="0" w:space="0" w:color="auto"/>
      </w:divBdr>
    </w:div>
    <w:div w:id="2069840342">
      <w:bodyDiv w:val="1"/>
      <w:marLeft w:val="0"/>
      <w:marRight w:val="0"/>
      <w:marTop w:val="0"/>
      <w:marBottom w:val="0"/>
      <w:divBdr>
        <w:top w:val="none" w:sz="0" w:space="0" w:color="auto"/>
        <w:left w:val="none" w:sz="0" w:space="0" w:color="auto"/>
        <w:bottom w:val="none" w:sz="0" w:space="0" w:color="auto"/>
        <w:right w:val="none" w:sz="0" w:space="0" w:color="auto"/>
      </w:divBdr>
    </w:div>
    <w:div w:id="2069955546">
      <w:bodyDiv w:val="1"/>
      <w:marLeft w:val="0"/>
      <w:marRight w:val="0"/>
      <w:marTop w:val="0"/>
      <w:marBottom w:val="0"/>
      <w:divBdr>
        <w:top w:val="none" w:sz="0" w:space="0" w:color="auto"/>
        <w:left w:val="none" w:sz="0" w:space="0" w:color="auto"/>
        <w:bottom w:val="none" w:sz="0" w:space="0" w:color="auto"/>
        <w:right w:val="none" w:sz="0" w:space="0" w:color="auto"/>
      </w:divBdr>
    </w:div>
    <w:div w:id="2071809372">
      <w:bodyDiv w:val="1"/>
      <w:marLeft w:val="0"/>
      <w:marRight w:val="0"/>
      <w:marTop w:val="0"/>
      <w:marBottom w:val="0"/>
      <w:divBdr>
        <w:top w:val="none" w:sz="0" w:space="0" w:color="auto"/>
        <w:left w:val="none" w:sz="0" w:space="0" w:color="auto"/>
        <w:bottom w:val="none" w:sz="0" w:space="0" w:color="auto"/>
        <w:right w:val="none" w:sz="0" w:space="0" w:color="auto"/>
      </w:divBdr>
    </w:div>
    <w:div w:id="2072120389">
      <w:bodyDiv w:val="1"/>
      <w:marLeft w:val="0"/>
      <w:marRight w:val="0"/>
      <w:marTop w:val="0"/>
      <w:marBottom w:val="0"/>
      <w:divBdr>
        <w:top w:val="none" w:sz="0" w:space="0" w:color="auto"/>
        <w:left w:val="none" w:sz="0" w:space="0" w:color="auto"/>
        <w:bottom w:val="none" w:sz="0" w:space="0" w:color="auto"/>
        <w:right w:val="none" w:sz="0" w:space="0" w:color="auto"/>
      </w:divBdr>
    </w:div>
    <w:div w:id="2072343885">
      <w:bodyDiv w:val="1"/>
      <w:marLeft w:val="0"/>
      <w:marRight w:val="0"/>
      <w:marTop w:val="0"/>
      <w:marBottom w:val="0"/>
      <w:divBdr>
        <w:top w:val="none" w:sz="0" w:space="0" w:color="auto"/>
        <w:left w:val="none" w:sz="0" w:space="0" w:color="auto"/>
        <w:bottom w:val="none" w:sz="0" w:space="0" w:color="auto"/>
        <w:right w:val="none" w:sz="0" w:space="0" w:color="auto"/>
      </w:divBdr>
    </w:div>
    <w:div w:id="2074548018">
      <w:bodyDiv w:val="1"/>
      <w:marLeft w:val="0"/>
      <w:marRight w:val="0"/>
      <w:marTop w:val="0"/>
      <w:marBottom w:val="0"/>
      <w:divBdr>
        <w:top w:val="none" w:sz="0" w:space="0" w:color="auto"/>
        <w:left w:val="none" w:sz="0" w:space="0" w:color="auto"/>
        <w:bottom w:val="none" w:sz="0" w:space="0" w:color="auto"/>
        <w:right w:val="none" w:sz="0" w:space="0" w:color="auto"/>
      </w:divBdr>
    </w:div>
    <w:div w:id="2075155909">
      <w:bodyDiv w:val="1"/>
      <w:marLeft w:val="0"/>
      <w:marRight w:val="0"/>
      <w:marTop w:val="0"/>
      <w:marBottom w:val="0"/>
      <w:divBdr>
        <w:top w:val="none" w:sz="0" w:space="0" w:color="auto"/>
        <w:left w:val="none" w:sz="0" w:space="0" w:color="auto"/>
        <w:bottom w:val="none" w:sz="0" w:space="0" w:color="auto"/>
        <w:right w:val="none" w:sz="0" w:space="0" w:color="auto"/>
      </w:divBdr>
    </w:div>
    <w:div w:id="2075229081">
      <w:bodyDiv w:val="1"/>
      <w:marLeft w:val="0"/>
      <w:marRight w:val="0"/>
      <w:marTop w:val="0"/>
      <w:marBottom w:val="0"/>
      <w:divBdr>
        <w:top w:val="none" w:sz="0" w:space="0" w:color="auto"/>
        <w:left w:val="none" w:sz="0" w:space="0" w:color="auto"/>
        <w:bottom w:val="none" w:sz="0" w:space="0" w:color="auto"/>
        <w:right w:val="none" w:sz="0" w:space="0" w:color="auto"/>
      </w:divBdr>
    </w:div>
    <w:div w:id="2075470609">
      <w:bodyDiv w:val="1"/>
      <w:marLeft w:val="0"/>
      <w:marRight w:val="0"/>
      <w:marTop w:val="0"/>
      <w:marBottom w:val="0"/>
      <w:divBdr>
        <w:top w:val="none" w:sz="0" w:space="0" w:color="auto"/>
        <w:left w:val="none" w:sz="0" w:space="0" w:color="auto"/>
        <w:bottom w:val="none" w:sz="0" w:space="0" w:color="auto"/>
        <w:right w:val="none" w:sz="0" w:space="0" w:color="auto"/>
      </w:divBdr>
    </w:div>
    <w:div w:id="2075543433">
      <w:bodyDiv w:val="1"/>
      <w:marLeft w:val="0"/>
      <w:marRight w:val="0"/>
      <w:marTop w:val="0"/>
      <w:marBottom w:val="0"/>
      <w:divBdr>
        <w:top w:val="none" w:sz="0" w:space="0" w:color="auto"/>
        <w:left w:val="none" w:sz="0" w:space="0" w:color="auto"/>
        <w:bottom w:val="none" w:sz="0" w:space="0" w:color="auto"/>
        <w:right w:val="none" w:sz="0" w:space="0" w:color="auto"/>
      </w:divBdr>
    </w:div>
    <w:div w:id="2078089168">
      <w:bodyDiv w:val="1"/>
      <w:marLeft w:val="0"/>
      <w:marRight w:val="0"/>
      <w:marTop w:val="0"/>
      <w:marBottom w:val="0"/>
      <w:divBdr>
        <w:top w:val="none" w:sz="0" w:space="0" w:color="auto"/>
        <w:left w:val="none" w:sz="0" w:space="0" w:color="auto"/>
        <w:bottom w:val="none" w:sz="0" w:space="0" w:color="auto"/>
        <w:right w:val="none" w:sz="0" w:space="0" w:color="auto"/>
      </w:divBdr>
    </w:div>
    <w:div w:id="2078818791">
      <w:bodyDiv w:val="1"/>
      <w:marLeft w:val="0"/>
      <w:marRight w:val="0"/>
      <w:marTop w:val="0"/>
      <w:marBottom w:val="0"/>
      <w:divBdr>
        <w:top w:val="none" w:sz="0" w:space="0" w:color="auto"/>
        <w:left w:val="none" w:sz="0" w:space="0" w:color="auto"/>
        <w:bottom w:val="none" w:sz="0" w:space="0" w:color="auto"/>
        <w:right w:val="none" w:sz="0" w:space="0" w:color="auto"/>
      </w:divBdr>
    </w:div>
    <w:div w:id="2078942841">
      <w:bodyDiv w:val="1"/>
      <w:marLeft w:val="0"/>
      <w:marRight w:val="0"/>
      <w:marTop w:val="0"/>
      <w:marBottom w:val="0"/>
      <w:divBdr>
        <w:top w:val="none" w:sz="0" w:space="0" w:color="auto"/>
        <w:left w:val="none" w:sz="0" w:space="0" w:color="auto"/>
        <w:bottom w:val="none" w:sz="0" w:space="0" w:color="auto"/>
        <w:right w:val="none" w:sz="0" w:space="0" w:color="auto"/>
      </w:divBdr>
    </w:div>
    <w:div w:id="2080252632">
      <w:bodyDiv w:val="1"/>
      <w:marLeft w:val="0"/>
      <w:marRight w:val="0"/>
      <w:marTop w:val="0"/>
      <w:marBottom w:val="0"/>
      <w:divBdr>
        <w:top w:val="none" w:sz="0" w:space="0" w:color="auto"/>
        <w:left w:val="none" w:sz="0" w:space="0" w:color="auto"/>
        <w:bottom w:val="none" w:sz="0" w:space="0" w:color="auto"/>
        <w:right w:val="none" w:sz="0" w:space="0" w:color="auto"/>
      </w:divBdr>
    </w:div>
    <w:div w:id="2080899793">
      <w:bodyDiv w:val="1"/>
      <w:marLeft w:val="0"/>
      <w:marRight w:val="0"/>
      <w:marTop w:val="0"/>
      <w:marBottom w:val="0"/>
      <w:divBdr>
        <w:top w:val="none" w:sz="0" w:space="0" w:color="auto"/>
        <w:left w:val="none" w:sz="0" w:space="0" w:color="auto"/>
        <w:bottom w:val="none" w:sz="0" w:space="0" w:color="auto"/>
        <w:right w:val="none" w:sz="0" w:space="0" w:color="auto"/>
      </w:divBdr>
    </w:div>
    <w:div w:id="2080900373">
      <w:bodyDiv w:val="1"/>
      <w:marLeft w:val="0"/>
      <w:marRight w:val="0"/>
      <w:marTop w:val="0"/>
      <w:marBottom w:val="0"/>
      <w:divBdr>
        <w:top w:val="none" w:sz="0" w:space="0" w:color="auto"/>
        <w:left w:val="none" w:sz="0" w:space="0" w:color="auto"/>
        <w:bottom w:val="none" w:sz="0" w:space="0" w:color="auto"/>
        <w:right w:val="none" w:sz="0" w:space="0" w:color="auto"/>
      </w:divBdr>
    </w:div>
    <w:div w:id="2081167525">
      <w:bodyDiv w:val="1"/>
      <w:marLeft w:val="0"/>
      <w:marRight w:val="0"/>
      <w:marTop w:val="0"/>
      <w:marBottom w:val="0"/>
      <w:divBdr>
        <w:top w:val="none" w:sz="0" w:space="0" w:color="auto"/>
        <w:left w:val="none" w:sz="0" w:space="0" w:color="auto"/>
        <w:bottom w:val="none" w:sz="0" w:space="0" w:color="auto"/>
        <w:right w:val="none" w:sz="0" w:space="0" w:color="auto"/>
      </w:divBdr>
    </w:div>
    <w:div w:id="2082091661">
      <w:bodyDiv w:val="1"/>
      <w:marLeft w:val="0"/>
      <w:marRight w:val="0"/>
      <w:marTop w:val="0"/>
      <w:marBottom w:val="0"/>
      <w:divBdr>
        <w:top w:val="none" w:sz="0" w:space="0" w:color="auto"/>
        <w:left w:val="none" w:sz="0" w:space="0" w:color="auto"/>
        <w:bottom w:val="none" w:sz="0" w:space="0" w:color="auto"/>
        <w:right w:val="none" w:sz="0" w:space="0" w:color="auto"/>
      </w:divBdr>
    </w:div>
    <w:div w:id="2083135719">
      <w:bodyDiv w:val="1"/>
      <w:marLeft w:val="0"/>
      <w:marRight w:val="0"/>
      <w:marTop w:val="0"/>
      <w:marBottom w:val="0"/>
      <w:divBdr>
        <w:top w:val="none" w:sz="0" w:space="0" w:color="auto"/>
        <w:left w:val="none" w:sz="0" w:space="0" w:color="auto"/>
        <w:bottom w:val="none" w:sz="0" w:space="0" w:color="auto"/>
        <w:right w:val="none" w:sz="0" w:space="0" w:color="auto"/>
      </w:divBdr>
    </w:div>
    <w:div w:id="2083598915">
      <w:bodyDiv w:val="1"/>
      <w:marLeft w:val="0"/>
      <w:marRight w:val="0"/>
      <w:marTop w:val="0"/>
      <w:marBottom w:val="0"/>
      <w:divBdr>
        <w:top w:val="none" w:sz="0" w:space="0" w:color="auto"/>
        <w:left w:val="none" w:sz="0" w:space="0" w:color="auto"/>
        <w:bottom w:val="none" w:sz="0" w:space="0" w:color="auto"/>
        <w:right w:val="none" w:sz="0" w:space="0" w:color="auto"/>
      </w:divBdr>
    </w:div>
    <w:div w:id="2084377690">
      <w:bodyDiv w:val="1"/>
      <w:marLeft w:val="0"/>
      <w:marRight w:val="0"/>
      <w:marTop w:val="0"/>
      <w:marBottom w:val="0"/>
      <w:divBdr>
        <w:top w:val="none" w:sz="0" w:space="0" w:color="auto"/>
        <w:left w:val="none" w:sz="0" w:space="0" w:color="auto"/>
        <w:bottom w:val="none" w:sz="0" w:space="0" w:color="auto"/>
        <w:right w:val="none" w:sz="0" w:space="0" w:color="auto"/>
      </w:divBdr>
    </w:div>
    <w:div w:id="2086102247">
      <w:bodyDiv w:val="1"/>
      <w:marLeft w:val="0"/>
      <w:marRight w:val="0"/>
      <w:marTop w:val="0"/>
      <w:marBottom w:val="0"/>
      <w:divBdr>
        <w:top w:val="none" w:sz="0" w:space="0" w:color="auto"/>
        <w:left w:val="none" w:sz="0" w:space="0" w:color="auto"/>
        <w:bottom w:val="none" w:sz="0" w:space="0" w:color="auto"/>
        <w:right w:val="none" w:sz="0" w:space="0" w:color="auto"/>
      </w:divBdr>
    </w:div>
    <w:div w:id="2087995388">
      <w:bodyDiv w:val="1"/>
      <w:marLeft w:val="0"/>
      <w:marRight w:val="0"/>
      <w:marTop w:val="0"/>
      <w:marBottom w:val="0"/>
      <w:divBdr>
        <w:top w:val="none" w:sz="0" w:space="0" w:color="auto"/>
        <w:left w:val="none" w:sz="0" w:space="0" w:color="auto"/>
        <w:bottom w:val="none" w:sz="0" w:space="0" w:color="auto"/>
        <w:right w:val="none" w:sz="0" w:space="0" w:color="auto"/>
      </w:divBdr>
    </w:div>
    <w:div w:id="2088109768">
      <w:bodyDiv w:val="1"/>
      <w:marLeft w:val="0"/>
      <w:marRight w:val="0"/>
      <w:marTop w:val="0"/>
      <w:marBottom w:val="0"/>
      <w:divBdr>
        <w:top w:val="none" w:sz="0" w:space="0" w:color="auto"/>
        <w:left w:val="none" w:sz="0" w:space="0" w:color="auto"/>
        <w:bottom w:val="none" w:sz="0" w:space="0" w:color="auto"/>
        <w:right w:val="none" w:sz="0" w:space="0" w:color="auto"/>
      </w:divBdr>
    </w:div>
    <w:div w:id="2088188743">
      <w:bodyDiv w:val="1"/>
      <w:marLeft w:val="0"/>
      <w:marRight w:val="0"/>
      <w:marTop w:val="0"/>
      <w:marBottom w:val="0"/>
      <w:divBdr>
        <w:top w:val="none" w:sz="0" w:space="0" w:color="auto"/>
        <w:left w:val="none" w:sz="0" w:space="0" w:color="auto"/>
        <w:bottom w:val="none" w:sz="0" w:space="0" w:color="auto"/>
        <w:right w:val="none" w:sz="0" w:space="0" w:color="auto"/>
      </w:divBdr>
    </w:div>
    <w:div w:id="2088991140">
      <w:bodyDiv w:val="1"/>
      <w:marLeft w:val="0"/>
      <w:marRight w:val="0"/>
      <w:marTop w:val="0"/>
      <w:marBottom w:val="0"/>
      <w:divBdr>
        <w:top w:val="none" w:sz="0" w:space="0" w:color="auto"/>
        <w:left w:val="none" w:sz="0" w:space="0" w:color="auto"/>
        <w:bottom w:val="none" w:sz="0" w:space="0" w:color="auto"/>
        <w:right w:val="none" w:sz="0" w:space="0" w:color="auto"/>
      </w:divBdr>
    </w:div>
    <w:div w:id="2089955488">
      <w:bodyDiv w:val="1"/>
      <w:marLeft w:val="0"/>
      <w:marRight w:val="0"/>
      <w:marTop w:val="0"/>
      <w:marBottom w:val="0"/>
      <w:divBdr>
        <w:top w:val="none" w:sz="0" w:space="0" w:color="auto"/>
        <w:left w:val="none" w:sz="0" w:space="0" w:color="auto"/>
        <w:bottom w:val="none" w:sz="0" w:space="0" w:color="auto"/>
        <w:right w:val="none" w:sz="0" w:space="0" w:color="auto"/>
      </w:divBdr>
    </w:div>
    <w:div w:id="2090039005">
      <w:bodyDiv w:val="1"/>
      <w:marLeft w:val="0"/>
      <w:marRight w:val="0"/>
      <w:marTop w:val="0"/>
      <w:marBottom w:val="0"/>
      <w:divBdr>
        <w:top w:val="none" w:sz="0" w:space="0" w:color="auto"/>
        <w:left w:val="none" w:sz="0" w:space="0" w:color="auto"/>
        <w:bottom w:val="none" w:sz="0" w:space="0" w:color="auto"/>
        <w:right w:val="none" w:sz="0" w:space="0" w:color="auto"/>
      </w:divBdr>
    </w:div>
    <w:div w:id="2090418400">
      <w:bodyDiv w:val="1"/>
      <w:marLeft w:val="0"/>
      <w:marRight w:val="0"/>
      <w:marTop w:val="0"/>
      <w:marBottom w:val="0"/>
      <w:divBdr>
        <w:top w:val="none" w:sz="0" w:space="0" w:color="auto"/>
        <w:left w:val="none" w:sz="0" w:space="0" w:color="auto"/>
        <w:bottom w:val="none" w:sz="0" w:space="0" w:color="auto"/>
        <w:right w:val="none" w:sz="0" w:space="0" w:color="auto"/>
      </w:divBdr>
    </w:div>
    <w:div w:id="2091416543">
      <w:bodyDiv w:val="1"/>
      <w:marLeft w:val="0"/>
      <w:marRight w:val="0"/>
      <w:marTop w:val="0"/>
      <w:marBottom w:val="0"/>
      <w:divBdr>
        <w:top w:val="none" w:sz="0" w:space="0" w:color="auto"/>
        <w:left w:val="none" w:sz="0" w:space="0" w:color="auto"/>
        <w:bottom w:val="none" w:sz="0" w:space="0" w:color="auto"/>
        <w:right w:val="none" w:sz="0" w:space="0" w:color="auto"/>
      </w:divBdr>
    </w:div>
    <w:div w:id="2091535148">
      <w:bodyDiv w:val="1"/>
      <w:marLeft w:val="0"/>
      <w:marRight w:val="0"/>
      <w:marTop w:val="0"/>
      <w:marBottom w:val="0"/>
      <w:divBdr>
        <w:top w:val="none" w:sz="0" w:space="0" w:color="auto"/>
        <w:left w:val="none" w:sz="0" w:space="0" w:color="auto"/>
        <w:bottom w:val="none" w:sz="0" w:space="0" w:color="auto"/>
        <w:right w:val="none" w:sz="0" w:space="0" w:color="auto"/>
      </w:divBdr>
    </w:div>
    <w:div w:id="2092048004">
      <w:bodyDiv w:val="1"/>
      <w:marLeft w:val="0"/>
      <w:marRight w:val="0"/>
      <w:marTop w:val="0"/>
      <w:marBottom w:val="0"/>
      <w:divBdr>
        <w:top w:val="none" w:sz="0" w:space="0" w:color="auto"/>
        <w:left w:val="none" w:sz="0" w:space="0" w:color="auto"/>
        <w:bottom w:val="none" w:sz="0" w:space="0" w:color="auto"/>
        <w:right w:val="none" w:sz="0" w:space="0" w:color="auto"/>
      </w:divBdr>
    </w:div>
    <w:div w:id="2094088402">
      <w:bodyDiv w:val="1"/>
      <w:marLeft w:val="0"/>
      <w:marRight w:val="0"/>
      <w:marTop w:val="0"/>
      <w:marBottom w:val="0"/>
      <w:divBdr>
        <w:top w:val="none" w:sz="0" w:space="0" w:color="auto"/>
        <w:left w:val="none" w:sz="0" w:space="0" w:color="auto"/>
        <w:bottom w:val="none" w:sz="0" w:space="0" w:color="auto"/>
        <w:right w:val="none" w:sz="0" w:space="0" w:color="auto"/>
      </w:divBdr>
    </w:div>
    <w:div w:id="2094623637">
      <w:bodyDiv w:val="1"/>
      <w:marLeft w:val="0"/>
      <w:marRight w:val="0"/>
      <w:marTop w:val="0"/>
      <w:marBottom w:val="0"/>
      <w:divBdr>
        <w:top w:val="none" w:sz="0" w:space="0" w:color="auto"/>
        <w:left w:val="none" w:sz="0" w:space="0" w:color="auto"/>
        <w:bottom w:val="none" w:sz="0" w:space="0" w:color="auto"/>
        <w:right w:val="none" w:sz="0" w:space="0" w:color="auto"/>
      </w:divBdr>
    </w:div>
    <w:div w:id="2095123941">
      <w:bodyDiv w:val="1"/>
      <w:marLeft w:val="0"/>
      <w:marRight w:val="0"/>
      <w:marTop w:val="0"/>
      <w:marBottom w:val="0"/>
      <w:divBdr>
        <w:top w:val="none" w:sz="0" w:space="0" w:color="auto"/>
        <w:left w:val="none" w:sz="0" w:space="0" w:color="auto"/>
        <w:bottom w:val="none" w:sz="0" w:space="0" w:color="auto"/>
        <w:right w:val="none" w:sz="0" w:space="0" w:color="auto"/>
      </w:divBdr>
    </w:div>
    <w:div w:id="2095736695">
      <w:bodyDiv w:val="1"/>
      <w:marLeft w:val="0"/>
      <w:marRight w:val="0"/>
      <w:marTop w:val="0"/>
      <w:marBottom w:val="0"/>
      <w:divBdr>
        <w:top w:val="none" w:sz="0" w:space="0" w:color="auto"/>
        <w:left w:val="none" w:sz="0" w:space="0" w:color="auto"/>
        <w:bottom w:val="none" w:sz="0" w:space="0" w:color="auto"/>
        <w:right w:val="none" w:sz="0" w:space="0" w:color="auto"/>
      </w:divBdr>
    </w:div>
    <w:div w:id="2097243562">
      <w:bodyDiv w:val="1"/>
      <w:marLeft w:val="0"/>
      <w:marRight w:val="0"/>
      <w:marTop w:val="0"/>
      <w:marBottom w:val="0"/>
      <w:divBdr>
        <w:top w:val="none" w:sz="0" w:space="0" w:color="auto"/>
        <w:left w:val="none" w:sz="0" w:space="0" w:color="auto"/>
        <w:bottom w:val="none" w:sz="0" w:space="0" w:color="auto"/>
        <w:right w:val="none" w:sz="0" w:space="0" w:color="auto"/>
      </w:divBdr>
    </w:div>
    <w:div w:id="2097745921">
      <w:bodyDiv w:val="1"/>
      <w:marLeft w:val="0"/>
      <w:marRight w:val="0"/>
      <w:marTop w:val="0"/>
      <w:marBottom w:val="0"/>
      <w:divBdr>
        <w:top w:val="none" w:sz="0" w:space="0" w:color="auto"/>
        <w:left w:val="none" w:sz="0" w:space="0" w:color="auto"/>
        <w:bottom w:val="none" w:sz="0" w:space="0" w:color="auto"/>
        <w:right w:val="none" w:sz="0" w:space="0" w:color="auto"/>
      </w:divBdr>
    </w:div>
    <w:div w:id="2098822088">
      <w:bodyDiv w:val="1"/>
      <w:marLeft w:val="0"/>
      <w:marRight w:val="0"/>
      <w:marTop w:val="0"/>
      <w:marBottom w:val="0"/>
      <w:divBdr>
        <w:top w:val="none" w:sz="0" w:space="0" w:color="auto"/>
        <w:left w:val="none" w:sz="0" w:space="0" w:color="auto"/>
        <w:bottom w:val="none" w:sz="0" w:space="0" w:color="auto"/>
        <w:right w:val="none" w:sz="0" w:space="0" w:color="auto"/>
      </w:divBdr>
    </w:div>
    <w:div w:id="2098860718">
      <w:bodyDiv w:val="1"/>
      <w:marLeft w:val="0"/>
      <w:marRight w:val="0"/>
      <w:marTop w:val="0"/>
      <w:marBottom w:val="0"/>
      <w:divBdr>
        <w:top w:val="none" w:sz="0" w:space="0" w:color="auto"/>
        <w:left w:val="none" w:sz="0" w:space="0" w:color="auto"/>
        <w:bottom w:val="none" w:sz="0" w:space="0" w:color="auto"/>
        <w:right w:val="none" w:sz="0" w:space="0" w:color="auto"/>
      </w:divBdr>
    </w:div>
    <w:div w:id="2099590695">
      <w:bodyDiv w:val="1"/>
      <w:marLeft w:val="0"/>
      <w:marRight w:val="0"/>
      <w:marTop w:val="0"/>
      <w:marBottom w:val="0"/>
      <w:divBdr>
        <w:top w:val="none" w:sz="0" w:space="0" w:color="auto"/>
        <w:left w:val="none" w:sz="0" w:space="0" w:color="auto"/>
        <w:bottom w:val="none" w:sz="0" w:space="0" w:color="auto"/>
        <w:right w:val="none" w:sz="0" w:space="0" w:color="auto"/>
      </w:divBdr>
    </w:div>
    <w:div w:id="2101414297">
      <w:bodyDiv w:val="1"/>
      <w:marLeft w:val="0"/>
      <w:marRight w:val="0"/>
      <w:marTop w:val="0"/>
      <w:marBottom w:val="0"/>
      <w:divBdr>
        <w:top w:val="none" w:sz="0" w:space="0" w:color="auto"/>
        <w:left w:val="none" w:sz="0" w:space="0" w:color="auto"/>
        <w:bottom w:val="none" w:sz="0" w:space="0" w:color="auto"/>
        <w:right w:val="none" w:sz="0" w:space="0" w:color="auto"/>
      </w:divBdr>
    </w:div>
    <w:div w:id="2101443738">
      <w:bodyDiv w:val="1"/>
      <w:marLeft w:val="0"/>
      <w:marRight w:val="0"/>
      <w:marTop w:val="0"/>
      <w:marBottom w:val="0"/>
      <w:divBdr>
        <w:top w:val="none" w:sz="0" w:space="0" w:color="auto"/>
        <w:left w:val="none" w:sz="0" w:space="0" w:color="auto"/>
        <w:bottom w:val="none" w:sz="0" w:space="0" w:color="auto"/>
        <w:right w:val="none" w:sz="0" w:space="0" w:color="auto"/>
      </w:divBdr>
    </w:div>
    <w:div w:id="2101875177">
      <w:bodyDiv w:val="1"/>
      <w:marLeft w:val="0"/>
      <w:marRight w:val="0"/>
      <w:marTop w:val="0"/>
      <w:marBottom w:val="0"/>
      <w:divBdr>
        <w:top w:val="none" w:sz="0" w:space="0" w:color="auto"/>
        <w:left w:val="none" w:sz="0" w:space="0" w:color="auto"/>
        <w:bottom w:val="none" w:sz="0" w:space="0" w:color="auto"/>
        <w:right w:val="none" w:sz="0" w:space="0" w:color="auto"/>
      </w:divBdr>
    </w:div>
    <w:div w:id="2101900635">
      <w:bodyDiv w:val="1"/>
      <w:marLeft w:val="0"/>
      <w:marRight w:val="0"/>
      <w:marTop w:val="0"/>
      <w:marBottom w:val="0"/>
      <w:divBdr>
        <w:top w:val="none" w:sz="0" w:space="0" w:color="auto"/>
        <w:left w:val="none" w:sz="0" w:space="0" w:color="auto"/>
        <w:bottom w:val="none" w:sz="0" w:space="0" w:color="auto"/>
        <w:right w:val="none" w:sz="0" w:space="0" w:color="auto"/>
      </w:divBdr>
    </w:div>
    <w:div w:id="2103407501">
      <w:bodyDiv w:val="1"/>
      <w:marLeft w:val="0"/>
      <w:marRight w:val="0"/>
      <w:marTop w:val="0"/>
      <w:marBottom w:val="0"/>
      <w:divBdr>
        <w:top w:val="none" w:sz="0" w:space="0" w:color="auto"/>
        <w:left w:val="none" w:sz="0" w:space="0" w:color="auto"/>
        <w:bottom w:val="none" w:sz="0" w:space="0" w:color="auto"/>
        <w:right w:val="none" w:sz="0" w:space="0" w:color="auto"/>
      </w:divBdr>
    </w:div>
    <w:div w:id="2103838718">
      <w:bodyDiv w:val="1"/>
      <w:marLeft w:val="0"/>
      <w:marRight w:val="0"/>
      <w:marTop w:val="0"/>
      <w:marBottom w:val="0"/>
      <w:divBdr>
        <w:top w:val="none" w:sz="0" w:space="0" w:color="auto"/>
        <w:left w:val="none" w:sz="0" w:space="0" w:color="auto"/>
        <w:bottom w:val="none" w:sz="0" w:space="0" w:color="auto"/>
        <w:right w:val="none" w:sz="0" w:space="0" w:color="auto"/>
      </w:divBdr>
    </w:div>
    <w:div w:id="2104062368">
      <w:bodyDiv w:val="1"/>
      <w:marLeft w:val="0"/>
      <w:marRight w:val="0"/>
      <w:marTop w:val="0"/>
      <w:marBottom w:val="0"/>
      <w:divBdr>
        <w:top w:val="none" w:sz="0" w:space="0" w:color="auto"/>
        <w:left w:val="none" w:sz="0" w:space="0" w:color="auto"/>
        <w:bottom w:val="none" w:sz="0" w:space="0" w:color="auto"/>
        <w:right w:val="none" w:sz="0" w:space="0" w:color="auto"/>
      </w:divBdr>
    </w:div>
    <w:div w:id="2105606998">
      <w:bodyDiv w:val="1"/>
      <w:marLeft w:val="0"/>
      <w:marRight w:val="0"/>
      <w:marTop w:val="0"/>
      <w:marBottom w:val="0"/>
      <w:divBdr>
        <w:top w:val="none" w:sz="0" w:space="0" w:color="auto"/>
        <w:left w:val="none" w:sz="0" w:space="0" w:color="auto"/>
        <w:bottom w:val="none" w:sz="0" w:space="0" w:color="auto"/>
        <w:right w:val="none" w:sz="0" w:space="0" w:color="auto"/>
      </w:divBdr>
    </w:div>
    <w:div w:id="2106531849">
      <w:bodyDiv w:val="1"/>
      <w:marLeft w:val="0"/>
      <w:marRight w:val="0"/>
      <w:marTop w:val="0"/>
      <w:marBottom w:val="0"/>
      <w:divBdr>
        <w:top w:val="none" w:sz="0" w:space="0" w:color="auto"/>
        <w:left w:val="none" w:sz="0" w:space="0" w:color="auto"/>
        <w:bottom w:val="none" w:sz="0" w:space="0" w:color="auto"/>
        <w:right w:val="none" w:sz="0" w:space="0" w:color="auto"/>
      </w:divBdr>
    </w:div>
    <w:div w:id="2106683460">
      <w:bodyDiv w:val="1"/>
      <w:marLeft w:val="0"/>
      <w:marRight w:val="0"/>
      <w:marTop w:val="0"/>
      <w:marBottom w:val="0"/>
      <w:divBdr>
        <w:top w:val="none" w:sz="0" w:space="0" w:color="auto"/>
        <w:left w:val="none" w:sz="0" w:space="0" w:color="auto"/>
        <w:bottom w:val="none" w:sz="0" w:space="0" w:color="auto"/>
        <w:right w:val="none" w:sz="0" w:space="0" w:color="auto"/>
      </w:divBdr>
    </w:div>
    <w:div w:id="2107342530">
      <w:bodyDiv w:val="1"/>
      <w:marLeft w:val="0"/>
      <w:marRight w:val="0"/>
      <w:marTop w:val="0"/>
      <w:marBottom w:val="0"/>
      <w:divBdr>
        <w:top w:val="none" w:sz="0" w:space="0" w:color="auto"/>
        <w:left w:val="none" w:sz="0" w:space="0" w:color="auto"/>
        <w:bottom w:val="none" w:sz="0" w:space="0" w:color="auto"/>
        <w:right w:val="none" w:sz="0" w:space="0" w:color="auto"/>
      </w:divBdr>
    </w:div>
    <w:div w:id="2109080249">
      <w:bodyDiv w:val="1"/>
      <w:marLeft w:val="0"/>
      <w:marRight w:val="0"/>
      <w:marTop w:val="0"/>
      <w:marBottom w:val="0"/>
      <w:divBdr>
        <w:top w:val="none" w:sz="0" w:space="0" w:color="auto"/>
        <w:left w:val="none" w:sz="0" w:space="0" w:color="auto"/>
        <w:bottom w:val="none" w:sz="0" w:space="0" w:color="auto"/>
        <w:right w:val="none" w:sz="0" w:space="0" w:color="auto"/>
      </w:divBdr>
    </w:div>
    <w:div w:id="2109814788">
      <w:bodyDiv w:val="1"/>
      <w:marLeft w:val="0"/>
      <w:marRight w:val="0"/>
      <w:marTop w:val="0"/>
      <w:marBottom w:val="0"/>
      <w:divBdr>
        <w:top w:val="none" w:sz="0" w:space="0" w:color="auto"/>
        <w:left w:val="none" w:sz="0" w:space="0" w:color="auto"/>
        <w:bottom w:val="none" w:sz="0" w:space="0" w:color="auto"/>
        <w:right w:val="none" w:sz="0" w:space="0" w:color="auto"/>
      </w:divBdr>
    </w:div>
    <w:div w:id="2110390557">
      <w:bodyDiv w:val="1"/>
      <w:marLeft w:val="0"/>
      <w:marRight w:val="0"/>
      <w:marTop w:val="0"/>
      <w:marBottom w:val="0"/>
      <w:divBdr>
        <w:top w:val="none" w:sz="0" w:space="0" w:color="auto"/>
        <w:left w:val="none" w:sz="0" w:space="0" w:color="auto"/>
        <w:bottom w:val="none" w:sz="0" w:space="0" w:color="auto"/>
        <w:right w:val="none" w:sz="0" w:space="0" w:color="auto"/>
      </w:divBdr>
    </w:div>
    <w:div w:id="2111780186">
      <w:bodyDiv w:val="1"/>
      <w:marLeft w:val="0"/>
      <w:marRight w:val="0"/>
      <w:marTop w:val="0"/>
      <w:marBottom w:val="0"/>
      <w:divBdr>
        <w:top w:val="none" w:sz="0" w:space="0" w:color="auto"/>
        <w:left w:val="none" w:sz="0" w:space="0" w:color="auto"/>
        <w:bottom w:val="none" w:sz="0" w:space="0" w:color="auto"/>
        <w:right w:val="none" w:sz="0" w:space="0" w:color="auto"/>
      </w:divBdr>
    </w:div>
    <w:div w:id="2111974052">
      <w:bodyDiv w:val="1"/>
      <w:marLeft w:val="0"/>
      <w:marRight w:val="0"/>
      <w:marTop w:val="0"/>
      <w:marBottom w:val="0"/>
      <w:divBdr>
        <w:top w:val="none" w:sz="0" w:space="0" w:color="auto"/>
        <w:left w:val="none" w:sz="0" w:space="0" w:color="auto"/>
        <w:bottom w:val="none" w:sz="0" w:space="0" w:color="auto"/>
        <w:right w:val="none" w:sz="0" w:space="0" w:color="auto"/>
      </w:divBdr>
    </w:div>
    <w:div w:id="2112165417">
      <w:bodyDiv w:val="1"/>
      <w:marLeft w:val="0"/>
      <w:marRight w:val="0"/>
      <w:marTop w:val="0"/>
      <w:marBottom w:val="0"/>
      <w:divBdr>
        <w:top w:val="none" w:sz="0" w:space="0" w:color="auto"/>
        <w:left w:val="none" w:sz="0" w:space="0" w:color="auto"/>
        <w:bottom w:val="none" w:sz="0" w:space="0" w:color="auto"/>
        <w:right w:val="none" w:sz="0" w:space="0" w:color="auto"/>
      </w:divBdr>
    </w:div>
    <w:div w:id="2112818988">
      <w:bodyDiv w:val="1"/>
      <w:marLeft w:val="0"/>
      <w:marRight w:val="0"/>
      <w:marTop w:val="0"/>
      <w:marBottom w:val="0"/>
      <w:divBdr>
        <w:top w:val="none" w:sz="0" w:space="0" w:color="auto"/>
        <w:left w:val="none" w:sz="0" w:space="0" w:color="auto"/>
        <w:bottom w:val="none" w:sz="0" w:space="0" w:color="auto"/>
        <w:right w:val="none" w:sz="0" w:space="0" w:color="auto"/>
      </w:divBdr>
    </w:div>
    <w:div w:id="2112969892">
      <w:bodyDiv w:val="1"/>
      <w:marLeft w:val="0"/>
      <w:marRight w:val="0"/>
      <w:marTop w:val="0"/>
      <w:marBottom w:val="0"/>
      <w:divBdr>
        <w:top w:val="none" w:sz="0" w:space="0" w:color="auto"/>
        <w:left w:val="none" w:sz="0" w:space="0" w:color="auto"/>
        <w:bottom w:val="none" w:sz="0" w:space="0" w:color="auto"/>
        <w:right w:val="none" w:sz="0" w:space="0" w:color="auto"/>
      </w:divBdr>
    </w:div>
    <w:div w:id="2113625738">
      <w:bodyDiv w:val="1"/>
      <w:marLeft w:val="0"/>
      <w:marRight w:val="0"/>
      <w:marTop w:val="0"/>
      <w:marBottom w:val="0"/>
      <w:divBdr>
        <w:top w:val="none" w:sz="0" w:space="0" w:color="auto"/>
        <w:left w:val="none" w:sz="0" w:space="0" w:color="auto"/>
        <w:bottom w:val="none" w:sz="0" w:space="0" w:color="auto"/>
        <w:right w:val="none" w:sz="0" w:space="0" w:color="auto"/>
      </w:divBdr>
    </w:div>
    <w:div w:id="2116362633">
      <w:bodyDiv w:val="1"/>
      <w:marLeft w:val="0"/>
      <w:marRight w:val="0"/>
      <w:marTop w:val="0"/>
      <w:marBottom w:val="0"/>
      <w:divBdr>
        <w:top w:val="none" w:sz="0" w:space="0" w:color="auto"/>
        <w:left w:val="none" w:sz="0" w:space="0" w:color="auto"/>
        <w:bottom w:val="none" w:sz="0" w:space="0" w:color="auto"/>
        <w:right w:val="none" w:sz="0" w:space="0" w:color="auto"/>
      </w:divBdr>
    </w:div>
    <w:div w:id="2118214400">
      <w:bodyDiv w:val="1"/>
      <w:marLeft w:val="0"/>
      <w:marRight w:val="0"/>
      <w:marTop w:val="0"/>
      <w:marBottom w:val="0"/>
      <w:divBdr>
        <w:top w:val="none" w:sz="0" w:space="0" w:color="auto"/>
        <w:left w:val="none" w:sz="0" w:space="0" w:color="auto"/>
        <w:bottom w:val="none" w:sz="0" w:space="0" w:color="auto"/>
        <w:right w:val="none" w:sz="0" w:space="0" w:color="auto"/>
      </w:divBdr>
    </w:div>
    <w:div w:id="2119642539">
      <w:bodyDiv w:val="1"/>
      <w:marLeft w:val="0"/>
      <w:marRight w:val="0"/>
      <w:marTop w:val="0"/>
      <w:marBottom w:val="0"/>
      <w:divBdr>
        <w:top w:val="none" w:sz="0" w:space="0" w:color="auto"/>
        <w:left w:val="none" w:sz="0" w:space="0" w:color="auto"/>
        <w:bottom w:val="none" w:sz="0" w:space="0" w:color="auto"/>
        <w:right w:val="none" w:sz="0" w:space="0" w:color="auto"/>
      </w:divBdr>
    </w:div>
    <w:div w:id="2125029691">
      <w:bodyDiv w:val="1"/>
      <w:marLeft w:val="0"/>
      <w:marRight w:val="0"/>
      <w:marTop w:val="0"/>
      <w:marBottom w:val="0"/>
      <w:divBdr>
        <w:top w:val="none" w:sz="0" w:space="0" w:color="auto"/>
        <w:left w:val="none" w:sz="0" w:space="0" w:color="auto"/>
        <w:bottom w:val="none" w:sz="0" w:space="0" w:color="auto"/>
        <w:right w:val="none" w:sz="0" w:space="0" w:color="auto"/>
      </w:divBdr>
    </w:div>
    <w:div w:id="2125032658">
      <w:bodyDiv w:val="1"/>
      <w:marLeft w:val="0"/>
      <w:marRight w:val="0"/>
      <w:marTop w:val="0"/>
      <w:marBottom w:val="0"/>
      <w:divBdr>
        <w:top w:val="none" w:sz="0" w:space="0" w:color="auto"/>
        <w:left w:val="none" w:sz="0" w:space="0" w:color="auto"/>
        <w:bottom w:val="none" w:sz="0" w:space="0" w:color="auto"/>
        <w:right w:val="none" w:sz="0" w:space="0" w:color="auto"/>
      </w:divBdr>
    </w:div>
    <w:div w:id="2125541765">
      <w:bodyDiv w:val="1"/>
      <w:marLeft w:val="0"/>
      <w:marRight w:val="0"/>
      <w:marTop w:val="0"/>
      <w:marBottom w:val="0"/>
      <w:divBdr>
        <w:top w:val="none" w:sz="0" w:space="0" w:color="auto"/>
        <w:left w:val="none" w:sz="0" w:space="0" w:color="auto"/>
        <w:bottom w:val="none" w:sz="0" w:space="0" w:color="auto"/>
        <w:right w:val="none" w:sz="0" w:space="0" w:color="auto"/>
      </w:divBdr>
    </w:div>
    <w:div w:id="2128505315">
      <w:bodyDiv w:val="1"/>
      <w:marLeft w:val="0"/>
      <w:marRight w:val="0"/>
      <w:marTop w:val="0"/>
      <w:marBottom w:val="0"/>
      <w:divBdr>
        <w:top w:val="none" w:sz="0" w:space="0" w:color="auto"/>
        <w:left w:val="none" w:sz="0" w:space="0" w:color="auto"/>
        <w:bottom w:val="none" w:sz="0" w:space="0" w:color="auto"/>
        <w:right w:val="none" w:sz="0" w:space="0" w:color="auto"/>
      </w:divBdr>
    </w:div>
    <w:div w:id="2129617204">
      <w:bodyDiv w:val="1"/>
      <w:marLeft w:val="0"/>
      <w:marRight w:val="0"/>
      <w:marTop w:val="0"/>
      <w:marBottom w:val="0"/>
      <w:divBdr>
        <w:top w:val="none" w:sz="0" w:space="0" w:color="auto"/>
        <w:left w:val="none" w:sz="0" w:space="0" w:color="auto"/>
        <w:bottom w:val="none" w:sz="0" w:space="0" w:color="auto"/>
        <w:right w:val="none" w:sz="0" w:space="0" w:color="auto"/>
      </w:divBdr>
    </w:div>
    <w:div w:id="2130124394">
      <w:bodyDiv w:val="1"/>
      <w:marLeft w:val="0"/>
      <w:marRight w:val="0"/>
      <w:marTop w:val="0"/>
      <w:marBottom w:val="0"/>
      <w:divBdr>
        <w:top w:val="none" w:sz="0" w:space="0" w:color="auto"/>
        <w:left w:val="none" w:sz="0" w:space="0" w:color="auto"/>
        <w:bottom w:val="none" w:sz="0" w:space="0" w:color="auto"/>
        <w:right w:val="none" w:sz="0" w:space="0" w:color="auto"/>
      </w:divBdr>
    </w:div>
    <w:div w:id="2130197373">
      <w:bodyDiv w:val="1"/>
      <w:marLeft w:val="0"/>
      <w:marRight w:val="0"/>
      <w:marTop w:val="0"/>
      <w:marBottom w:val="0"/>
      <w:divBdr>
        <w:top w:val="none" w:sz="0" w:space="0" w:color="auto"/>
        <w:left w:val="none" w:sz="0" w:space="0" w:color="auto"/>
        <w:bottom w:val="none" w:sz="0" w:space="0" w:color="auto"/>
        <w:right w:val="none" w:sz="0" w:space="0" w:color="auto"/>
      </w:divBdr>
    </w:div>
    <w:div w:id="2133287139">
      <w:bodyDiv w:val="1"/>
      <w:marLeft w:val="0"/>
      <w:marRight w:val="0"/>
      <w:marTop w:val="0"/>
      <w:marBottom w:val="0"/>
      <w:divBdr>
        <w:top w:val="none" w:sz="0" w:space="0" w:color="auto"/>
        <w:left w:val="none" w:sz="0" w:space="0" w:color="auto"/>
        <w:bottom w:val="none" w:sz="0" w:space="0" w:color="auto"/>
        <w:right w:val="none" w:sz="0" w:space="0" w:color="auto"/>
      </w:divBdr>
    </w:div>
    <w:div w:id="2134402131">
      <w:bodyDiv w:val="1"/>
      <w:marLeft w:val="0"/>
      <w:marRight w:val="0"/>
      <w:marTop w:val="0"/>
      <w:marBottom w:val="0"/>
      <w:divBdr>
        <w:top w:val="none" w:sz="0" w:space="0" w:color="auto"/>
        <w:left w:val="none" w:sz="0" w:space="0" w:color="auto"/>
        <w:bottom w:val="none" w:sz="0" w:space="0" w:color="auto"/>
        <w:right w:val="none" w:sz="0" w:space="0" w:color="auto"/>
      </w:divBdr>
    </w:div>
    <w:div w:id="2134446111">
      <w:bodyDiv w:val="1"/>
      <w:marLeft w:val="0"/>
      <w:marRight w:val="0"/>
      <w:marTop w:val="0"/>
      <w:marBottom w:val="0"/>
      <w:divBdr>
        <w:top w:val="none" w:sz="0" w:space="0" w:color="auto"/>
        <w:left w:val="none" w:sz="0" w:space="0" w:color="auto"/>
        <w:bottom w:val="none" w:sz="0" w:space="0" w:color="auto"/>
        <w:right w:val="none" w:sz="0" w:space="0" w:color="auto"/>
      </w:divBdr>
    </w:div>
    <w:div w:id="2134472116">
      <w:bodyDiv w:val="1"/>
      <w:marLeft w:val="0"/>
      <w:marRight w:val="0"/>
      <w:marTop w:val="0"/>
      <w:marBottom w:val="0"/>
      <w:divBdr>
        <w:top w:val="none" w:sz="0" w:space="0" w:color="auto"/>
        <w:left w:val="none" w:sz="0" w:space="0" w:color="auto"/>
        <w:bottom w:val="none" w:sz="0" w:space="0" w:color="auto"/>
        <w:right w:val="none" w:sz="0" w:space="0" w:color="auto"/>
      </w:divBdr>
    </w:div>
    <w:div w:id="2135294983">
      <w:bodyDiv w:val="1"/>
      <w:marLeft w:val="0"/>
      <w:marRight w:val="0"/>
      <w:marTop w:val="0"/>
      <w:marBottom w:val="0"/>
      <w:divBdr>
        <w:top w:val="none" w:sz="0" w:space="0" w:color="auto"/>
        <w:left w:val="none" w:sz="0" w:space="0" w:color="auto"/>
        <w:bottom w:val="none" w:sz="0" w:space="0" w:color="auto"/>
        <w:right w:val="none" w:sz="0" w:space="0" w:color="auto"/>
      </w:divBdr>
    </w:div>
    <w:div w:id="2135446642">
      <w:bodyDiv w:val="1"/>
      <w:marLeft w:val="0"/>
      <w:marRight w:val="0"/>
      <w:marTop w:val="0"/>
      <w:marBottom w:val="0"/>
      <w:divBdr>
        <w:top w:val="none" w:sz="0" w:space="0" w:color="auto"/>
        <w:left w:val="none" w:sz="0" w:space="0" w:color="auto"/>
        <w:bottom w:val="none" w:sz="0" w:space="0" w:color="auto"/>
        <w:right w:val="none" w:sz="0" w:space="0" w:color="auto"/>
      </w:divBdr>
    </w:div>
    <w:div w:id="2135707996">
      <w:bodyDiv w:val="1"/>
      <w:marLeft w:val="0"/>
      <w:marRight w:val="0"/>
      <w:marTop w:val="0"/>
      <w:marBottom w:val="0"/>
      <w:divBdr>
        <w:top w:val="none" w:sz="0" w:space="0" w:color="auto"/>
        <w:left w:val="none" w:sz="0" w:space="0" w:color="auto"/>
        <w:bottom w:val="none" w:sz="0" w:space="0" w:color="auto"/>
        <w:right w:val="none" w:sz="0" w:space="0" w:color="auto"/>
      </w:divBdr>
    </w:div>
    <w:div w:id="2136212600">
      <w:bodyDiv w:val="1"/>
      <w:marLeft w:val="0"/>
      <w:marRight w:val="0"/>
      <w:marTop w:val="0"/>
      <w:marBottom w:val="0"/>
      <w:divBdr>
        <w:top w:val="none" w:sz="0" w:space="0" w:color="auto"/>
        <w:left w:val="none" w:sz="0" w:space="0" w:color="auto"/>
        <w:bottom w:val="none" w:sz="0" w:space="0" w:color="auto"/>
        <w:right w:val="none" w:sz="0" w:space="0" w:color="auto"/>
      </w:divBdr>
    </w:div>
    <w:div w:id="2136828487">
      <w:bodyDiv w:val="1"/>
      <w:marLeft w:val="0"/>
      <w:marRight w:val="0"/>
      <w:marTop w:val="0"/>
      <w:marBottom w:val="0"/>
      <w:divBdr>
        <w:top w:val="none" w:sz="0" w:space="0" w:color="auto"/>
        <w:left w:val="none" w:sz="0" w:space="0" w:color="auto"/>
        <w:bottom w:val="none" w:sz="0" w:space="0" w:color="auto"/>
        <w:right w:val="none" w:sz="0" w:space="0" w:color="auto"/>
      </w:divBdr>
    </w:div>
    <w:div w:id="2137915991">
      <w:bodyDiv w:val="1"/>
      <w:marLeft w:val="0"/>
      <w:marRight w:val="0"/>
      <w:marTop w:val="0"/>
      <w:marBottom w:val="0"/>
      <w:divBdr>
        <w:top w:val="none" w:sz="0" w:space="0" w:color="auto"/>
        <w:left w:val="none" w:sz="0" w:space="0" w:color="auto"/>
        <w:bottom w:val="none" w:sz="0" w:space="0" w:color="auto"/>
        <w:right w:val="none" w:sz="0" w:space="0" w:color="auto"/>
      </w:divBdr>
    </w:div>
    <w:div w:id="2137940632">
      <w:bodyDiv w:val="1"/>
      <w:marLeft w:val="0"/>
      <w:marRight w:val="0"/>
      <w:marTop w:val="0"/>
      <w:marBottom w:val="0"/>
      <w:divBdr>
        <w:top w:val="none" w:sz="0" w:space="0" w:color="auto"/>
        <w:left w:val="none" w:sz="0" w:space="0" w:color="auto"/>
        <w:bottom w:val="none" w:sz="0" w:space="0" w:color="auto"/>
        <w:right w:val="none" w:sz="0" w:space="0" w:color="auto"/>
      </w:divBdr>
    </w:div>
    <w:div w:id="2138332600">
      <w:bodyDiv w:val="1"/>
      <w:marLeft w:val="0"/>
      <w:marRight w:val="0"/>
      <w:marTop w:val="0"/>
      <w:marBottom w:val="0"/>
      <w:divBdr>
        <w:top w:val="none" w:sz="0" w:space="0" w:color="auto"/>
        <w:left w:val="none" w:sz="0" w:space="0" w:color="auto"/>
        <w:bottom w:val="none" w:sz="0" w:space="0" w:color="auto"/>
        <w:right w:val="none" w:sz="0" w:space="0" w:color="auto"/>
      </w:divBdr>
    </w:div>
    <w:div w:id="2139713117">
      <w:bodyDiv w:val="1"/>
      <w:marLeft w:val="0"/>
      <w:marRight w:val="0"/>
      <w:marTop w:val="0"/>
      <w:marBottom w:val="0"/>
      <w:divBdr>
        <w:top w:val="none" w:sz="0" w:space="0" w:color="auto"/>
        <w:left w:val="none" w:sz="0" w:space="0" w:color="auto"/>
        <w:bottom w:val="none" w:sz="0" w:space="0" w:color="auto"/>
        <w:right w:val="none" w:sz="0" w:space="0" w:color="auto"/>
      </w:divBdr>
    </w:div>
    <w:div w:id="2140880968">
      <w:bodyDiv w:val="1"/>
      <w:marLeft w:val="0"/>
      <w:marRight w:val="0"/>
      <w:marTop w:val="0"/>
      <w:marBottom w:val="0"/>
      <w:divBdr>
        <w:top w:val="none" w:sz="0" w:space="0" w:color="auto"/>
        <w:left w:val="none" w:sz="0" w:space="0" w:color="auto"/>
        <w:bottom w:val="none" w:sz="0" w:space="0" w:color="auto"/>
        <w:right w:val="none" w:sz="0" w:space="0" w:color="auto"/>
      </w:divBdr>
    </w:div>
    <w:div w:id="2141651013">
      <w:bodyDiv w:val="1"/>
      <w:marLeft w:val="0"/>
      <w:marRight w:val="0"/>
      <w:marTop w:val="0"/>
      <w:marBottom w:val="0"/>
      <w:divBdr>
        <w:top w:val="none" w:sz="0" w:space="0" w:color="auto"/>
        <w:left w:val="none" w:sz="0" w:space="0" w:color="auto"/>
        <w:bottom w:val="none" w:sz="0" w:space="0" w:color="auto"/>
        <w:right w:val="none" w:sz="0" w:space="0" w:color="auto"/>
      </w:divBdr>
    </w:div>
    <w:div w:id="2141873723">
      <w:bodyDiv w:val="1"/>
      <w:marLeft w:val="0"/>
      <w:marRight w:val="0"/>
      <w:marTop w:val="0"/>
      <w:marBottom w:val="0"/>
      <w:divBdr>
        <w:top w:val="none" w:sz="0" w:space="0" w:color="auto"/>
        <w:left w:val="none" w:sz="0" w:space="0" w:color="auto"/>
        <w:bottom w:val="none" w:sz="0" w:space="0" w:color="auto"/>
        <w:right w:val="none" w:sz="0" w:space="0" w:color="auto"/>
      </w:divBdr>
    </w:div>
    <w:div w:id="2142065393">
      <w:bodyDiv w:val="1"/>
      <w:marLeft w:val="0"/>
      <w:marRight w:val="0"/>
      <w:marTop w:val="0"/>
      <w:marBottom w:val="0"/>
      <w:divBdr>
        <w:top w:val="none" w:sz="0" w:space="0" w:color="auto"/>
        <w:left w:val="none" w:sz="0" w:space="0" w:color="auto"/>
        <w:bottom w:val="none" w:sz="0" w:space="0" w:color="auto"/>
        <w:right w:val="none" w:sz="0" w:space="0" w:color="auto"/>
      </w:divBdr>
    </w:div>
    <w:div w:id="2142070752">
      <w:bodyDiv w:val="1"/>
      <w:marLeft w:val="0"/>
      <w:marRight w:val="0"/>
      <w:marTop w:val="0"/>
      <w:marBottom w:val="0"/>
      <w:divBdr>
        <w:top w:val="none" w:sz="0" w:space="0" w:color="auto"/>
        <w:left w:val="none" w:sz="0" w:space="0" w:color="auto"/>
        <w:bottom w:val="none" w:sz="0" w:space="0" w:color="auto"/>
        <w:right w:val="none" w:sz="0" w:space="0" w:color="auto"/>
      </w:divBdr>
    </w:div>
    <w:div w:id="2142528121">
      <w:bodyDiv w:val="1"/>
      <w:marLeft w:val="0"/>
      <w:marRight w:val="0"/>
      <w:marTop w:val="0"/>
      <w:marBottom w:val="0"/>
      <w:divBdr>
        <w:top w:val="none" w:sz="0" w:space="0" w:color="auto"/>
        <w:left w:val="none" w:sz="0" w:space="0" w:color="auto"/>
        <w:bottom w:val="none" w:sz="0" w:space="0" w:color="auto"/>
        <w:right w:val="none" w:sz="0" w:space="0" w:color="auto"/>
      </w:divBdr>
    </w:div>
    <w:div w:id="2143309516">
      <w:bodyDiv w:val="1"/>
      <w:marLeft w:val="0"/>
      <w:marRight w:val="0"/>
      <w:marTop w:val="0"/>
      <w:marBottom w:val="0"/>
      <w:divBdr>
        <w:top w:val="none" w:sz="0" w:space="0" w:color="auto"/>
        <w:left w:val="none" w:sz="0" w:space="0" w:color="auto"/>
        <w:bottom w:val="none" w:sz="0" w:space="0" w:color="auto"/>
        <w:right w:val="none" w:sz="0" w:space="0" w:color="auto"/>
      </w:divBdr>
    </w:div>
    <w:div w:id="2143452681">
      <w:bodyDiv w:val="1"/>
      <w:marLeft w:val="0"/>
      <w:marRight w:val="0"/>
      <w:marTop w:val="0"/>
      <w:marBottom w:val="0"/>
      <w:divBdr>
        <w:top w:val="none" w:sz="0" w:space="0" w:color="auto"/>
        <w:left w:val="none" w:sz="0" w:space="0" w:color="auto"/>
        <w:bottom w:val="none" w:sz="0" w:space="0" w:color="auto"/>
        <w:right w:val="none" w:sz="0" w:space="0" w:color="auto"/>
      </w:divBdr>
    </w:div>
    <w:div w:id="2144420640">
      <w:bodyDiv w:val="1"/>
      <w:marLeft w:val="0"/>
      <w:marRight w:val="0"/>
      <w:marTop w:val="0"/>
      <w:marBottom w:val="0"/>
      <w:divBdr>
        <w:top w:val="none" w:sz="0" w:space="0" w:color="auto"/>
        <w:left w:val="none" w:sz="0" w:space="0" w:color="auto"/>
        <w:bottom w:val="none" w:sz="0" w:space="0" w:color="auto"/>
        <w:right w:val="none" w:sz="0" w:space="0" w:color="auto"/>
      </w:divBdr>
    </w:div>
    <w:div w:id="2144421435">
      <w:bodyDiv w:val="1"/>
      <w:marLeft w:val="0"/>
      <w:marRight w:val="0"/>
      <w:marTop w:val="0"/>
      <w:marBottom w:val="0"/>
      <w:divBdr>
        <w:top w:val="none" w:sz="0" w:space="0" w:color="auto"/>
        <w:left w:val="none" w:sz="0" w:space="0" w:color="auto"/>
        <w:bottom w:val="none" w:sz="0" w:space="0" w:color="auto"/>
        <w:right w:val="none" w:sz="0" w:space="0" w:color="auto"/>
      </w:divBdr>
    </w:div>
    <w:div w:id="2144541409">
      <w:bodyDiv w:val="1"/>
      <w:marLeft w:val="0"/>
      <w:marRight w:val="0"/>
      <w:marTop w:val="0"/>
      <w:marBottom w:val="0"/>
      <w:divBdr>
        <w:top w:val="none" w:sz="0" w:space="0" w:color="auto"/>
        <w:left w:val="none" w:sz="0" w:space="0" w:color="auto"/>
        <w:bottom w:val="none" w:sz="0" w:space="0" w:color="auto"/>
        <w:right w:val="none" w:sz="0" w:space="0" w:color="auto"/>
      </w:divBdr>
    </w:div>
    <w:div w:id="2145191536">
      <w:bodyDiv w:val="1"/>
      <w:marLeft w:val="0"/>
      <w:marRight w:val="0"/>
      <w:marTop w:val="0"/>
      <w:marBottom w:val="0"/>
      <w:divBdr>
        <w:top w:val="none" w:sz="0" w:space="0" w:color="auto"/>
        <w:left w:val="none" w:sz="0" w:space="0" w:color="auto"/>
        <w:bottom w:val="none" w:sz="0" w:space="0" w:color="auto"/>
        <w:right w:val="none" w:sz="0" w:space="0" w:color="auto"/>
      </w:divBdr>
    </w:div>
    <w:div w:id="2146001580">
      <w:bodyDiv w:val="1"/>
      <w:marLeft w:val="0"/>
      <w:marRight w:val="0"/>
      <w:marTop w:val="0"/>
      <w:marBottom w:val="0"/>
      <w:divBdr>
        <w:top w:val="none" w:sz="0" w:space="0" w:color="auto"/>
        <w:left w:val="none" w:sz="0" w:space="0" w:color="auto"/>
        <w:bottom w:val="none" w:sz="0" w:space="0" w:color="auto"/>
        <w:right w:val="none" w:sz="0" w:space="0" w:color="auto"/>
      </w:divBdr>
    </w:div>
    <w:div w:id="2146005026">
      <w:bodyDiv w:val="1"/>
      <w:marLeft w:val="0"/>
      <w:marRight w:val="0"/>
      <w:marTop w:val="0"/>
      <w:marBottom w:val="0"/>
      <w:divBdr>
        <w:top w:val="none" w:sz="0" w:space="0" w:color="auto"/>
        <w:left w:val="none" w:sz="0" w:space="0" w:color="auto"/>
        <w:bottom w:val="none" w:sz="0" w:space="0" w:color="auto"/>
        <w:right w:val="none" w:sz="0" w:space="0" w:color="auto"/>
      </w:divBdr>
    </w:div>
    <w:div w:id="2146582883">
      <w:bodyDiv w:val="1"/>
      <w:marLeft w:val="0"/>
      <w:marRight w:val="0"/>
      <w:marTop w:val="0"/>
      <w:marBottom w:val="0"/>
      <w:divBdr>
        <w:top w:val="none" w:sz="0" w:space="0" w:color="auto"/>
        <w:left w:val="none" w:sz="0" w:space="0" w:color="auto"/>
        <w:bottom w:val="none" w:sz="0" w:space="0" w:color="auto"/>
        <w:right w:val="none" w:sz="0" w:space="0" w:color="auto"/>
      </w:divBdr>
    </w:div>
    <w:div w:id="21470450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chart" Target="charts/chart3.xml"/><Relationship Id="rId26" Type="http://schemas.openxmlformats.org/officeDocument/2006/relationships/image" Target="media/image13.png"/><Relationship Id="rId39" Type="http://schemas.openxmlformats.org/officeDocument/2006/relationships/image" Target="media/image26.png"/><Relationship Id="rId21" Type="http://schemas.openxmlformats.org/officeDocument/2006/relationships/image" Target="media/image8.png"/><Relationship Id="rId34" Type="http://schemas.openxmlformats.org/officeDocument/2006/relationships/image" Target="media/image21.png"/><Relationship Id="rId42" Type="http://schemas.openxmlformats.org/officeDocument/2006/relationships/chart" Target="charts/chart4.xml"/><Relationship Id="rId47" Type="http://schemas.openxmlformats.org/officeDocument/2006/relationships/chart" Target="charts/chart7.xml"/><Relationship Id="rId50" Type="http://schemas.openxmlformats.org/officeDocument/2006/relationships/image" Target="media/image36.png"/><Relationship Id="rId55" Type="http://schemas.openxmlformats.org/officeDocument/2006/relationships/chart" Target="charts/chart8.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7.png"/><Relationship Id="rId29" Type="http://schemas.openxmlformats.org/officeDocument/2006/relationships/image" Target="media/image16.png"/><Relationship Id="rId41" Type="http://schemas.openxmlformats.org/officeDocument/2006/relationships/image" Target="media/image28.png"/><Relationship Id="rId54" Type="http://schemas.openxmlformats.org/officeDocument/2006/relationships/hyperlink" Target="http://www.earthexplorer.usgs.gov"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image" Target="media/image24.png"/><Relationship Id="rId40" Type="http://schemas.openxmlformats.org/officeDocument/2006/relationships/image" Target="media/image27.png"/><Relationship Id="rId45" Type="http://schemas.openxmlformats.org/officeDocument/2006/relationships/chart" Target="charts/chart5.xml"/><Relationship Id="rId53" Type="http://schemas.openxmlformats.org/officeDocument/2006/relationships/hyperlink" Target="http://www.cwemf.org" TargetMode="External"/><Relationship Id="rId58"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chart" Target="charts/chart2.xml"/><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image" Target="media/image23.png"/><Relationship Id="rId49" Type="http://schemas.openxmlformats.org/officeDocument/2006/relationships/image" Target="media/image35.png"/><Relationship Id="rId57" Type="http://schemas.openxmlformats.org/officeDocument/2006/relationships/image" Target="media/image40.png"/><Relationship Id="rId61"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image" Target="media/image6.png"/><Relationship Id="rId31" Type="http://schemas.openxmlformats.org/officeDocument/2006/relationships/image" Target="media/image18.png"/><Relationship Id="rId44" Type="http://schemas.openxmlformats.org/officeDocument/2006/relationships/image" Target="media/image33.png"/><Relationship Id="rId52" Type="http://schemas.openxmlformats.org/officeDocument/2006/relationships/image" Target="media/image38.png"/><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chart" Target="charts/chart1.xml"/><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png"/><Relationship Id="rId43" Type="http://schemas.openxmlformats.org/officeDocument/2006/relationships/image" Target="media/image32.png"/><Relationship Id="rId48" Type="http://schemas.openxmlformats.org/officeDocument/2006/relationships/image" Target="media/image34.png"/><Relationship Id="rId56" Type="http://schemas.openxmlformats.org/officeDocument/2006/relationships/image" Target="media/image39.png"/><Relationship Id="rId8" Type="http://schemas.openxmlformats.org/officeDocument/2006/relationships/image" Target="media/image1.emf"/><Relationship Id="rId51" Type="http://schemas.openxmlformats.org/officeDocument/2006/relationships/image" Target="media/image37.png"/><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5.png"/><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image" Target="media/image25.png"/><Relationship Id="rId46" Type="http://schemas.openxmlformats.org/officeDocument/2006/relationships/chart" Target="charts/chart6.xml"/><Relationship Id="rId59" Type="http://schemas.openxmlformats.org/officeDocument/2006/relationships/footer" Target="footer2.xml"/></Relationships>
</file>

<file path=word/charts/_rels/chart1.xml.rels><?xml version="1.0" encoding="UTF-8" standalone="yes"?>
<Relationships xmlns="http://schemas.openxmlformats.org/package/2006/relationships"><Relationship Id="rId2" Type="http://schemas.openxmlformats.org/officeDocument/2006/relationships/oleObject" Target="file:///C:\Users\pc\Desktop\EXTRACTED_NMA_DATA\Monthly_filled_with_rira\Homogenity.xlsx"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3" Type="http://schemas.openxmlformats.org/officeDocument/2006/relationships/image" Target="../media/image30.jpeg"/><Relationship Id="rId2" Type="http://schemas.openxmlformats.org/officeDocument/2006/relationships/image" Target="../media/image29.jpeg"/><Relationship Id="rId1" Type="http://schemas.openxmlformats.org/officeDocument/2006/relationships/themeOverride" Target="../theme/themeOverride4.xml"/><Relationship Id="rId5" Type="http://schemas.openxmlformats.org/officeDocument/2006/relationships/oleObject" Target="file:///C:\Users\Abdul%20Gafar\Desktop\AHP_ALL\AHP_9.xlsx" TargetMode="External"/><Relationship Id="rId4" Type="http://schemas.openxmlformats.org/officeDocument/2006/relationships/image" Target="../media/image31.jpeg"/></Relationships>
</file>

<file path=word/charts/_rels/chart5.xml.rels><?xml version="1.0" encoding="UTF-8" standalone="yes"?>
<Relationships xmlns="http://schemas.openxmlformats.org/package/2006/relationships"><Relationship Id="rId1" Type="http://schemas.openxmlformats.org/officeDocument/2006/relationships/oleObject" Target="file:///C:\Users\Abdul%20Gafar\Desktop\Report_MXD_JPEG\GWP\GWP_OBO\GWP_Woredaa\GWP_Woredas\Suitable_GWPZ.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Abdul%20Gafar\Desktop\Report_MXD_JPEG\GWP\GWP_OBO\GWP_Woredaa\GWP_Woredas\Suitable_GWPZ.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Abdul%20Gafar\Desktop\Report_MXD_JPEG\GWP\GWP_OBO\GWP_GRAPH_and%20validation.xlsx" TargetMode="External"/></Relationships>
</file>

<file path=word/charts/_rels/chart8.xml.rels><?xml version="1.0" encoding="UTF-8" standalone="yes"?>
<Relationships xmlns="http://schemas.openxmlformats.org/package/2006/relationships"><Relationship Id="rId2" Type="http://schemas.openxmlformats.org/officeDocument/2006/relationships/oleObject" Target="file:///C:\Users\pc\Desktop\EXTRACTED_NMA_DATA\Temp\Temp_max.xlsx" TargetMode="External"/><Relationship Id="rId1" Type="http://schemas.openxmlformats.org/officeDocument/2006/relationships/themeOverride" Target="../theme/themeOverride5.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8519490396728561"/>
          <c:y val="3.1594925079514079E-2"/>
          <c:w val="0.76445032377361621"/>
          <c:h val="0.68637400825847938"/>
        </c:manualLayout>
      </c:layout>
      <c:barChart>
        <c:barDir val="col"/>
        <c:grouping val="clustered"/>
        <c:varyColors val="0"/>
        <c:ser>
          <c:idx val="0"/>
          <c:order val="0"/>
          <c:tx>
            <c:strRef>
              <c:f>HOMOGINITY_Latest!$A$3</c:f>
              <c:strCache>
                <c:ptCount val="1"/>
                <c:pt idx="0">
                  <c:v>AGARFA</c:v>
                </c:pt>
              </c:strCache>
            </c:strRef>
          </c:tx>
          <c:spPr>
            <a:solidFill>
              <a:srgbClr val="0070C0"/>
            </a:solidFill>
            <a:ln>
              <a:solidFill>
                <a:sysClr val="windowText" lastClr="000000"/>
              </a:solidFill>
            </a:ln>
            <a:effectLst/>
          </c:spPr>
          <c:invertIfNegative val="0"/>
          <c:cat>
            <c:strRef>
              <c:f>HOMOGINITY_Latest!$B$2:$M$2</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HOMOGINITY_Latest!$B$3:$M$3</c:f>
              <c:numCache>
                <c:formatCode>General</c:formatCode>
                <c:ptCount val="12"/>
                <c:pt idx="0">
                  <c:v>24.88439605875779</c:v>
                </c:pt>
                <c:pt idx="1">
                  <c:v>31.126961862310225</c:v>
                </c:pt>
                <c:pt idx="2">
                  <c:v>68.273391760944023</c:v>
                </c:pt>
                <c:pt idx="3">
                  <c:v>145.52527295032135</c:v>
                </c:pt>
                <c:pt idx="4">
                  <c:v>95.774801367743805</c:v>
                </c:pt>
                <c:pt idx="5">
                  <c:v>65.719391460373103</c:v>
                </c:pt>
                <c:pt idx="6">
                  <c:v>113.40285814895462</c:v>
                </c:pt>
                <c:pt idx="7">
                  <c:v>154.46573401330474</c:v>
                </c:pt>
                <c:pt idx="8">
                  <c:v>119.66061787807301</c:v>
                </c:pt>
                <c:pt idx="9">
                  <c:v>113.87203433043767</c:v>
                </c:pt>
                <c:pt idx="10">
                  <c:v>42.76608656258464</c:v>
                </c:pt>
                <c:pt idx="11">
                  <c:v>29.739188503882168</c:v>
                </c:pt>
              </c:numCache>
            </c:numRef>
          </c:val>
          <c:extLst xmlns:c16r2="http://schemas.microsoft.com/office/drawing/2015/06/chart">
            <c:ext xmlns:c16="http://schemas.microsoft.com/office/drawing/2014/chart" uri="{C3380CC4-5D6E-409C-BE32-E72D297353CC}">
              <c16:uniqueId val="{00000000-B531-4A9D-B09B-4A203759D02D}"/>
            </c:ext>
          </c:extLst>
        </c:ser>
        <c:ser>
          <c:idx val="1"/>
          <c:order val="1"/>
          <c:tx>
            <c:strRef>
              <c:f>HOMOGINITY_Latest!$A$4</c:f>
              <c:strCache>
                <c:ptCount val="1"/>
                <c:pt idx="0">
                  <c:v>DINSHO</c:v>
                </c:pt>
              </c:strCache>
            </c:strRef>
          </c:tx>
          <c:spPr>
            <a:solidFill>
              <a:srgbClr val="C00000"/>
            </a:solidFill>
            <a:ln>
              <a:solidFill>
                <a:sysClr val="windowText" lastClr="000000"/>
              </a:solidFill>
            </a:ln>
            <a:effectLst/>
          </c:spPr>
          <c:invertIfNegative val="0"/>
          <c:cat>
            <c:strRef>
              <c:f>HOMOGINITY_Latest!$B$2:$M$2</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HOMOGINITY_Latest!$B$4:$M$4</c:f>
              <c:numCache>
                <c:formatCode>General</c:formatCode>
                <c:ptCount val="12"/>
                <c:pt idx="0">
                  <c:v>21.076838408847017</c:v>
                </c:pt>
                <c:pt idx="1">
                  <c:v>38.691675502731435</c:v>
                </c:pt>
                <c:pt idx="2">
                  <c:v>79.123456864672349</c:v>
                </c:pt>
                <c:pt idx="3">
                  <c:v>204.06955519581135</c:v>
                </c:pt>
                <c:pt idx="4">
                  <c:v>124.09622113119934</c:v>
                </c:pt>
                <c:pt idx="5">
                  <c:v>81.38877533108915</c:v>
                </c:pt>
                <c:pt idx="6">
                  <c:v>174.94137043644807</c:v>
                </c:pt>
                <c:pt idx="7">
                  <c:v>187.7070069595087</c:v>
                </c:pt>
                <c:pt idx="8">
                  <c:v>154.93940099873933</c:v>
                </c:pt>
                <c:pt idx="9">
                  <c:v>162.75884126918166</c:v>
                </c:pt>
                <c:pt idx="10">
                  <c:v>66.378113153618628</c:v>
                </c:pt>
                <c:pt idx="11">
                  <c:v>43.281156592730802</c:v>
                </c:pt>
              </c:numCache>
            </c:numRef>
          </c:val>
          <c:extLst xmlns:c16r2="http://schemas.microsoft.com/office/drawing/2015/06/chart">
            <c:ext xmlns:c16="http://schemas.microsoft.com/office/drawing/2014/chart" uri="{C3380CC4-5D6E-409C-BE32-E72D297353CC}">
              <c16:uniqueId val="{00000001-B531-4A9D-B09B-4A203759D02D}"/>
            </c:ext>
          </c:extLst>
        </c:ser>
        <c:ser>
          <c:idx val="2"/>
          <c:order val="2"/>
          <c:tx>
            <c:strRef>
              <c:f>HOMOGINITY_Latest!$A$5</c:f>
              <c:strCache>
                <c:ptCount val="1"/>
                <c:pt idx="0">
                  <c:v>GINIR</c:v>
                </c:pt>
              </c:strCache>
            </c:strRef>
          </c:tx>
          <c:spPr>
            <a:solidFill>
              <a:schemeClr val="accent3"/>
            </a:solidFill>
            <a:ln>
              <a:solidFill>
                <a:sysClr val="windowText" lastClr="000000"/>
              </a:solidFill>
            </a:ln>
            <a:effectLst/>
          </c:spPr>
          <c:invertIfNegative val="0"/>
          <c:cat>
            <c:strRef>
              <c:f>HOMOGINITY_Latest!$B$2:$M$2</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HOMOGINITY_Latest!$B$5:$M$5</c:f>
              <c:numCache>
                <c:formatCode>General</c:formatCode>
                <c:ptCount val="12"/>
                <c:pt idx="0">
                  <c:v>21.792930261253211</c:v>
                </c:pt>
                <c:pt idx="1">
                  <c:v>31.681478219642717</c:v>
                </c:pt>
                <c:pt idx="2">
                  <c:v>72.411615385260674</c:v>
                </c:pt>
                <c:pt idx="3">
                  <c:v>196.72878971585166</c:v>
                </c:pt>
                <c:pt idx="4">
                  <c:v>134.80392470259878</c:v>
                </c:pt>
                <c:pt idx="5">
                  <c:v>38.619088974970602</c:v>
                </c:pt>
                <c:pt idx="6">
                  <c:v>34.279616908266675</c:v>
                </c:pt>
                <c:pt idx="7">
                  <c:v>56.456667335666552</c:v>
                </c:pt>
                <c:pt idx="8">
                  <c:v>105.15247036348826</c:v>
                </c:pt>
                <c:pt idx="9">
                  <c:v>169.03412895181432</c:v>
                </c:pt>
                <c:pt idx="10">
                  <c:v>79.868043287315729</c:v>
                </c:pt>
                <c:pt idx="11">
                  <c:v>31.861904275285337</c:v>
                </c:pt>
              </c:numCache>
            </c:numRef>
          </c:val>
          <c:extLst xmlns:c16r2="http://schemas.microsoft.com/office/drawing/2015/06/chart">
            <c:ext xmlns:c16="http://schemas.microsoft.com/office/drawing/2014/chart" uri="{C3380CC4-5D6E-409C-BE32-E72D297353CC}">
              <c16:uniqueId val="{00000002-B531-4A9D-B09B-4A203759D02D}"/>
            </c:ext>
          </c:extLst>
        </c:ser>
        <c:ser>
          <c:idx val="3"/>
          <c:order val="3"/>
          <c:tx>
            <c:strRef>
              <c:f>HOMOGINITY_Latest!$A$6</c:f>
              <c:strCache>
                <c:ptCount val="1"/>
                <c:pt idx="0">
                  <c:v>ROBE</c:v>
                </c:pt>
              </c:strCache>
            </c:strRef>
          </c:tx>
          <c:spPr>
            <a:solidFill>
              <a:schemeClr val="accent4"/>
            </a:solidFill>
            <a:ln>
              <a:solidFill>
                <a:sysClr val="windowText" lastClr="000000"/>
              </a:solidFill>
            </a:ln>
            <a:effectLst/>
          </c:spPr>
          <c:invertIfNegative val="0"/>
          <c:cat>
            <c:strRef>
              <c:f>HOMOGINITY_Latest!$B$2:$M$2</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HOMOGINITY_Latest!$B$6:$M$6</c:f>
              <c:numCache>
                <c:formatCode>General</c:formatCode>
                <c:ptCount val="12"/>
                <c:pt idx="0">
                  <c:v>17.04</c:v>
                </c:pt>
                <c:pt idx="1">
                  <c:v>22.536666666666665</c:v>
                </c:pt>
                <c:pt idx="2">
                  <c:v>61.393333333333338</c:v>
                </c:pt>
                <c:pt idx="3">
                  <c:v>108.32333333333334</c:v>
                </c:pt>
                <c:pt idx="4">
                  <c:v>73.373333333333349</c:v>
                </c:pt>
                <c:pt idx="5">
                  <c:v>54.620000000000005</c:v>
                </c:pt>
                <c:pt idx="6">
                  <c:v>99.049999999999983</c:v>
                </c:pt>
                <c:pt idx="7">
                  <c:v>142.84000000000003</c:v>
                </c:pt>
                <c:pt idx="8">
                  <c:v>103.45333333333335</c:v>
                </c:pt>
                <c:pt idx="9">
                  <c:v>87.95</c:v>
                </c:pt>
                <c:pt idx="10">
                  <c:v>39.023333333333326</c:v>
                </c:pt>
                <c:pt idx="11">
                  <c:v>29.946666666666665</c:v>
                </c:pt>
              </c:numCache>
            </c:numRef>
          </c:val>
          <c:extLst xmlns:c16r2="http://schemas.microsoft.com/office/drawing/2015/06/chart">
            <c:ext xmlns:c16="http://schemas.microsoft.com/office/drawing/2014/chart" uri="{C3380CC4-5D6E-409C-BE32-E72D297353CC}">
              <c16:uniqueId val="{00000003-B531-4A9D-B09B-4A203759D02D}"/>
            </c:ext>
          </c:extLst>
        </c:ser>
        <c:ser>
          <c:idx val="4"/>
          <c:order val="4"/>
          <c:tx>
            <c:strRef>
              <c:f>HOMOGINITY_Latest!$A$7</c:f>
              <c:strCache>
                <c:ptCount val="1"/>
                <c:pt idx="0">
                  <c:v>SINANA</c:v>
                </c:pt>
              </c:strCache>
            </c:strRef>
          </c:tx>
          <c:spPr>
            <a:solidFill>
              <a:srgbClr val="00B050"/>
            </a:solidFill>
            <a:ln>
              <a:solidFill>
                <a:sysClr val="windowText" lastClr="000000"/>
              </a:solidFill>
            </a:ln>
            <a:effectLst/>
          </c:spPr>
          <c:invertIfNegative val="0"/>
          <c:cat>
            <c:strRef>
              <c:f>HOMOGINITY_Latest!$B$2:$M$2</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HOMOGINITY_Latest!$B$7:$M$7</c:f>
              <c:numCache>
                <c:formatCode>General</c:formatCode>
                <c:ptCount val="12"/>
                <c:pt idx="0">
                  <c:v>21.985346847669501</c:v>
                </c:pt>
                <c:pt idx="1">
                  <c:v>16.279999999999998</c:v>
                </c:pt>
                <c:pt idx="2">
                  <c:v>70.406666666666666</c:v>
                </c:pt>
                <c:pt idx="3">
                  <c:v>140.34390026306772</c:v>
                </c:pt>
                <c:pt idx="4">
                  <c:v>118.37666666666665</c:v>
                </c:pt>
                <c:pt idx="5">
                  <c:v>46.944265673983736</c:v>
                </c:pt>
                <c:pt idx="6">
                  <c:v>58.421572033851582</c:v>
                </c:pt>
                <c:pt idx="7">
                  <c:v>83.3888992477047</c:v>
                </c:pt>
                <c:pt idx="8">
                  <c:v>139.31097307885156</c:v>
                </c:pt>
                <c:pt idx="9">
                  <c:v>119.45540628111779</c:v>
                </c:pt>
                <c:pt idx="10">
                  <c:v>48.76595616019214</c:v>
                </c:pt>
                <c:pt idx="11">
                  <c:v>21.024152674642895</c:v>
                </c:pt>
              </c:numCache>
            </c:numRef>
          </c:val>
          <c:extLst xmlns:c16r2="http://schemas.microsoft.com/office/drawing/2015/06/chart">
            <c:ext xmlns:c16="http://schemas.microsoft.com/office/drawing/2014/chart" uri="{C3380CC4-5D6E-409C-BE32-E72D297353CC}">
              <c16:uniqueId val="{00000004-B531-4A9D-B09B-4A203759D02D}"/>
            </c:ext>
          </c:extLst>
        </c:ser>
        <c:ser>
          <c:idx val="5"/>
          <c:order val="5"/>
          <c:tx>
            <c:strRef>
              <c:f>HOMOGINITY_Latest!$A$8</c:f>
              <c:strCache>
                <c:ptCount val="1"/>
              </c:strCache>
            </c:strRef>
          </c:tx>
          <c:spPr>
            <a:solidFill>
              <a:schemeClr val="accent6"/>
            </a:solidFill>
            <a:ln>
              <a:noFill/>
            </a:ln>
            <a:effectLst/>
          </c:spPr>
          <c:invertIfNegative val="0"/>
          <c:cat>
            <c:strRef>
              <c:f>HOMOGINITY_Latest!$B$2:$M$2</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HOMOGINITY_Latest!$B$8:$M$8</c:f>
              <c:numCache>
                <c:formatCode>General</c:formatCode>
                <c:ptCount val="12"/>
              </c:numCache>
            </c:numRef>
          </c:val>
          <c:extLst xmlns:c16r2="http://schemas.microsoft.com/office/drawing/2015/06/chart">
            <c:ext xmlns:c16="http://schemas.microsoft.com/office/drawing/2014/chart" uri="{C3380CC4-5D6E-409C-BE32-E72D297353CC}">
              <c16:uniqueId val="{00000005-B531-4A9D-B09B-4A203759D02D}"/>
            </c:ext>
          </c:extLst>
        </c:ser>
        <c:dLbls>
          <c:showLegendKey val="0"/>
          <c:showVal val="0"/>
          <c:showCatName val="0"/>
          <c:showSerName val="0"/>
          <c:showPercent val="0"/>
          <c:showBubbleSize val="0"/>
        </c:dLbls>
        <c:gapWidth val="219"/>
        <c:overlap val="-27"/>
        <c:axId val="632483488"/>
        <c:axId val="479759360"/>
      </c:barChart>
      <c:catAx>
        <c:axId val="632483488"/>
        <c:scaling>
          <c:orientation val="minMax"/>
        </c:scaling>
        <c:delete val="0"/>
        <c:axPos val="b"/>
        <c:title>
          <c:tx>
            <c:rich>
              <a:bodyPr rot="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800">
                    <a:latin typeface="Times New Roman" panose="02020603050405020304" pitchFamily="18" charset="0"/>
                    <a:cs typeface="Times New Roman" panose="02020603050405020304" pitchFamily="18" charset="0"/>
                  </a:rPr>
                  <a:t>Months</a:t>
                </a:r>
              </a:p>
            </c:rich>
          </c:tx>
          <c:layout>
            <c:manualLayout>
              <c:xMode val="edge"/>
              <c:yMode val="edge"/>
              <c:x val="0.49771276873750808"/>
              <c:y val="0.83139869881515283"/>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79759360"/>
        <c:crosses val="autoZero"/>
        <c:auto val="1"/>
        <c:lblAlgn val="ctr"/>
        <c:lblOffset val="100"/>
        <c:noMultiLvlLbl val="0"/>
      </c:catAx>
      <c:valAx>
        <c:axId val="479759360"/>
        <c:scaling>
          <c:orientation val="minMax"/>
        </c:scaling>
        <c:delete val="0"/>
        <c:axPos val="l"/>
        <c:majorGridlines>
          <c:spPr>
            <a:ln w="9525" cap="flat" cmpd="sng" algn="ctr">
              <a:solidFill>
                <a:sysClr val="window" lastClr="FFFFFF">
                  <a:lumMod val="85000"/>
                </a:sysClr>
              </a:solidFill>
              <a:round/>
            </a:ln>
            <a:effectLst/>
          </c:spPr>
        </c:majorGridlines>
        <c:minorGridlines>
          <c:spPr>
            <a:ln w="9525" cap="flat" cmpd="sng" algn="ctr">
              <a:solidFill>
                <a:sysClr val="window" lastClr="FFFFFF">
                  <a:lumMod val="95000"/>
                </a:sysClr>
              </a:solidFill>
              <a:round/>
            </a:ln>
            <a:effectLst/>
          </c:spPr>
        </c:min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900">
                    <a:latin typeface="Times New Roman" panose="02020603050405020304" pitchFamily="18" charset="0"/>
                    <a:cs typeface="Times New Roman" panose="02020603050405020304" pitchFamily="18" charset="0"/>
                  </a:rPr>
                  <a:t>Average rainfall (mm)</a:t>
                </a:r>
              </a:p>
            </c:rich>
          </c:tx>
          <c:layout>
            <c:manualLayout>
              <c:xMode val="edge"/>
              <c:yMode val="edge"/>
              <c:x val="1.4962612392608626E-2"/>
              <c:y val="0.18670804228101798"/>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632483488"/>
        <c:crosses val="autoZero"/>
        <c:crossBetween val="between"/>
      </c:valAx>
      <c:spPr>
        <a:noFill/>
        <a:ln>
          <a:noFill/>
        </a:ln>
        <a:effectLst/>
      </c:spPr>
    </c:plotArea>
    <c:legend>
      <c:legendPos val="b"/>
      <c:legendEntry>
        <c:idx val="5"/>
        <c:delete val="1"/>
      </c:legendEntry>
      <c:layout>
        <c:manualLayout>
          <c:xMode val="edge"/>
          <c:yMode val="edge"/>
          <c:x val="0.10398819167974797"/>
          <c:y val="0.9111913880137209"/>
          <c:w val="0.88909802960370399"/>
          <c:h val="8.8044106900006289E-2"/>
        </c:manualLayout>
      </c:layout>
      <c:overlay val="0"/>
      <c:spPr>
        <a:noFill/>
        <a:ln>
          <a:noFill/>
        </a:ln>
        <a:effectLst/>
      </c:spPr>
      <c:txPr>
        <a:bodyPr rot="0" spcFirstLastPara="1" vertOverflow="ellipsis" vert="horz" wrap="square" anchor="ctr" anchorCtr="1"/>
        <a:lstStyle/>
        <a:p>
          <a:pPr>
            <a:defRPr sz="6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12700" cap="flat" cmpd="sng" algn="ctr">
      <a:solidFill>
        <a:sysClr val="windowText" lastClr="000000"/>
      </a:solidFill>
      <a:round/>
    </a:ln>
    <a:effectLst/>
    <a:scene3d>
      <a:camera prst="orthographicFront"/>
      <a:lightRig rig="threePt" dir="t"/>
    </a:scene3d>
  </c:spPr>
  <c:txPr>
    <a:bodyPr/>
    <a:lstStyle/>
    <a:p>
      <a:pPr>
        <a:defRPr/>
      </a:pPr>
      <a:endParaRPr lang="en-US"/>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0151661482646514"/>
          <c:y val="5.201347235691299E-2"/>
          <c:w val="0.84270326666230433"/>
          <c:h val="0.65425553418167692"/>
        </c:manualLayout>
      </c:layout>
      <c:barChart>
        <c:barDir val="col"/>
        <c:grouping val="clustered"/>
        <c:varyColors val="0"/>
        <c:ser>
          <c:idx val="0"/>
          <c:order val="0"/>
          <c:tx>
            <c:strRef>
              <c:f>Sheet1!$B$37</c:f>
              <c:strCache>
                <c:ptCount val="1"/>
                <c:pt idx="0">
                  <c:v>Average maximum temprature</c:v>
                </c:pt>
              </c:strCache>
            </c:strRef>
          </c:tx>
          <c:spPr>
            <a:solidFill>
              <a:schemeClr val="accent1"/>
            </a:solidFill>
            <a:ln>
              <a:noFill/>
            </a:ln>
            <a:effectLst/>
          </c:spPr>
          <c:invertIfNegative val="0"/>
          <c:cat>
            <c:strRef>
              <c:f>Sheet1!$A$38:$A$49</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Sheet1!$B$38:$B$49</c:f>
              <c:numCache>
                <c:formatCode>General</c:formatCode>
                <c:ptCount val="12"/>
                <c:pt idx="0">
                  <c:v>22.242159858748551</c:v>
                </c:pt>
                <c:pt idx="1">
                  <c:v>23.253586986617073</c:v>
                </c:pt>
                <c:pt idx="2">
                  <c:v>23.174319225095303</c:v>
                </c:pt>
                <c:pt idx="3">
                  <c:v>21.639863400876742</c:v>
                </c:pt>
                <c:pt idx="4">
                  <c:v>21.58291340962618</c:v>
                </c:pt>
                <c:pt idx="5">
                  <c:v>21.759446248017298</c:v>
                </c:pt>
                <c:pt idx="6">
                  <c:v>21.357500945969292</c:v>
                </c:pt>
                <c:pt idx="7">
                  <c:v>21.264930433478625</c:v>
                </c:pt>
                <c:pt idx="8">
                  <c:v>21.266730659595492</c:v>
                </c:pt>
                <c:pt idx="9">
                  <c:v>19.807972259670336</c:v>
                </c:pt>
                <c:pt idx="10">
                  <c:v>20.58166000634133</c:v>
                </c:pt>
                <c:pt idx="11">
                  <c:v>21.402772860334757</c:v>
                </c:pt>
              </c:numCache>
            </c:numRef>
          </c:val>
        </c:ser>
        <c:ser>
          <c:idx val="1"/>
          <c:order val="1"/>
          <c:tx>
            <c:strRef>
              <c:f>Sheet1!$C$37</c:f>
              <c:strCache>
                <c:ptCount val="1"/>
                <c:pt idx="0">
                  <c:v>Average minimum temprature</c:v>
                </c:pt>
              </c:strCache>
            </c:strRef>
          </c:tx>
          <c:spPr>
            <a:solidFill>
              <a:schemeClr val="accent2"/>
            </a:solidFill>
            <a:ln>
              <a:noFill/>
            </a:ln>
            <a:effectLst/>
          </c:spPr>
          <c:invertIfNegative val="0"/>
          <c:cat>
            <c:strRef>
              <c:f>Sheet1!$A$38:$A$49</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Sheet1!$C$38:$C$49</c:f>
              <c:numCache>
                <c:formatCode>General</c:formatCode>
                <c:ptCount val="12"/>
                <c:pt idx="0">
                  <c:v>6.1431443419662326</c:v>
                </c:pt>
                <c:pt idx="1">
                  <c:v>7.0196808976766985</c:v>
                </c:pt>
                <c:pt idx="2">
                  <c:v>8.2883124818205545</c:v>
                </c:pt>
                <c:pt idx="3">
                  <c:v>9.4182435914019997</c:v>
                </c:pt>
                <c:pt idx="4">
                  <c:v>9.211392303815904</c:v>
                </c:pt>
                <c:pt idx="5">
                  <c:v>8.9090030666029456</c:v>
                </c:pt>
                <c:pt idx="6">
                  <c:v>8.7705800768450839</c:v>
                </c:pt>
                <c:pt idx="7">
                  <c:v>8.7038941042715638</c:v>
                </c:pt>
                <c:pt idx="8">
                  <c:v>8.7257069156547047</c:v>
                </c:pt>
                <c:pt idx="9">
                  <c:v>8.387531201665448</c:v>
                </c:pt>
                <c:pt idx="10">
                  <c:v>6.5651334767009217</c:v>
                </c:pt>
                <c:pt idx="11">
                  <c:v>5.9237163813378002</c:v>
                </c:pt>
              </c:numCache>
            </c:numRef>
          </c:val>
        </c:ser>
        <c:dLbls>
          <c:showLegendKey val="0"/>
          <c:showVal val="0"/>
          <c:showCatName val="0"/>
          <c:showSerName val="0"/>
          <c:showPercent val="0"/>
          <c:showBubbleSize val="0"/>
        </c:dLbls>
        <c:gapWidth val="150"/>
        <c:axId val="479758968"/>
        <c:axId val="479758576"/>
      </c:barChart>
      <c:catAx>
        <c:axId val="479758968"/>
        <c:scaling>
          <c:orientation val="minMax"/>
        </c:scaling>
        <c:delete val="0"/>
        <c:axPos val="b"/>
        <c:title>
          <c:tx>
            <c:rich>
              <a:bodyPr/>
              <a:lstStyle/>
              <a:p>
                <a:pPr>
                  <a:defRPr sz="800" b="0" i="0" u="none" strike="noStrike" baseline="0">
                    <a:solidFill>
                      <a:srgbClr val="333333"/>
                    </a:solidFill>
                    <a:latin typeface="Times New Roman"/>
                    <a:ea typeface="Times New Roman"/>
                    <a:cs typeface="Times New Roman"/>
                  </a:defRPr>
                </a:pPr>
                <a:r>
                  <a:rPr lang="en-US" sz="800"/>
                  <a:t>Months</a:t>
                </a:r>
              </a:p>
            </c:rich>
          </c:tx>
          <c:layout>
            <c:manualLayout>
              <c:xMode val="edge"/>
              <c:yMode val="edge"/>
              <c:x val="0.48303971149947722"/>
              <c:y val="0.82396225788232169"/>
            </c:manualLayout>
          </c:layout>
          <c:overlay val="0"/>
          <c:spPr>
            <a:noFill/>
            <a:ln>
              <a:noFill/>
            </a:ln>
            <a:effectLst/>
          </c:spPr>
        </c:title>
        <c:numFmt formatCode="General" sourceLinked="1"/>
        <c:majorTickMark val="none"/>
        <c:minorTickMark val="none"/>
        <c:tickLblPos val="nextTo"/>
        <c:spPr>
          <a:noFill/>
          <a:ln w="9524"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79758576"/>
        <c:crosses val="autoZero"/>
        <c:auto val="1"/>
        <c:lblAlgn val="ctr"/>
        <c:lblOffset val="100"/>
        <c:noMultiLvlLbl val="0"/>
      </c:catAx>
      <c:valAx>
        <c:axId val="479758576"/>
        <c:scaling>
          <c:orientation val="minMax"/>
        </c:scaling>
        <c:delete val="0"/>
        <c:axPos val="l"/>
        <c:majorGridlines>
          <c:spPr>
            <a:ln w="9524" cap="flat" cmpd="sng" algn="ctr">
              <a:solidFill>
                <a:sysClr val="window" lastClr="FFFFFF">
                  <a:lumMod val="85000"/>
                </a:sysClr>
              </a:solidFill>
              <a:round/>
            </a:ln>
            <a:effectLst/>
          </c:spPr>
        </c:majorGridlines>
        <c:minorGridlines>
          <c:spPr>
            <a:ln>
              <a:solidFill>
                <a:sysClr val="window" lastClr="FFFFFF">
                  <a:lumMod val="95000"/>
                </a:sysClr>
              </a:solidFill>
            </a:ln>
          </c:spPr>
        </c:minorGridlines>
        <c:title>
          <c:tx>
            <c:rich>
              <a:bodyPr/>
              <a:lstStyle/>
              <a:p>
                <a:pPr>
                  <a:defRPr sz="900" b="0" i="0" u="none" strike="noStrike" baseline="0">
                    <a:solidFill>
                      <a:srgbClr val="000000"/>
                    </a:solidFill>
                    <a:latin typeface="Calibri"/>
                    <a:ea typeface="Calibri"/>
                    <a:cs typeface="Calibri"/>
                  </a:defRPr>
                </a:pPr>
                <a:r>
                  <a:rPr lang="en-US" sz="900" b="0" i="0" u="none" strike="noStrike" baseline="0">
                    <a:solidFill>
                      <a:srgbClr val="333333"/>
                    </a:solidFill>
                    <a:latin typeface="Times New Roman"/>
                    <a:cs typeface="Times New Roman"/>
                  </a:rPr>
                  <a:t>Temprature </a:t>
                </a:r>
                <a:r>
                  <a:rPr lang="en-US" sz="900" b="0" i="0" u="none" strike="noStrike" baseline="30000">
                    <a:solidFill>
                      <a:srgbClr val="333333"/>
                    </a:solidFill>
                    <a:latin typeface="Times New Roman"/>
                    <a:cs typeface="Times New Roman"/>
                  </a:rPr>
                  <a:t>(0</a:t>
                </a:r>
                <a:r>
                  <a:rPr lang="en-US" sz="900" b="0" i="0" u="none" strike="noStrike" baseline="0">
                    <a:solidFill>
                      <a:srgbClr val="333333"/>
                    </a:solidFill>
                    <a:latin typeface="Times New Roman"/>
                    <a:cs typeface="Times New Roman"/>
                  </a:rPr>
                  <a:t>C</a:t>
                </a:r>
                <a:r>
                  <a:rPr lang="en-US" sz="900" b="0" i="0" u="none" strike="noStrike" baseline="30000">
                    <a:solidFill>
                      <a:srgbClr val="333333"/>
                    </a:solidFill>
                    <a:latin typeface="Times New Roman"/>
                    <a:cs typeface="Times New Roman"/>
                  </a:rPr>
                  <a:t>)</a:t>
                </a:r>
              </a:p>
            </c:rich>
          </c:tx>
          <c:layout>
            <c:manualLayout>
              <c:xMode val="edge"/>
              <c:yMode val="edge"/>
              <c:x val="0.94044306829510982"/>
              <c:y val="0.26954070891124188"/>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9758968"/>
        <c:crosses val="autoZero"/>
        <c:crossBetween val="between"/>
      </c:valAx>
      <c:spPr>
        <a:noFill/>
        <a:ln w="25398">
          <a:noFill/>
        </a:ln>
      </c:spPr>
    </c:plotArea>
    <c:legend>
      <c:legendPos val="b"/>
      <c:layout>
        <c:manualLayout>
          <c:xMode val="edge"/>
          <c:yMode val="edge"/>
          <c:x val="7.008092132527754E-3"/>
          <c:y val="0.88917191725915323"/>
          <c:w val="0.99060025737780011"/>
          <c:h val="0.10481416884983909"/>
        </c:manualLayout>
      </c:layout>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12700" cap="flat" cmpd="sng" algn="ctr">
      <a:solidFill>
        <a:sysClr val="windowText" lastClr="000000"/>
      </a:solidFill>
      <a:round/>
    </a:ln>
    <a:effectLst/>
  </c:spPr>
  <c:txPr>
    <a:bodyPr/>
    <a:lstStyle/>
    <a:p>
      <a:pPr>
        <a:defRPr/>
      </a:pPr>
      <a:endParaRPr lang="en-US"/>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3419239722771001"/>
          <c:y val="6.3699952987913228E-2"/>
          <c:w val="0.58186551855422686"/>
          <c:h val="0.74885848260636478"/>
        </c:manualLayout>
      </c:layout>
      <c:scatterChart>
        <c:scatterStyle val="lineMarker"/>
        <c:varyColors val="0"/>
        <c:ser>
          <c:idx val="0"/>
          <c:order val="0"/>
          <c:tx>
            <c:strRef>
              <c:f>ALL_CORRECTED!$I$1</c:f>
              <c:strCache>
                <c:ptCount val="1"/>
                <c:pt idx="0">
                  <c:v>Agarfa</c:v>
                </c:pt>
              </c:strCache>
            </c:strRef>
          </c:tx>
          <c:spPr>
            <a:ln w="25386" cap="rnd">
              <a:noFill/>
              <a:round/>
            </a:ln>
            <a:effectLst/>
          </c:spPr>
          <c:marker>
            <c:symbol val="diamond"/>
            <c:size val="5"/>
            <c:spPr>
              <a:solidFill>
                <a:schemeClr val="accent1"/>
              </a:solidFill>
              <a:ln w="9520">
                <a:solidFill>
                  <a:schemeClr val="accent1"/>
                </a:solidFill>
                <a:round/>
              </a:ln>
              <a:effectLst/>
            </c:spPr>
          </c:marker>
          <c:trendline>
            <c:spPr>
              <a:ln w="9520" cap="rnd">
                <a:solidFill>
                  <a:schemeClr val="accent1"/>
                </a:solidFill>
              </a:ln>
              <a:effectLst/>
            </c:spPr>
            <c:trendlineType val="linear"/>
            <c:dispRSqr val="0"/>
            <c:dispEq val="0"/>
          </c:trendline>
          <c:xVal>
            <c:numRef>
              <c:f>ALL_CORRECTED!$H$2:$H$31</c:f>
              <c:numCache>
                <c:formatCode>General</c:formatCode>
                <c:ptCount val="30"/>
                <c:pt idx="0">
                  <c:v>1571.9012833617535</c:v>
                </c:pt>
                <c:pt idx="1">
                  <c:v>2773.1622847194562</c:v>
                </c:pt>
                <c:pt idx="2">
                  <c:v>4089.1027985079218</c:v>
                </c:pt>
                <c:pt idx="3">
                  <c:v>5193.1423061929218</c:v>
                </c:pt>
                <c:pt idx="4">
                  <c:v>6674.3017719843465</c:v>
                </c:pt>
                <c:pt idx="5">
                  <c:v>8121.6149248366728</c:v>
                </c:pt>
                <c:pt idx="6">
                  <c:v>9511.7003358016045</c:v>
                </c:pt>
                <c:pt idx="7">
                  <c:v>10677.821580184327</c:v>
                </c:pt>
                <c:pt idx="8">
                  <c:v>11995.195667061404</c:v>
                </c:pt>
                <c:pt idx="9">
                  <c:v>13501.265507999158</c:v>
                </c:pt>
                <c:pt idx="10">
                  <c:v>15006.902225442558</c:v>
                </c:pt>
                <c:pt idx="11">
                  <c:v>16344.451394147558</c:v>
                </c:pt>
                <c:pt idx="12">
                  <c:v>17532.71505012214</c:v>
                </c:pt>
                <c:pt idx="13">
                  <c:v>18732.26837487139</c:v>
                </c:pt>
                <c:pt idx="14">
                  <c:v>19881.507877919459</c:v>
                </c:pt>
                <c:pt idx="15">
                  <c:v>20939.837309286067</c:v>
                </c:pt>
                <c:pt idx="16">
                  <c:v>22017.984031135522</c:v>
                </c:pt>
                <c:pt idx="17">
                  <c:v>23235.482353774467</c:v>
                </c:pt>
                <c:pt idx="18">
                  <c:v>24617.254671046514</c:v>
                </c:pt>
                <c:pt idx="19">
                  <c:v>25976.489204286194</c:v>
                </c:pt>
                <c:pt idx="20">
                  <c:v>27305.255167652398</c:v>
                </c:pt>
                <c:pt idx="21">
                  <c:v>28689.816915038929</c:v>
                </c:pt>
                <c:pt idx="22">
                  <c:v>30305.864449382399</c:v>
                </c:pt>
                <c:pt idx="23">
                  <c:v>31324.046265973826</c:v>
                </c:pt>
                <c:pt idx="24">
                  <c:v>32515.194633659656</c:v>
                </c:pt>
                <c:pt idx="25">
                  <c:v>33940.582068883443</c:v>
                </c:pt>
                <c:pt idx="26">
                  <c:v>35003.233727218612</c:v>
                </c:pt>
                <c:pt idx="27">
                  <c:v>35899.621358067758</c:v>
                </c:pt>
                <c:pt idx="28">
                  <c:v>37188.202102347757</c:v>
                </c:pt>
                <c:pt idx="29">
                  <c:v>38520.348062204896</c:v>
                </c:pt>
              </c:numCache>
            </c:numRef>
          </c:xVal>
          <c:yVal>
            <c:numRef>
              <c:f>ALL_CORRECTED!$I$2:$I$31</c:f>
              <c:numCache>
                <c:formatCode>General</c:formatCode>
                <c:ptCount val="30"/>
                <c:pt idx="0">
                  <c:v>1337.0851283799716</c:v>
                </c:pt>
                <c:pt idx="1">
                  <c:v>2307.6195283799716</c:v>
                </c:pt>
                <c:pt idx="2">
                  <c:v>3533.6294751427531</c:v>
                </c:pt>
                <c:pt idx="3">
                  <c:v>4447.3587751427531</c:v>
                </c:pt>
                <c:pt idx="4">
                  <c:v>5728.1459751427528</c:v>
                </c:pt>
                <c:pt idx="5">
                  <c:v>6926.3979751427523</c:v>
                </c:pt>
                <c:pt idx="6">
                  <c:v>8081.5969751427519</c:v>
                </c:pt>
                <c:pt idx="7">
                  <c:v>9050.4586979216419</c:v>
                </c:pt>
                <c:pt idx="8">
                  <c:v>9867.6566179216425</c:v>
                </c:pt>
                <c:pt idx="9">
                  <c:v>10844.61999550409</c:v>
                </c:pt>
                <c:pt idx="10">
                  <c:v>12018.717115504091</c:v>
                </c:pt>
                <c:pt idx="11">
                  <c:v>12897.61303550409</c:v>
                </c:pt>
                <c:pt idx="12">
                  <c:v>13760.435835504089</c:v>
                </c:pt>
                <c:pt idx="13">
                  <c:v>14604.969429194267</c:v>
                </c:pt>
                <c:pt idx="14">
                  <c:v>15570.543129194266</c:v>
                </c:pt>
                <c:pt idx="15">
                  <c:v>16208.326429194265</c:v>
                </c:pt>
                <c:pt idx="16">
                  <c:v>17002.885929194264</c:v>
                </c:pt>
                <c:pt idx="17">
                  <c:v>18165.617961194264</c:v>
                </c:pt>
                <c:pt idx="18">
                  <c:v>19167.193551594264</c:v>
                </c:pt>
                <c:pt idx="19">
                  <c:v>20403.200169070384</c:v>
                </c:pt>
                <c:pt idx="20">
                  <c:v>21470.485711470385</c:v>
                </c:pt>
                <c:pt idx="21">
                  <c:v>22571.147456770592</c:v>
                </c:pt>
                <c:pt idx="22">
                  <c:v>23872.76137037059</c:v>
                </c:pt>
                <c:pt idx="23">
                  <c:v>24532.570368770113</c:v>
                </c:pt>
                <c:pt idx="24">
                  <c:v>25323.560638813429</c:v>
                </c:pt>
                <c:pt idx="25">
                  <c:v>26569.265406813429</c:v>
                </c:pt>
                <c:pt idx="26">
                  <c:v>27336.826374486682</c:v>
                </c:pt>
                <c:pt idx="27">
                  <c:v>28075.696073203275</c:v>
                </c:pt>
                <c:pt idx="28">
                  <c:v>29224.645721203276</c:v>
                </c:pt>
                <c:pt idx="29">
                  <c:v>30125.215041203275</c:v>
                </c:pt>
              </c:numCache>
            </c:numRef>
          </c:yVal>
          <c:smooth val="0"/>
        </c:ser>
        <c:ser>
          <c:idx val="1"/>
          <c:order val="1"/>
          <c:tx>
            <c:strRef>
              <c:f>ALL_CORRECTED!$J$1</c:f>
              <c:strCache>
                <c:ptCount val="1"/>
                <c:pt idx="0">
                  <c:v>Dinsho</c:v>
                </c:pt>
              </c:strCache>
            </c:strRef>
          </c:tx>
          <c:spPr>
            <a:ln w="25386" cap="rnd">
              <a:noFill/>
              <a:round/>
            </a:ln>
            <a:effectLst/>
          </c:spPr>
          <c:marker>
            <c:symbol val="square"/>
            <c:size val="5"/>
            <c:spPr>
              <a:solidFill>
                <a:schemeClr val="accent2"/>
              </a:solidFill>
              <a:ln w="9520">
                <a:solidFill>
                  <a:schemeClr val="accent2"/>
                </a:solidFill>
                <a:round/>
              </a:ln>
              <a:effectLst/>
            </c:spPr>
          </c:marker>
          <c:trendline>
            <c:spPr>
              <a:ln w="9520" cap="rnd">
                <a:solidFill>
                  <a:schemeClr val="accent2"/>
                </a:solidFill>
              </a:ln>
              <a:effectLst/>
            </c:spPr>
            <c:trendlineType val="linear"/>
            <c:dispRSqr val="0"/>
            <c:dispEq val="0"/>
          </c:trendline>
          <c:xVal>
            <c:numRef>
              <c:f>ALL_CORRECTED!$H$2:$H$31</c:f>
              <c:numCache>
                <c:formatCode>General</c:formatCode>
                <c:ptCount val="30"/>
                <c:pt idx="0">
                  <c:v>1571.9012833617535</c:v>
                </c:pt>
                <c:pt idx="1">
                  <c:v>2773.1622847194562</c:v>
                </c:pt>
                <c:pt idx="2">
                  <c:v>4089.1027985079218</c:v>
                </c:pt>
                <c:pt idx="3">
                  <c:v>5193.1423061929218</c:v>
                </c:pt>
                <c:pt idx="4">
                  <c:v>6674.3017719843465</c:v>
                </c:pt>
                <c:pt idx="5">
                  <c:v>8121.6149248366728</c:v>
                </c:pt>
                <c:pt idx="6">
                  <c:v>9511.7003358016045</c:v>
                </c:pt>
                <c:pt idx="7">
                  <c:v>10677.821580184327</c:v>
                </c:pt>
                <c:pt idx="8">
                  <c:v>11995.195667061404</c:v>
                </c:pt>
                <c:pt idx="9">
                  <c:v>13501.265507999158</c:v>
                </c:pt>
                <c:pt idx="10">
                  <c:v>15006.902225442558</c:v>
                </c:pt>
                <c:pt idx="11">
                  <c:v>16344.451394147558</c:v>
                </c:pt>
                <c:pt idx="12">
                  <c:v>17532.71505012214</c:v>
                </c:pt>
                <c:pt idx="13">
                  <c:v>18732.26837487139</c:v>
                </c:pt>
                <c:pt idx="14">
                  <c:v>19881.507877919459</c:v>
                </c:pt>
                <c:pt idx="15">
                  <c:v>20939.837309286067</c:v>
                </c:pt>
                <c:pt idx="16">
                  <c:v>22017.984031135522</c:v>
                </c:pt>
                <c:pt idx="17">
                  <c:v>23235.482353774467</c:v>
                </c:pt>
                <c:pt idx="18">
                  <c:v>24617.254671046514</c:v>
                </c:pt>
                <c:pt idx="19">
                  <c:v>25976.489204286194</c:v>
                </c:pt>
                <c:pt idx="20">
                  <c:v>27305.255167652398</c:v>
                </c:pt>
                <c:pt idx="21">
                  <c:v>28689.816915038929</c:v>
                </c:pt>
                <c:pt idx="22">
                  <c:v>30305.864449382399</c:v>
                </c:pt>
                <c:pt idx="23">
                  <c:v>31324.046265973826</c:v>
                </c:pt>
                <c:pt idx="24">
                  <c:v>32515.194633659656</c:v>
                </c:pt>
                <c:pt idx="25">
                  <c:v>33940.582068883443</c:v>
                </c:pt>
                <c:pt idx="26">
                  <c:v>35003.233727218612</c:v>
                </c:pt>
                <c:pt idx="27">
                  <c:v>35899.621358067758</c:v>
                </c:pt>
                <c:pt idx="28">
                  <c:v>37188.202102347757</c:v>
                </c:pt>
                <c:pt idx="29">
                  <c:v>38520.348062204896</c:v>
                </c:pt>
              </c:numCache>
            </c:numRef>
          </c:xVal>
          <c:yVal>
            <c:numRef>
              <c:f>ALL_CORRECTED!$J$2:$J$31</c:f>
              <c:numCache>
                <c:formatCode>General</c:formatCode>
                <c:ptCount val="30"/>
                <c:pt idx="0">
                  <c:v>2285.2799999999997</c:v>
                </c:pt>
                <c:pt idx="1">
                  <c:v>3370.3739999999998</c:v>
                </c:pt>
                <c:pt idx="2">
                  <c:v>4430.6164999999992</c:v>
                </c:pt>
                <c:pt idx="3">
                  <c:v>5591.5069999999987</c:v>
                </c:pt>
                <c:pt idx="4">
                  <c:v>6930.5094999999983</c:v>
                </c:pt>
                <c:pt idx="5">
                  <c:v>8454.8574999999983</c:v>
                </c:pt>
                <c:pt idx="6">
                  <c:v>9972.5239999999976</c:v>
                </c:pt>
                <c:pt idx="7">
                  <c:v>11016.447999999997</c:v>
                </c:pt>
                <c:pt idx="8">
                  <c:v>12366.662999999997</c:v>
                </c:pt>
                <c:pt idx="9">
                  <c:v>13999.775798226976</c:v>
                </c:pt>
                <c:pt idx="10">
                  <c:v>15661.295798226976</c:v>
                </c:pt>
                <c:pt idx="11">
                  <c:v>17078.325798226975</c:v>
                </c:pt>
                <c:pt idx="12">
                  <c:v>18324.005798226975</c:v>
                </c:pt>
                <c:pt idx="13">
                  <c:v>19547.391870593172</c:v>
                </c:pt>
                <c:pt idx="14">
                  <c:v>20665.821353028947</c:v>
                </c:pt>
                <c:pt idx="15">
                  <c:v>21722.262517152387</c:v>
                </c:pt>
                <c:pt idx="16">
                  <c:v>22803.0784517102</c:v>
                </c:pt>
                <c:pt idx="17">
                  <c:v>24152.240246298155</c:v>
                </c:pt>
                <c:pt idx="18">
                  <c:v>25630.040819926337</c:v>
                </c:pt>
                <c:pt idx="19">
                  <c:v>27147.175215737276</c:v>
                </c:pt>
                <c:pt idx="20">
                  <c:v>28723.137874996515</c:v>
                </c:pt>
                <c:pt idx="21">
                  <c:v>30375.131317482435</c:v>
                </c:pt>
                <c:pt idx="22">
                  <c:v>32006.010135936314</c:v>
                </c:pt>
                <c:pt idx="23">
                  <c:v>33097.280095822491</c:v>
                </c:pt>
                <c:pt idx="24">
                  <c:v>34483.950095822489</c:v>
                </c:pt>
                <c:pt idx="25">
                  <c:v>35749.026959497649</c:v>
                </c:pt>
                <c:pt idx="26">
                  <c:v>36939.506959497652</c:v>
                </c:pt>
                <c:pt idx="27">
                  <c:v>37776.706959497649</c:v>
                </c:pt>
                <c:pt idx="28">
                  <c:v>39020.201959497652</c:v>
                </c:pt>
                <c:pt idx="29">
                  <c:v>40561.948664206211</c:v>
                </c:pt>
              </c:numCache>
            </c:numRef>
          </c:yVal>
          <c:smooth val="0"/>
        </c:ser>
        <c:ser>
          <c:idx val="2"/>
          <c:order val="2"/>
          <c:tx>
            <c:strRef>
              <c:f>ALL_CORRECTED!$K$1</c:f>
              <c:strCache>
                <c:ptCount val="1"/>
                <c:pt idx="0">
                  <c:v>Ginnir</c:v>
                </c:pt>
              </c:strCache>
            </c:strRef>
          </c:tx>
          <c:spPr>
            <a:ln w="25386" cap="rnd">
              <a:noFill/>
              <a:round/>
            </a:ln>
            <a:effectLst/>
          </c:spPr>
          <c:marker>
            <c:symbol val="triangle"/>
            <c:size val="5"/>
            <c:spPr>
              <a:solidFill>
                <a:schemeClr val="accent3"/>
              </a:solidFill>
              <a:ln w="9520">
                <a:solidFill>
                  <a:schemeClr val="accent3"/>
                </a:solidFill>
                <a:round/>
              </a:ln>
              <a:effectLst/>
            </c:spPr>
          </c:marker>
          <c:trendline>
            <c:spPr>
              <a:ln w="9520" cap="rnd">
                <a:solidFill>
                  <a:schemeClr val="accent3"/>
                </a:solidFill>
              </a:ln>
              <a:effectLst/>
            </c:spPr>
            <c:trendlineType val="linear"/>
            <c:dispRSqr val="0"/>
            <c:dispEq val="0"/>
          </c:trendline>
          <c:xVal>
            <c:numRef>
              <c:f>ALL_CORRECTED!$H$2:$H$31</c:f>
              <c:numCache>
                <c:formatCode>General</c:formatCode>
                <c:ptCount val="30"/>
                <c:pt idx="0">
                  <c:v>1571.9012833617535</c:v>
                </c:pt>
                <c:pt idx="1">
                  <c:v>2773.1622847194562</c:v>
                </c:pt>
                <c:pt idx="2">
                  <c:v>4089.1027985079218</c:v>
                </c:pt>
                <c:pt idx="3">
                  <c:v>5193.1423061929218</c:v>
                </c:pt>
                <c:pt idx="4">
                  <c:v>6674.3017719843465</c:v>
                </c:pt>
                <c:pt idx="5">
                  <c:v>8121.6149248366728</c:v>
                </c:pt>
                <c:pt idx="6">
                  <c:v>9511.7003358016045</c:v>
                </c:pt>
                <c:pt idx="7">
                  <c:v>10677.821580184327</c:v>
                </c:pt>
                <c:pt idx="8">
                  <c:v>11995.195667061404</c:v>
                </c:pt>
                <c:pt idx="9">
                  <c:v>13501.265507999158</c:v>
                </c:pt>
                <c:pt idx="10">
                  <c:v>15006.902225442558</c:v>
                </c:pt>
                <c:pt idx="11">
                  <c:v>16344.451394147558</c:v>
                </c:pt>
                <c:pt idx="12">
                  <c:v>17532.71505012214</c:v>
                </c:pt>
                <c:pt idx="13">
                  <c:v>18732.26837487139</c:v>
                </c:pt>
                <c:pt idx="14">
                  <c:v>19881.507877919459</c:v>
                </c:pt>
                <c:pt idx="15">
                  <c:v>20939.837309286067</c:v>
                </c:pt>
                <c:pt idx="16">
                  <c:v>22017.984031135522</c:v>
                </c:pt>
                <c:pt idx="17">
                  <c:v>23235.482353774467</c:v>
                </c:pt>
                <c:pt idx="18">
                  <c:v>24617.254671046514</c:v>
                </c:pt>
                <c:pt idx="19">
                  <c:v>25976.489204286194</c:v>
                </c:pt>
                <c:pt idx="20">
                  <c:v>27305.255167652398</c:v>
                </c:pt>
                <c:pt idx="21">
                  <c:v>28689.816915038929</c:v>
                </c:pt>
                <c:pt idx="22">
                  <c:v>30305.864449382399</c:v>
                </c:pt>
                <c:pt idx="23">
                  <c:v>31324.046265973826</c:v>
                </c:pt>
                <c:pt idx="24">
                  <c:v>32515.194633659656</c:v>
                </c:pt>
                <c:pt idx="25">
                  <c:v>33940.582068883443</c:v>
                </c:pt>
                <c:pt idx="26">
                  <c:v>35003.233727218612</c:v>
                </c:pt>
                <c:pt idx="27">
                  <c:v>35899.621358067758</c:v>
                </c:pt>
                <c:pt idx="28">
                  <c:v>37188.202102347757</c:v>
                </c:pt>
                <c:pt idx="29">
                  <c:v>38520.348062204896</c:v>
                </c:pt>
              </c:numCache>
            </c:numRef>
          </c:xVal>
          <c:yVal>
            <c:numRef>
              <c:f>ALL_CORRECTED!$K$2:$K$31</c:f>
              <c:numCache>
                <c:formatCode>General</c:formatCode>
                <c:ptCount val="30"/>
                <c:pt idx="0">
                  <c:v>1085.0585051342325</c:v>
                </c:pt>
                <c:pt idx="1">
                  <c:v>2297.5831105650436</c:v>
                </c:pt>
                <c:pt idx="2">
                  <c:v>3481.367968956125</c:v>
                </c:pt>
                <c:pt idx="3">
                  <c:v>4415.5958496961248</c:v>
                </c:pt>
                <c:pt idx="4">
                  <c:v>5751.7115128618243</c:v>
                </c:pt>
                <c:pt idx="5">
                  <c:v>6908.6971242711279</c:v>
                </c:pt>
                <c:pt idx="6">
                  <c:v>7874.1212681308589</c:v>
                </c:pt>
                <c:pt idx="7">
                  <c:v>8785.1876728828593</c:v>
                </c:pt>
                <c:pt idx="8">
                  <c:v>10118.942773070859</c:v>
                </c:pt>
                <c:pt idx="9">
                  <c:v>11521.604308226859</c:v>
                </c:pt>
                <c:pt idx="10">
                  <c:v>12797.982065678858</c:v>
                </c:pt>
                <c:pt idx="11">
                  <c:v>13834.930070498858</c:v>
                </c:pt>
                <c:pt idx="12">
                  <c:v>14949.714606182844</c:v>
                </c:pt>
                <c:pt idx="13">
                  <c:v>15827.740489123471</c:v>
                </c:pt>
                <c:pt idx="14">
                  <c:v>16907.476818879975</c:v>
                </c:pt>
                <c:pt idx="15">
                  <c:v>17856.952906266593</c:v>
                </c:pt>
                <c:pt idx="16">
                  <c:v>18688.273859106594</c:v>
                </c:pt>
                <c:pt idx="17">
                  <c:v>19511.45814348058</c:v>
                </c:pt>
                <c:pt idx="18">
                  <c:v>20601.63424854058</c:v>
                </c:pt>
                <c:pt idx="19">
                  <c:v>21437.945868212242</c:v>
                </c:pt>
                <c:pt idx="20">
                  <c:v>22340.805020017819</c:v>
                </c:pt>
                <c:pt idx="21">
                  <c:v>23536.964821777819</c:v>
                </c:pt>
                <c:pt idx="22">
                  <c:v>24845.053077097818</c:v>
                </c:pt>
                <c:pt idx="23">
                  <c:v>25611.476185177817</c:v>
                </c:pt>
                <c:pt idx="24">
                  <c:v>26567.966685877818</c:v>
                </c:pt>
                <c:pt idx="25">
                  <c:v>27683.372295097819</c:v>
                </c:pt>
                <c:pt idx="26">
                  <c:v>28561.044126872737</c:v>
                </c:pt>
                <c:pt idx="27">
                  <c:v>29291.315201552738</c:v>
                </c:pt>
                <c:pt idx="28">
                  <c:v>30346.998530672736</c:v>
                </c:pt>
                <c:pt idx="29">
                  <c:v>31505.533845392736</c:v>
                </c:pt>
              </c:numCache>
            </c:numRef>
          </c:yVal>
          <c:smooth val="0"/>
        </c:ser>
        <c:ser>
          <c:idx val="3"/>
          <c:order val="3"/>
          <c:tx>
            <c:strRef>
              <c:f>ALL_CORRECTED!$L$1</c:f>
              <c:strCache>
                <c:ptCount val="1"/>
                <c:pt idx="0">
                  <c:v>Robe</c:v>
                </c:pt>
              </c:strCache>
            </c:strRef>
          </c:tx>
          <c:spPr>
            <a:ln w="25386" cap="rnd">
              <a:noFill/>
              <a:round/>
            </a:ln>
            <a:effectLst/>
          </c:spPr>
          <c:marker>
            <c:symbol val="x"/>
            <c:size val="5"/>
            <c:spPr>
              <a:noFill/>
              <a:ln w="9520">
                <a:solidFill>
                  <a:schemeClr val="accent4"/>
                </a:solidFill>
                <a:round/>
              </a:ln>
              <a:effectLst/>
            </c:spPr>
          </c:marker>
          <c:trendline>
            <c:spPr>
              <a:ln w="9520" cap="rnd">
                <a:solidFill>
                  <a:schemeClr val="accent4"/>
                </a:solidFill>
              </a:ln>
              <a:effectLst/>
            </c:spPr>
            <c:trendlineType val="linear"/>
            <c:dispRSqr val="0"/>
            <c:dispEq val="0"/>
          </c:trendline>
          <c:trendline>
            <c:spPr>
              <a:ln w="9520" cap="rnd">
                <a:solidFill>
                  <a:schemeClr val="accent4"/>
                </a:solidFill>
              </a:ln>
              <a:effectLst/>
            </c:spPr>
            <c:trendlineType val="linear"/>
            <c:dispRSqr val="0"/>
            <c:dispEq val="0"/>
          </c:trendline>
          <c:xVal>
            <c:numRef>
              <c:f>ALL_CORRECTED!$H$2:$H$31</c:f>
              <c:numCache>
                <c:formatCode>General</c:formatCode>
                <c:ptCount val="30"/>
                <c:pt idx="0">
                  <c:v>1571.9012833617535</c:v>
                </c:pt>
                <c:pt idx="1">
                  <c:v>2773.1622847194562</c:v>
                </c:pt>
                <c:pt idx="2">
                  <c:v>4089.1027985079218</c:v>
                </c:pt>
                <c:pt idx="3">
                  <c:v>5193.1423061929218</c:v>
                </c:pt>
                <c:pt idx="4">
                  <c:v>6674.3017719843465</c:v>
                </c:pt>
                <c:pt idx="5">
                  <c:v>8121.6149248366728</c:v>
                </c:pt>
                <c:pt idx="6">
                  <c:v>9511.7003358016045</c:v>
                </c:pt>
                <c:pt idx="7">
                  <c:v>10677.821580184327</c:v>
                </c:pt>
                <c:pt idx="8">
                  <c:v>11995.195667061404</c:v>
                </c:pt>
                <c:pt idx="9">
                  <c:v>13501.265507999158</c:v>
                </c:pt>
                <c:pt idx="10">
                  <c:v>15006.902225442558</c:v>
                </c:pt>
                <c:pt idx="11">
                  <c:v>16344.451394147558</c:v>
                </c:pt>
                <c:pt idx="12">
                  <c:v>17532.71505012214</c:v>
                </c:pt>
                <c:pt idx="13">
                  <c:v>18732.26837487139</c:v>
                </c:pt>
                <c:pt idx="14">
                  <c:v>19881.507877919459</c:v>
                </c:pt>
                <c:pt idx="15">
                  <c:v>20939.837309286067</c:v>
                </c:pt>
                <c:pt idx="16">
                  <c:v>22017.984031135522</c:v>
                </c:pt>
                <c:pt idx="17">
                  <c:v>23235.482353774467</c:v>
                </c:pt>
                <c:pt idx="18">
                  <c:v>24617.254671046514</c:v>
                </c:pt>
                <c:pt idx="19">
                  <c:v>25976.489204286194</c:v>
                </c:pt>
                <c:pt idx="20">
                  <c:v>27305.255167652398</c:v>
                </c:pt>
                <c:pt idx="21">
                  <c:v>28689.816915038929</c:v>
                </c:pt>
                <c:pt idx="22">
                  <c:v>30305.864449382399</c:v>
                </c:pt>
                <c:pt idx="23">
                  <c:v>31324.046265973826</c:v>
                </c:pt>
                <c:pt idx="24">
                  <c:v>32515.194633659656</c:v>
                </c:pt>
                <c:pt idx="25">
                  <c:v>33940.582068883443</c:v>
                </c:pt>
                <c:pt idx="26">
                  <c:v>35003.233727218612</c:v>
                </c:pt>
                <c:pt idx="27">
                  <c:v>35899.621358067758</c:v>
                </c:pt>
                <c:pt idx="28">
                  <c:v>37188.202102347757</c:v>
                </c:pt>
                <c:pt idx="29">
                  <c:v>38520.348062204896</c:v>
                </c:pt>
              </c:numCache>
            </c:numRef>
          </c:xVal>
          <c:yVal>
            <c:numRef>
              <c:f>ALL_CORRECTED!$L$2:$L$31</c:f>
              <c:numCache>
                <c:formatCode>General</c:formatCode>
                <c:ptCount val="30"/>
                <c:pt idx="0">
                  <c:v>459.42750000000001</c:v>
                </c:pt>
                <c:pt idx="1">
                  <c:v>996.41849999999999</c:v>
                </c:pt>
                <c:pt idx="2">
                  <c:v>1792.2232500000002</c:v>
                </c:pt>
                <c:pt idx="3">
                  <c:v>2459.0550000000003</c:v>
                </c:pt>
                <c:pt idx="4">
                  <c:v>3457.9815000000003</c:v>
                </c:pt>
                <c:pt idx="5">
                  <c:v>4443.2385000000004</c:v>
                </c:pt>
                <c:pt idx="6">
                  <c:v>5475.4125000000004</c:v>
                </c:pt>
                <c:pt idx="7">
                  <c:v>6293.8372500000005</c:v>
                </c:pt>
                <c:pt idx="8">
                  <c:v>7254.2610000000004</c:v>
                </c:pt>
                <c:pt idx="9">
                  <c:v>8215.4354999999996</c:v>
                </c:pt>
                <c:pt idx="10">
                  <c:v>9212.4315000000006</c:v>
                </c:pt>
                <c:pt idx="11">
                  <c:v>10151.40525</c:v>
                </c:pt>
                <c:pt idx="12">
                  <c:v>10981.30575</c:v>
                </c:pt>
                <c:pt idx="13">
                  <c:v>11859.790499999999</c:v>
                </c:pt>
                <c:pt idx="14">
                  <c:v>12492.467999999999</c:v>
                </c:pt>
                <c:pt idx="15">
                  <c:v>13361.582999999999</c:v>
                </c:pt>
                <c:pt idx="16">
                  <c:v>14223.580499999998</c:v>
                </c:pt>
                <c:pt idx="17">
                  <c:v>14948.375999999998</c:v>
                </c:pt>
                <c:pt idx="18">
                  <c:v>15909.141</c:v>
                </c:pt>
                <c:pt idx="19">
                  <c:v>16802.728500000001</c:v>
                </c:pt>
                <c:pt idx="20">
                  <c:v>17609.736000000001</c:v>
                </c:pt>
                <c:pt idx="21">
                  <c:v>18451.686000000002</c:v>
                </c:pt>
                <c:pt idx="22">
                  <c:v>19596.150750000001</c:v>
                </c:pt>
                <c:pt idx="23">
                  <c:v>20346.120750000002</c:v>
                </c:pt>
                <c:pt idx="24">
                  <c:v>21180.038250000001</c:v>
                </c:pt>
                <c:pt idx="25">
                  <c:v>22164.300750000002</c:v>
                </c:pt>
                <c:pt idx="26">
                  <c:v>22809.555750000003</c:v>
                </c:pt>
                <c:pt idx="27">
                  <c:v>23484.265500000005</c:v>
                </c:pt>
                <c:pt idx="28">
                  <c:v>24254.710500000005</c:v>
                </c:pt>
                <c:pt idx="29">
                  <c:v>25213.038000000004</c:v>
                </c:pt>
              </c:numCache>
            </c:numRef>
          </c:yVal>
          <c:smooth val="0"/>
        </c:ser>
        <c:ser>
          <c:idx val="4"/>
          <c:order val="4"/>
          <c:tx>
            <c:strRef>
              <c:f>ALL_CORRECTED!$M$1</c:f>
              <c:strCache>
                <c:ptCount val="1"/>
                <c:pt idx="0">
                  <c:v>Sinana</c:v>
                </c:pt>
              </c:strCache>
            </c:strRef>
          </c:tx>
          <c:spPr>
            <a:ln w="25386" cap="rnd">
              <a:noFill/>
              <a:round/>
            </a:ln>
            <a:effectLst/>
          </c:spPr>
          <c:marker>
            <c:symbol val="star"/>
            <c:size val="5"/>
            <c:spPr>
              <a:noFill/>
              <a:ln w="9520">
                <a:solidFill>
                  <a:schemeClr val="accent5"/>
                </a:solidFill>
                <a:round/>
              </a:ln>
              <a:effectLst/>
            </c:spPr>
          </c:marker>
          <c:trendline>
            <c:spPr>
              <a:ln w="9520" cap="rnd">
                <a:solidFill>
                  <a:schemeClr val="accent5"/>
                </a:solidFill>
              </a:ln>
              <a:effectLst/>
            </c:spPr>
            <c:trendlineType val="linear"/>
            <c:dispRSqr val="0"/>
            <c:dispEq val="0"/>
          </c:trendline>
          <c:xVal>
            <c:numRef>
              <c:f>ALL_CORRECTED!$H$2:$H$31</c:f>
              <c:numCache>
                <c:formatCode>General</c:formatCode>
                <c:ptCount val="30"/>
                <c:pt idx="0">
                  <c:v>1571.9012833617535</c:v>
                </c:pt>
                <c:pt idx="1">
                  <c:v>2773.1622847194562</c:v>
                </c:pt>
                <c:pt idx="2">
                  <c:v>4089.1027985079218</c:v>
                </c:pt>
                <c:pt idx="3">
                  <c:v>5193.1423061929218</c:v>
                </c:pt>
                <c:pt idx="4">
                  <c:v>6674.3017719843465</c:v>
                </c:pt>
                <c:pt idx="5">
                  <c:v>8121.6149248366728</c:v>
                </c:pt>
                <c:pt idx="6">
                  <c:v>9511.7003358016045</c:v>
                </c:pt>
                <c:pt idx="7">
                  <c:v>10677.821580184327</c:v>
                </c:pt>
                <c:pt idx="8">
                  <c:v>11995.195667061404</c:v>
                </c:pt>
                <c:pt idx="9">
                  <c:v>13501.265507999158</c:v>
                </c:pt>
                <c:pt idx="10">
                  <c:v>15006.902225442558</c:v>
                </c:pt>
                <c:pt idx="11">
                  <c:v>16344.451394147558</c:v>
                </c:pt>
                <c:pt idx="12">
                  <c:v>17532.71505012214</c:v>
                </c:pt>
                <c:pt idx="13">
                  <c:v>18732.26837487139</c:v>
                </c:pt>
                <c:pt idx="14">
                  <c:v>19881.507877919459</c:v>
                </c:pt>
                <c:pt idx="15">
                  <c:v>20939.837309286067</c:v>
                </c:pt>
                <c:pt idx="16">
                  <c:v>22017.984031135522</c:v>
                </c:pt>
                <c:pt idx="17">
                  <c:v>23235.482353774467</c:v>
                </c:pt>
                <c:pt idx="18">
                  <c:v>24617.254671046514</c:v>
                </c:pt>
                <c:pt idx="19">
                  <c:v>25976.489204286194</c:v>
                </c:pt>
                <c:pt idx="20">
                  <c:v>27305.255167652398</c:v>
                </c:pt>
                <c:pt idx="21">
                  <c:v>28689.816915038929</c:v>
                </c:pt>
                <c:pt idx="22">
                  <c:v>30305.864449382399</c:v>
                </c:pt>
                <c:pt idx="23">
                  <c:v>31324.046265973826</c:v>
                </c:pt>
                <c:pt idx="24">
                  <c:v>32515.194633659656</c:v>
                </c:pt>
                <c:pt idx="25">
                  <c:v>33940.582068883443</c:v>
                </c:pt>
                <c:pt idx="26">
                  <c:v>35003.233727218612</c:v>
                </c:pt>
                <c:pt idx="27">
                  <c:v>35899.621358067758</c:v>
                </c:pt>
                <c:pt idx="28">
                  <c:v>37188.202102347757</c:v>
                </c:pt>
                <c:pt idx="29">
                  <c:v>38520.348062204896</c:v>
                </c:pt>
              </c:numCache>
            </c:numRef>
          </c:xVal>
          <c:yVal>
            <c:numRef>
              <c:f>ALL_CORRECTED!$M$2:$M$31</c:f>
              <c:numCache>
                <c:formatCode>General</c:formatCode>
                <c:ptCount val="30"/>
                <c:pt idx="0">
                  <c:v>1120.7539999328105</c:v>
                </c:pt>
                <c:pt idx="1">
                  <c:v>2120.6539999328106</c:v>
                </c:pt>
                <c:pt idx="2">
                  <c:v>3118.5739999328107</c:v>
                </c:pt>
                <c:pt idx="3">
                  <c:v>3859.0525999328106</c:v>
                </c:pt>
                <c:pt idx="4">
                  <c:v>4828.8585999328106</c:v>
                </c:pt>
                <c:pt idx="5">
                  <c:v>5753.2685999328105</c:v>
                </c:pt>
                <c:pt idx="6">
                  <c:v>6643.1465999328102</c:v>
                </c:pt>
                <c:pt idx="7">
                  <c:v>7565.35469993281</c:v>
                </c:pt>
                <c:pt idx="8">
                  <c:v>8373.2592772531152</c:v>
                </c:pt>
                <c:pt idx="9">
                  <c:v>9423.6264300387065</c:v>
                </c:pt>
                <c:pt idx="10">
                  <c:v>10337.182422360309</c:v>
                </c:pt>
                <c:pt idx="11">
                  <c:v>11415.531422360309</c:v>
                </c:pt>
                <c:pt idx="12">
                  <c:v>12115.398210574647</c:v>
                </c:pt>
                <c:pt idx="13">
                  <c:v>13089.181210574647</c:v>
                </c:pt>
                <c:pt idx="14">
                  <c:v>13889.722210574646</c:v>
                </c:pt>
                <c:pt idx="15">
                  <c:v>14610.224384531017</c:v>
                </c:pt>
                <c:pt idx="16">
                  <c:v>15354.117384531017</c:v>
                </c:pt>
                <c:pt idx="17">
                  <c:v>16164.237064124851</c:v>
                </c:pt>
                <c:pt idx="18">
                  <c:v>17161.00906412485</c:v>
                </c:pt>
                <c:pt idx="19">
                  <c:v>18114.907064124851</c:v>
                </c:pt>
                <c:pt idx="20">
                  <c:v>19076.856064124851</c:v>
                </c:pt>
                <c:pt idx="21">
                  <c:v>19824.338064124851</c:v>
                </c:pt>
                <c:pt idx="22">
                  <c:v>20903.482464124852</c:v>
                </c:pt>
                <c:pt idx="23">
                  <c:v>21708.737664124852</c:v>
                </c:pt>
                <c:pt idx="24">
                  <c:v>22505.262864124852</c:v>
                </c:pt>
                <c:pt idx="25">
                  <c:v>23596.362864124851</c:v>
                </c:pt>
                <c:pt idx="26">
                  <c:v>24366.001698017364</c:v>
                </c:pt>
                <c:pt idx="27">
                  <c:v>24970.501698017364</c:v>
                </c:pt>
                <c:pt idx="28">
                  <c:v>25906.251698017364</c:v>
                </c:pt>
                <c:pt idx="29">
                  <c:v>26675.656698017363</c:v>
                </c:pt>
              </c:numCache>
            </c:numRef>
          </c:yVal>
          <c:smooth val="0"/>
        </c:ser>
        <c:dLbls>
          <c:showLegendKey val="0"/>
          <c:showVal val="0"/>
          <c:showCatName val="0"/>
          <c:showSerName val="0"/>
          <c:showPercent val="0"/>
          <c:showBubbleSize val="0"/>
        </c:dLbls>
        <c:axId val="485879600"/>
        <c:axId val="485879992"/>
      </c:scatterChart>
      <c:valAx>
        <c:axId val="485879600"/>
        <c:scaling>
          <c:orientation val="minMax"/>
        </c:scaling>
        <c:delete val="0"/>
        <c:axPos val="b"/>
        <c:title>
          <c:tx>
            <c:rich>
              <a:bodyPr/>
              <a:lstStyle/>
              <a:p>
                <a:pPr>
                  <a:defRPr sz="900" b="0" i="0" u="none" strike="noStrike" baseline="0">
                    <a:solidFill>
                      <a:srgbClr val="000000"/>
                    </a:solidFill>
                    <a:latin typeface="Times New Roman"/>
                    <a:ea typeface="Times New Roman"/>
                    <a:cs typeface="Times New Roman"/>
                  </a:defRPr>
                </a:pPr>
                <a:r>
                  <a:rPr lang="en-US" sz="900"/>
                  <a:t>Commulative of base station average</a:t>
                </a:r>
              </a:p>
            </c:rich>
          </c:tx>
          <c:layout>
            <c:manualLayout>
              <c:xMode val="edge"/>
              <c:yMode val="edge"/>
              <c:x val="0.33960836384506538"/>
              <c:y val="0.90325659881426046"/>
            </c:manualLayout>
          </c:layout>
          <c:overlay val="0"/>
          <c:spPr>
            <a:noFill/>
            <a:ln>
              <a:noFill/>
            </a:ln>
            <a:effectLst/>
          </c:spPr>
        </c:title>
        <c:numFmt formatCode="General" sourceLinked="1"/>
        <c:majorTickMark val="none"/>
        <c:minorTickMark val="none"/>
        <c:tickLblPos val="nextTo"/>
        <c:spPr>
          <a:noFill/>
          <a:ln w="9520" cap="flat" cmpd="sng" algn="ctr">
            <a:solidFill>
              <a:schemeClr val="tx1">
                <a:lumMod val="15000"/>
                <a:lumOff val="85000"/>
              </a:schemeClr>
            </a:solidFill>
            <a:round/>
          </a:ln>
          <a:effectLst/>
        </c:spPr>
        <c:txPr>
          <a:bodyPr rot="0" vert="horz"/>
          <a:lstStyle/>
          <a:p>
            <a:pPr>
              <a:defRPr sz="899" b="0" i="0" u="none" strike="noStrike" baseline="0">
                <a:solidFill>
                  <a:sysClr val="windowText" lastClr="000000"/>
                </a:solidFill>
                <a:latin typeface="Times New Roman" panose="02020603050405020304" pitchFamily="18" charset="0"/>
                <a:ea typeface="Calibri"/>
                <a:cs typeface="Times New Roman" panose="02020603050405020304" pitchFamily="18" charset="0"/>
              </a:defRPr>
            </a:pPr>
            <a:endParaRPr lang="en-US"/>
          </a:p>
        </c:txPr>
        <c:crossAx val="485879992"/>
        <c:crosses val="autoZero"/>
        <c:crossBetween val="midCat"/>
      </c:valAx>
      <c:valAx>
        <c:axId val="485879992"/>
        <c:scaling>
          <c:orientation val="minMax"/>
        </c:scaling>
        <c:delete val="0"/>
        <c:axPos val="l"/>
        <c:majorGridlines>
          <c:spPr>
            <a:ln w="9520" cap="flat" cmpd="sng" algn="ctr">
              <a:solidFill>
                <a:sysClr val="window" lastClr="FFFFFF">
                  <a:lumMod val="85000"/>
                </a:sysClr>
              </a:solidFill>
              <a:round/>
            </a:ln>
            <a:effectLst/>
          </c:spPr>
        </c:majorGridlines>
        <c:minorGridlines>
          <c:spPr>
            <a:ln>
              <a:solidFill>
                <a:sysClr val="window" lastClr="FFFFFF">
                  <a:lumMod val="95000"/>
                </a:sysClr>
              </a:solidFill>
            </a:ln>
          </c:spPr>
        </c:minorGridlines>
        <c:title>
          <c:tx>
            <c:rich>
              <a:bodyPr/>
              <a:lstStyle/>
              <a:p>
                <a:pPr>
                  <a:defRPr sz="900" b="0" i="0" u="none" strike="noStrike" baseline="0">
                    <a:solidFill>
                      <a:srgbClr val="000000"/>
                    </a:solidFill>
                    <a:latin typeface="Times New Roman"/>
                    <a:ea typeface="Times New Roman"/>
                    <a:cs typeface="Times New Roman"/>
                  </a:defRPr>
                </a:pPr>
                <a:r>
                  <a:rPr lang="en-US" sz="900"/>
                  <a:t>Commulative  of each station</a:t>
                </a:r>
              </a:p>
            </c:rich>
          </c:tx>
          <c:layout>
            <c:manualLayout>
              <c:xMode val="edge"/>
              <c:yMode val="edge"/>
              <c:x val="1.2413176522287612E-2"/>
              <c:y val="0.11823024617763045"/>
            </c:manualLayout>
          </c:layout>
          <c:overlay val="0"/>
          <c:spPr>
            <a:noFill/>
            <a:ln>
              <a:noFill/>
            </a:ln>
            <a:effectLst/>
          </c:spPr>
        </c:title>
        <c:numFmt formatCode="General" sourceLinked="1"/>
        <c:majorTickMark val="none"/>
        <c:minorTickMark val="none"/>
        <c:tickLblPos val="nextTo"/>
        <c:spPr>
          <a:noFill/>
          <a:ln w="9520" cap="flat" cmpd="sng" algn="ctr">
            <a:solidFill>
              <a:schemeClr val="dk1">
                <a:lumMod val="15000"/>
                <a:lumOff val="85000"/>
              </a:schemeClr>
            </a:solidFill>
            <a:round/>
          </a:ln>
          <a:effectLst/>
        </c:spPr>
        <c:txPr>
          <a:bodyPr rot="-60000000" spcFirstLastPara="1" vertOverflow="ellipsis" vert="horz" wrap="square" anchor="ctr" anchorCtr="1"/>
          <a:lstStyle/>
          <a:p>
            <a:pPr>
              <a:defRPr sz="899"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85879600"/>
        <c:crosses val="autoZero"/>
        <c:crossBetween val="midCat"/>
      </c:valAx>
      <c:spPr>
        <a:noFill/>
        <a:ln w="25386">
          <a:noFill/>
        </a:ln>
      </c:spPr>
    </c:plotArea>
    <c:legend>
      <c:legendPos val="b"/>
      <c:layout>
        <c:manualLayout>
          <c:xMode val="edge"/>
          <c:yMode val="edge"/>
          <c:x val="0.73946636481908734"/>
          <c:y val="0"/>
          <c:w val="0.25229777346174226"/>
          <c:h val="1"/>
        </c:manualLayout>
      </c:layout>
      <c:overlay val="0"/>
      <c:spPr>
        <a:noFill/>
        <a:ln>
          <a:noFill/>
        </a:ln>
        <a:effectLst/>
      </c:spPr>
      <c:txPr>
        <a:bodyPr rot="0" spcFirstLastPara="1" vertOverflow="ellipsis" vert="horz" wrap="square" anchor="ctr" anchorCtr="1"/>
        <a:lstStyle/>
        <a:p>
          <a:pPr>
            <a:lnSpc>
              <a:spcPts val="840"/>
            </a:lnSpc>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12700" cap="flat" cmpd="sng" algn="ctr">
      <a:solidFill>
        <a:sysClr val="windowText" lastClr="000000"/>
      </a:solidFill>
      <a:round/>
    </a:ln>
    <a:effectLst/>
  </c:spPr>
  <c:txPr>
    <a:bodyPr/>
    <a:lstStyle/>
    <a:p>
      <a:pPr>
        <a:defRPr/>
      </a:pPr>
      <a:endParaRPr lang="en-US"/>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cap="all" spc="5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cap="none">
                <a:solidFill>
                  <a:sysClr val="windowText" lastClr="000000"/>
                </a:solidFill>
              </a:rPr>
              <a:t>Factors</a:t>
            </a:r>
            <a:r>
              <a:rPr lang="en-US" sz="1200" b="0" cap="none" baseline="0">
                <a:solidFill>
                  <a:sysClr val="windowText" lastClr="000000"/>
                </a:solidFill>
              </a:rPr>
              <a:t> w</a:t>
            </a:r>
            <a:r>
              <a:rPr lang="en-US" sz="1200" b="0" cap="none">
                <a:solidFill>
                  <a:sysClr val="windowText" lastClr="000000"/>
                </a:solidFill>
              </a:rPr>
              <a:t>eightage (%)</a:t>
            </a:r>
          </a:p>
        </c:rich>
      </c:tx>
      <c:layout>
        <c:manualLayout>
          <c:xMode val="edge"/>
          <c:yMode val="edge"/>
          <c:x val="0.37881486385531926"/>
          <c:y val="4.6894406193100299E-3"/>
        </c:manualLayout>
      </c:layout>
      <c:overlay val="0"/>
      <c:spPr>
        <a:noFill/>
        <a:ln>
          <a:solidFill>
            <a:sysClr val="windowText" lastClr="000000"/>
          </a:solidFill>
        </a:ln>
        <a:effectLst/>
      </c:sp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2.5626092020966801E-2"/>
          <c:y val="0.12098475967174675"/>
          <c:w val="0.97437390797903323"/>
          <c:h val="0.70946266534971536"/>
        </c:manualLayout>
      </c:layout>
      <c:pie3DChart>
        <c:varyColors val="1"/>
        <c:ser>
          <c:idx val="0"/>
          <c:order val="0"/>
          <c:tx>
            <c:strRef>
              <c:f>Sheet3!$E$25</c:f>
              <c:strCache>
                <c:ptCount val="1"/>
                <c:pt idx="0">
                  <c:v>Weightage</c:v>
                </c:pt>
              </c:strCache>
            </c:strRef>
          </c:tx>
          <c:spPr>
            <a:solidFill>
              <a:srgbClr val="00B050"/>
            </a:solidFill>
            <a:ln>
              <a:solidFill>
                <a:schemeClr val="tx1"/>
              </a:solidFill>
            </a:ln>
          </c:spPr>
          <c:dPt>
            <c:idx val="0"/>
            <c:bubble3D val="0"/>
            <c:spPr>
              <a:blipFill>
                <a:blip xmlns:r="http://schemas.openxmlformats.org/officeDocument/2006/relationships" r:embed="rId2"/>
                <a:tile tx="0" ty="0" sx="100000" sy="100000" flip="none" algn="tl"/>
              </a:blipFill>
              <a:ln w="28575">
                <a:solidFill>
                  <a:schemeClr val="tx1"/>
                </a:solidFill>
              </a:ln>
              <a:effectLst/>
              <a:sp3d contourW="28575">
                <a:contourClr>
                  <a:schemeClr val="tx1"/>
                </a:contourClr>
              </a:sp3d>
            </c:spPr>
          </c:dPt>
          <c:dPt>
            <c:idx val="1"/>
            <c:bubble3D val="0"/>
            <c:spPr>
              <a:blipFill>
                <a:blip xmlns:r="http://schemas.openxmlformats.org/officeDocument/2006/relationships" r:embed="rId3"/>
                <a:tile tx="0" ty="0" sx="100000" sy="100000" flip="none" algn="tl"/>
              </a:blipFill>
              <a:ln w="28575">
                <a:solidFill>
                  <a:schemeClr val="tx1"/>
                </a:solidFill>
              </a:ln>
              <a:effectLst/>
              <a:sp3d contourW="28575">
                <a:contourClr>
                  <a:schemeClr val="tx1"/>
                </a:contourClr>
              </a:sp3d>
            </c:spPr>
          </c:dPt>
          <c:dPt>
            <c:idx val="2"/>
            <c:bubble3D val="0"/>
            <c:spPr>
              <a:blipFill>
                <a:blip xmlns:r="http://schemas.openxmlformats.org/officeDocument/2006/relationships" r:embed="rId4"/>
                <a:tile tx="0" ty="0" sx="100000" sy="100000" flip="none" algn="tl"/>
              </a:blipFill>
              <a:ln w="28575">
                <a:solidFill>
                  <a:schemeClr val="tx1"/>
                </a:solidFill>
              </a:ln>
              <a:effectLst/>
              <a:sp3d contourW="28575">
                <a:contourClr>
                  <a:schemeClr val="tx1"/>
                </a:contourClr>
              </a:sp3d>
            </c:spPr>
          </c:dPt>
          <c:dLbls>
            <c:dLbl>
              <c:idx val="0"/>
              <c:layout>
                <c:manualLayout>
                  <c:x val="-0.18384602332396285"/>
                  <c:y val="7.8068143006156622E-3"/>
                </c:manualLayout>
              </c:layout>
              <c:spPr>
                <a:solidFill>
                  <a:srgbClr val="F79646">
                    <a:lumMod val="20000"/>
                    <a:lumOff val="80000"/>
                  </a:srgbClr>
                </a:solidFill>
                <a:ln>
                  <a:solidFill>
                    <a:sysClr val="windowText" lastClr="000000"/>
                  </a:solidFill>
                </a:ln>
                <a:effectLst/>
              </c:spPr>
              <c:txPr>
                <a:bodyPr rot="0" spcFirstLastPara="1" vertOverflow="clip" horzOverflow="clip" vert="horz" wrap="square" lIns="38100" tIns="19050" rIns="38100" bIns="19050" anchor="ctr" anchorCtr="1">
                  <a:noAutofit/>
                </a:bodyPr>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bestFit"/>
              <c:showLegendKey val="0"/>
              <c:showVal val="0"/>
              <c:showCatName val="0"/>
              <c:showSerName val="0"/>
              <c:showPercent val="1"/>
              <c:showBubbleSize val="0"/>
              <c:extLst>
                <c:ext xmlns:c15="http://schemas.microsoft.com/office/drawing/2012/chart" uri="{CE6537A1-D6FC-4f65-9D91-7224C49458BB}">
                  <c15:spPr xmlns:c15="http://schemas.microsoft.com/office/drawing/2012/chart">
                    <a:prstGeom prst="rect">
                      <a:avLst/>
                    </a:prstGeom>
                  </c15:spPr>
                </c:ext>
              </c:extLst>
            </c:dLbl>
            <c:dLbl>
              <c:idx val="1"/>
              <c:layout>
                <c:manualLayout>
                  <c:x val="0.15364869140920573"/>
                  <c:y val="-0.23066822977725673"/>
                </c:manualLayout>
              </c:layout>
              <c:spPr>
                <a:solidFill>
                  <a:srgbClr val="F79646">
                    <a:lumMod val="20000"/>
                    <a:lumOff val="80000"/>
                  </a:srgbClr>
                </a:solidFill>
                <a:ln>
                  <a:solidFill>
                    <a:sysClr val="windowText" lastClr="000000"/>
                  </a:solidFill>
                </a:ln>
                <a:effectLst/>
              </c:spPr>
              <c:txPr>
                <a:bodyPr rot="0" spcFirstLastPara="1" vertOverflow="clip" horzOverflow="clip" vert="horz" wrap="square" lIns="38100" tIns="19050" rIns="38100" bIns="19050" anchor="ctr" anchorCtr="1">
                  <a:noAutofit/>
                </a:bodyPr>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bestFit"/>
              <c:showLegendKey val="0"/>
              <c:showVal val="0"/>
              <c:showCatName val="0"/>
              <c:showSerName val="0"/>
              <c:showPercent val="1"/>
              <c:showBubbleSize val="0"/>
              <c:extLst>
                <c:ext xmlns:c15="http://schemas.microsoft.com/office/drawing/2012/chart" uri="{CE6537A1-D6FC-4f65-9D91-7224C49458BB}">
                  <c15:spPr xmlns:c15="http://schemas.microsoft.com/office/drawing/2012/chart">
                    <a:prstGeom prst="rect">
                      <a:avLst/>
                    </a:prstGeom>
                  </c15:spPr>
                </c:ext>
              </c:extLst>
            </c:dLbl>
            <c:dLbl>
              <c:idx val="2"/>
              <c:layout>
                <c:manualLayout>
                  <c:x val="5.8705068929016543E-2"/>
                  <c:y val="9.9881565660790206E-2"/>
                </c:manualLayout>
              </c:layout>
              <c:spPr>
                <a:solidFill>
                  <a:srgbClr val="F79646">
                    <a:lumMod val="20000"/>
                    <a:lumOff val="80000"/>
                  </a:srgbClr>
                </a:solidFill>
                <a:ln>
                  <a:solidFill>
                    <a:sysClr val="windowText" lastClr="000000"/>
                  </a:solidFill>
                </a:ln>
                <a:effectLst/>
              </c:spPr>
              <c:txPr>
                <a:bodyPr rot="0" spcFirstLastPara="1" vertOverflow="ellipsis" vert="horz" wrap="square" lIns="38100" tIns="19050" rIns="38100" bIns="19050" anchor="ctr" anchorCtr="1">
                  <a:noAutofit/>
                </a:bodyPr>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bestFit"/>
              <c:showLegendKey val="0"/>
              <c:showVal val="0"/>
              <c:showCatName val="0"/>
              <c:showSerName val="0"/>
              <c:showPercent val="1"/>
              <c:showBubbleSize val="0"/>
              <c:extLst>
                <c:ext xmlns:c15="http://schemas.microsoft.com/office/drawing/2012/chart" uri="{CE6537A1-D6FC-4f65-9D91-7224C49458BB}">
                  <c15:layout>
                    <c:manualLayout>
                      <c:w val="6.7786057901760538E-2"/>
                      <c:h val="8.5096232841938138E-2"/>
                    </c:manualLayout>
                  </c15:layout>
                </c:ext>
              </c:extLst>
            </c:dLbl>
            <c:spPr>
              <a:solidFill>
                <a:srgbClr val="F79646">
                  <a:lumMod val="20000"/>
                  <a:lumOff val="80000"/>
                </a:srgbClr>
              </a:solidFill>
              <a:ln>
                <a:solidFill>
                  <a:sysClr val="windowText" lastClr="000000"/>
                </a:solidFill>
              </a:ln>
              <a:effectLst/>
            </c:spPr>
            <c:txPr>
              <a:bodyPr rot="0" spcFirstLastPara="1" vertOverflow="ellipsis" vert="horz" wrap="square" lIns="38100" tIns="19050" rIns="38100" bIns="19050" anchor="ctr" anchorCtr="1">
                <a:spAutoFit/>
              </a:bodyPr>
              <a:lstStyle/>
              <a:p>
                <a:pPr>
                  <a:defRPr sz="1100" b="0" i="0" u="none" strike="noStrike" kern="1200" baseline="0">
                    <a:solidFill>
                      <a:sysClr val="windowText" lastClr="000000"/>
                    </a:solidFill>
                    <a:latin typeface="+mn-lt"/>
                    <a:ea typeface="+mn-ea"/>
                    <a:cs typeface="+mn-cs"/>
                  </a:defRPr>
                </a:pPr>
                <a:endParaRPr lang="en-US"/>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Sheet3!$D$26:$D$28</c:f>
              <c:strCache>
                <c:ptCount val="3"/>
                <c:pt idx="0">
                  <c:v>Physiography</c:v>
                </c:pt>
                <c:pt idx="1">
                  <c:v>Geology</c:v>
                </c:pt>
                <c:pt idx="2">
                  <c:v>Climate</c:v>
                </c:pt>
              </c:strCache>
            </c:strRef>
          </c:cat>
          <c:val>
            <c:numRef>
              <c:f>Sheet3!$E$26:$E$28</c:f>
              <c:numCache>
                <c:formatCode>General</c:formatCode>
                <c:ptCount val="3"/>
                <c:pt idx="0">
                  <c:v>46</c:v>
                </c:pt>
                <c:pt idx="1">
                  <c:v>42</c:v>
                </c:pt>
                <c:pt idx="2">
                  <c:v>12</c:v>
                </c:pt>
              </c:numCache>
            </c:numRef>
          </c:val>
        </c:ser>
        <c:dLbls>
          <c:dLblPos val="inEnd"/>
          <c:showLegendKey val="0"/>
          <c:showVal val="0"/>
          <c:showCatName val="0"/>
          <c:showSerName val="0"/>
          <c:showPercent val="1"/>
          <c:showBubbleSize val="0"/>
          <c:showLeaderLines val="1"/>
        </c:dLbls>
      </c:pie3DChart>
      <c:spPr>
        <a:noFill/>
        <a:ln>
          <a:noFill/>
        </a:ln>
        <a:effectLst/>
      </c:spPr>
    </c:plotArea>
    <c:legend>
      <c:legendPos val="b"/>
      <c:legendEntry>
        <c:idx val="0"/>
        <c:txPr>
          <a:bodyPr rot="0" spcFirstLastPara="1" vertOverflow="ellipsis" vert="horz" wrap="square" anchor="ctr" anchorCtr="1"/>
          <a:lstStyle/>
          <a:p>
            <a:pPr rtl="0">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Entry>
      <c:legendEntry>
        <c:idx val="1"/>
        <c:txPr>
          <a:bodyPr rot="0" spcFirstLastPara="1" vertOverflow="ellipsis" vert="horz" wrap="square" anchor="ctr" anchorCtr="1"/>
          <a:lstStyle/>
          <a:p>
            <a:pPr rtl="0">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Entry>
      <c:legendEntry>
        <c:idx val="2"/>
        <c:txPr>
          <a:bodyPr rot="0" spcFirstLastPara="1" vertOverflow="ellipsis" vert="horz" wrap="square" anchor="ctr" anchorCtr="1"/>
          <a:lstStyle/>
          <a:p>
            <a:pPr rtl="0">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Entry>
      <c:layout>
        <c:manualLayout>
          <c:xMode val="edge"/>
          <c:yMode val="edge"/>
          <c:x val="4.7993875765529305E-2"/>
          <c:y val="0.88353200641586471"/>
          <c:w val="0.92901202974628172"/>
          <c:h val="8.8690215806357539E-2"/>
        </c:manualLayout>
      </c:layout>
      <c:overlay val="0"/>
      <c:spPr>
        <a:noFill/>
        <a:ln>
          <a:noFill/>
        </a:ln>
        <a:effectLst/>
      </c:spPr>
      <c:txPr>
        <a:bodyPr rot="0" spcFirstLastPara="1" vertOverflow="ellipsis" vert="horz" wrap="square" anchor="ctr" anchorCtr="1"/>
        <a:lstStyle/>
        <a:p>
          <a:pPr rtl="0">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12700" cap="flat" cmpd="sng" algn="ctr">
      <a:solidFill>
        <a:sysClr val="windowText" lastClr="000000"/>
      </a:solidFill>
      <a:round/>
    </a:ln>
    <a:effectLst/>
  </c:spPr>
  <c:txPr>
    <a:bodyPr/>
    <a:lstStyle/>
    <a:p>
      <a:pPr>
        <a:defRPr/>
      </a:pPr>
      <a:endParaRPr lang="en-US"/>
    </a:p>
  </c:txPr>
  <c:externalData r:id="rId5">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37617637795275588"/>
          <c:y val="0"/>
        </c:manualLayout>
      </c:layout>
      <c:overlay val="0"/>
      <c:spPr>
        <a:noFill/>
        <a:ln>
          <a:noFill/>
        </a:ln>
        <a:effectLst/>
      </c:spPr>
      <c:txPr>
        <a:bodyPr rot="0" spcFirstLastPara="1" vertOverflow="ellipsis" vert="horz" wrap="square" anchor="ctr" anchorCtr="1"/>
        <a:lstStyle/>
        <a:p>
          <a:pPr>
            <a:defRPr sz="105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manualLayout>
          <c:layoutTarget val="inner"/>
          <c:xMode val="edge"/>
          <c:yMode val="edge"/>
          <c:x val="0.10967818434460398"/>
          <c:y val="0.10162536637356781"/>
          <c:w val="0.8385571097730431"/>
          <c:h val="0.69971906988844623"/>
        </c:manualLayout>
      </c:layout>
      <c:barChart>
        <c:barDir val="col"/>
        <c:grouping val="clustered"/>
        <c:varyColors val="0"/>
        <c:ser>
          <c:idx val="0"/>
          <c:order val="0"/>
          <c:tx>
            <c:strRef>
              <c:f>w.r.to.woreda!$Q$10</c:f>
              <c:strCache>
                <c:ptCount val="1"/>
                <c:pt idx="0">
                  <c:v>Very high</c:v>
                </c:pt>
              </c:strCache>
            </c:strRef>
          </c:tx>
          <c:spPr>
            <a:solidFill>
              <a:srgbClr val="0000CC"/>
            </a:solidFill>
            <a:ln>
              <a:noFill/>
            </a:ln>
            <a:effectLst/>
          </c:spPr>
          <c:invertIfNegative val="0"/>
          <c:cat>
            <c:strRef>
              <c:f>w.r.to.woreda!$R$8:$Y$8</c:f>
              <c:strCache>
                <c:ptCount val="8"/>
                <c:pt idx="0">
                  <c:v>Dinsho</c:v>
                </c:pt>
                <c:pt idx="1">
                  <c:v>Agarfa</c:v>
                </c:pt>
                <c:pt idx="2">
                  <c:v>Adaba</c:v>
                </c:pt>
                <c:pt idx="3">
                  <c:v>Gasera</c:v>
                </c:pt>
                <c:pt idx="4">
                  <c:v>Ginnir</c:v>
                </c:pt>
                <c:pt idx="5">
                  <c:v>Goba</c:v>
                </c:pt>
                <c:pt idx="6">
                  <c:v>Goro</c:v>
                </c:pt>
                <c:pt idx="7">
                  <c:v>Sinana</c:v>
                </c:pt>
              </c:strCache>
            </c:strRef>
          </c:cat>
          <c:val>
            <c:numRef>
              <c:f>w.r.to.woreda!$R$10:$Y$10</c:f>
              <c:numCache>
                <c:formatCode>General</c:formatCode>
                <c:ptCount val="8"/>
                <c:pt idx="0" formatCode="0.000">
                  <c:v>0.6340836544411721</c:v>
                </c:pt>
                <c:pt idx="1">
                  <c:v>0</c:v>
                </c:pt>
                <c:pt idx="2" formatCode="0.000">
                  <c:v>5.4614564087014629E-2</c:v>
                </c:pt>
                <c:pt idx="3" formatCode="0.000">
                  <c:v>2.9774930383510588E-3</c:v>
                </c:pt>
                <c:pt idx="4" formatCode="0.000">
                  <c:v>8.0596249914817703E-2</c:v>
                </c:pt>
                <c:pt idx="5" formatCode="0.000">
                  <c:v>6.5504846843723305E-2</c:v>
                </c:pt>
                <c:pt idx="6" formatCode="0.000">
                  <c:v>9.3811424495992256E-4</c:v>
                </c:pt>
                <c:pt idx="7" formatCode="0.000">
                  <c:v>8.5490759018956433E-2</c:v>
                </c:pt>
              </c:numCache>
            </c:numRef>
          </c:val>
        </c:ser>
        <c:dLbls>
          <c:showLegendKey val="0"/>
          <c:showVal val="0"/>
          <c:showCatName val="0"/>
          <c:showSerName val="0"/>
          <c:showPercent val="0"/>
          <c:showBubbleSize val="0"/>
        </c:dLbls>
        <c:gapWidth val="219"/>
        <c:overlap val="-27"/>
        <c:axId val="485878032"/>
        <c:axId val="485878424"/>
      </c:barChart>
      <c:catAx>
        <c:axId val="4858780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85878424"/>
        <c:crosses val="autoZero"/>
        <c:auto val="1"/>
        <c:lblAlgn val="ctr"/>
        <c:lblOffset val="100"/>
        <c:noMultiLvlLbl val="0"/>
      </c:catAx>
      <c:valAx>
        <c:axId val="485878424"/>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0.000"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85878032"/>
        <c:crosses val="autoZero"/>
        <c:crossBetween val="between"/>
      </c:valAx>
      <c:spPr>
        <a:noFill/>
        <a:ln>
          <a:noFill/>
        </a:ln>
        <a:effectLst/>
      </c:spPr>
    </c:plotArea>
    <c:plotVisOnly val="1"/>
    <c:dispBlanksAs val="gap"/>
    <c:showDLblsOverMax val="0"/>
  </c:chart>
  <c:spPr>
    <a:solidFill>
      <a:schemeClr val="bg1"/>
    </a:solidFill>
    <a:ln w="12700" cap="flat" cmpd="sng" algn="ctr">
      <a:solidFill>
        <a:schemeClr val="tx1"/>
      </a:solidFill>
      <a:round/>
    </a:ln>
    <a:effectLst/>
  </c:spPr>
  <c:txPr>
    <a:bodyPr/>
    <a:lstStyle/>
    <a:p>
      <a:pPr>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43648252536640358"/>
          <c:y val="0"/>
        </c:manualLayout>
      </c:layout>
      <c:overlay val="0"/>
      <c:spPr>
        <a:noFill/>
        <a:ln>
          <a:noFill/>
        </a:ln>
        <a:effectLst/>
      </c:spPr>
      <c:txPr>
        <a:bodyPr rot="0" spcFirstLastPara="1" vertOverflow="ellipsis" vert="horz" wrap="square" anchor="ctr" anchorCtr="1"/>
        <a:lstStyle/>
        <a:p>
          <a:pPr>
            <a:defRPr sz="105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manualLayout>
          <c:layoutTarget val="inner"/>
          <c:xMode val="edge"/>
          <c:yMode val="edge"/>
          <c:x val="0.10442311960159434"/>
          <c:y val="9.0918774966711052E-2"/>
          <c:w val="0.84597146889896935"/>
          <c:h val="0.71053146985122195"/>
        </c:manualLayout>
      </c:layout>
      <c:barChart>
        <c:barDir val="col"/>
        <c:grouping val="clustered"/>
        <c:varyColors val="0"/>
        <c:ser>
          <c:idx val="0"/>
          <c:order val="0"/>
          <c:tx>
            <c:strRef>
              <c:f>w.r.to.woreda!$Q$9</c:f>
              <c:strCache>
                <c:ptCount val="1"/>
                <c:pt idx="0">
                  <c:v>High</c:v>
                </c:pt>
              </c:strCache>
            </c:strRef>
          </c:tx>
          <c:spPr>
            <a:solidFill>
              <a:srgbClr val="00B050"/>
            </a:solidFill>
            <a:ln>
              <a:noFill/>
            </a:ln>
            <a:effectLst/>
          </c:spPr>
          <c:invertIfNegative val="0"/>
          <c:cat>
            <c:strRef>
              <c:f>w.r.to.woreda!$R$8:$Y$8</c:f>
              <c:strCache>
                <c:ptCount val="8"/>
                <c:pt idx="0">
                  <c:v>Dinsho</c:v>
                </c:pt>
                <c:pt idx="1">
                  <c:v>Agarfa</c:v>
                </c:pt>
                <c:pt idx="2">
                  <c:v>Adaba</c:v>
                </c:pt>
                <c:pt idx="3">
                  <c:v>Gasera</c:v>
                </c:pt>
                <c:pt idx="4">
                  <c:v>Ginnir</c:v>
                </c:pt>
                <c:pt idx="5">
                  <c:v>Goba</c:v>
                </c:pt>
                <c:pt idx="6">
                  <c:v>Goro</c:v>
                </c:pt>
                <c:pt idx="7">
                  <c:v>Sinana</c:v>
                </c:pt>
              </c:strCache>
            </c:strRef>
          </c:cat>
          <c:val>
            <c:numRef>
              <c:f>w.r.to.woreda!$R$9:$Y$9</c:f>
              <c:numCache>
                <c:formatCode>0.000</c:formatCode>
                <c:ptCount val="8"/>
                <c:pt idx="0">
                  <c:v>6.6938326197597693</c:v>
                </c:pt>
                <c:pt idx="1">
                  <c:v>5.8861774362130781</c:v>
                </c:pt>
                <c:pt idx="2">
                  <c:v>1.75311119216282</c:v>
                </c:pt>
                <c:pt idx="3">
                  <c:v>6.9758379193098961</c:v>
                </c:pt>
                <c:pt idx="4">
                  <c:v>6.4785150067535557</c:v>
                </c:pt>
                <c:pt idx="5">
                  <c:v>5.6514041495179139</c:v>
                </c:pt>
                <c:pt idx="6">
                  <c:v>2.2438265174285954</c:v>
                </c:pt>
                <c:pt idx="7">
                  <c:v>10.207927006227905</c:v>
                </c:pt>
              </c:numCache>
            </c:numRef>
          </c:val>
        </c:ser>
        <c:dLbls>
          <c:showLegendKey val="0"/>
          <c:showVal val="0"/>
          <c:showCatName val="0"/>
          <c:showSerName val="0"/>
          <c:showPercent val="0"/>
          <c:showBubbleSize val="0"/>
        </c:dLbls>
        <c:gapWidth val="219"/>
        <c:overlap val="-27"/>
        <c:axId val="485880384"/>
        <c:axId val="485876856"/>
      </c:barChart>
      <c:catAx>
        <c:axId val="4858803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85876856"/>
        <c:crosses val="autoZero"/>
        <c:auto val="1"/>
        <c:lblAlgn val="ctr"/>
        <c:lblOffset val="100"/>
        <c:noMultiLvlLbl val="0"/>
      </c:catAx>
      <c:valAx>
        <c:axId val="485876856"/>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0.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85880384"/>
        <c:crosses val="autoZero"/>
        <c:crossBetween val="between"/>
      </c:valAx>
      <c:spPr>
        <a:noFill/>
        <a:ln>
          <a:noFill/>
        </a:ln>
        <a:effectLst/>
      </c:spPr>
    </c:plotArea>
    <c:plotVisOnly val="1"/>
    <c:dispBlanksAs val="gap"/>
    <c:showDLblsOverMax val="0"/>
  </c:chart>
  <c:spPr>
    <a:solidFill>
      <a:schemeClr val="bg1"/>
    </a:solidFill>
    <a:ln w="12700" cap="flat" cmpd="sng" algn="ctr">
      <a:solidFill>
        <a:schemeClr val="tx1">
          <a:lumMod val="95000"/>
          <a:lumOff val="5000"/>
        </a:schemeClr>
      </a:solidFill>
      <a:round/>
    </a:ln>
    <a:effectLst/>
  </c:spPr>
  <c:txPr>
    <a:bodyPr/>
    <a:lstStyle/>
    <a:p>
      <a:pPr>
        <a:defRPr/>
      </a:pPr>
      <a:endParaRPr lang="en-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943661716883014"/>
          <c:y val="4.6910662555183828E-2"/>
          <c:w val="0.64724714852121934"/>
          <c:h val="0.74343393437409855"/>
        </c:manualLayout>
      </c:layout>
      <c:barChart>
        <c:barDir val="col"/>
        <c:grouping val="clustered"/>
        <c:varyColors val="0"/>
        <c:ser>
          <c:idx val="0"/>
          <c:order val="0"/>
          <c:tx>
            <c:strRef>
              <c:f>Validation!$M$30</c:f>
              <c:strCache>
                <c:ptCount val="1"/>
                <c:pt idx="0">
                  <c:v>Number of disagreements with expect potential</c:v>
                </c:pt>
              </c:strCache>
            </c:strRef>
          </c:tx>
          <c:spPr>
            <a:solidFill>
              <a:srgbClr val="FF0000"/>
            </a:solid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Validation!$L$31:$L$35</c:f>
              <c:strCache>
                <c:ptCount val="5"/>
                <c:pt idx="0">
                  <c:v>Very high</c:v>
                </c:pt>
                <c:pt idx="1">
                  <c:v>High</c:v>
                </c:pt>
                <c:pt idx="2">
                  <c:v>Moderate</c:v>
                </c:pt>
                <c:pt idx="3">
                  <c:v>Low</c:v>
                </c:pt>
                <c:pt idx="4">
                  <c:v>Very low</c:v>
                </c:pt>
              </c:strCache>
            </c:strRef>
          </c:cat>
          <c:val>
            <c:numRef>
              <c:f>Validation!$M$31:$M$35</c:f>
              <c:numCache>
                <c:formatCode>General</c:formatCode>
                <c:ptCount val="5"/>
                <c:pt idx="0">
                  <c:v>1</c:v>
                </c:pt>
                <c:pt idx="1">
                  <c:v>1</c:v>
                </c:pt>
                <c:pt idx="2">
                  <c:v>4</c:v>
                </c:pt>
                <c:pt idx="3">
                  <c:v>2</c:v>
                </c:pt>
                <c:pt idx="4">
                  <c:v>0</c:v>
                </c:pt>
              </c:numCache>
            </c:numRef>
          </c:val>
        </c:ser>
        <c:ser>
          <c:idx val="1"/>
          <c:order val="1"/>
          <c:tx>
            <c:strRef>
              <c:f>Validation!$N$30</c:f>
              <c:strCache>
                <c:ptCount val="1"/>
                <c:pt idx="0">
                  <c:v>Number of agreements with expect potential</c:v>
                </c:pt>
              </c:strCache>
            </c:strRef>
          </c:tx>
          <c:spPr>
            <a:solidFill>
              <a:srgbClr val="00B050"/>
            </a:solidFill>
            <a:ln>
              <a:noFill/>
            </a:ln>
            <a:effectLst>
              <a:innerShdw blurRad="114300">
                <a:schemeClr val="accent2"/>
              </a:innerShdw>
            </a:effectLst>
          </c:spPr>
          <c:invertIfNegative val="0"/>
          <c:dPt>
            <c:idx val="2"/>
            <c:invertIfNegative val="0"/>
            <c:bubble3D val="0"/>
            <c:spPr>
              <a:solidFill>
                <a:srgbClr val="00B050"/>
              </a:solidFill>
              <a:ln>
                <a:solidFill>
                  <a:schemeClr val="tx1"/>
                </a:solidFill>
              </a:ln>
              <a:effectLst>
                <a:innerShdw blurRad="114300">
                  <a:schemeClr val="accent2"/>
                </a:innerShdw>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Validation!$L$31:$L$35</c:f>
              <c:strCache>
                <c:ptCount val="5"/>
                <c:pt idx="0">
                  <c:v>Very high</c:v>
                </c:pt>
                <c:pt idx="1">
                  <c:v>High</c:v>
                </c:pt>
                <c:pt idx="2">
                  <c:v>Moderate</c:v>
                </c:pt>
                <c:pt idx="3">
                  <c:v>Low</c:v>
                </c:pt>
                <c:pt idx="4">
                  <c:v>Very low</c:v>
                </c:pt>
              </c:strCache>
            </c:strRef>
          </c:cat>
          <c:val>
            <c:numRef>
              <c:f>Validation!$N$31:$N$35</c:f>
              <c:numCache>
                <c:formatCode>General</c:formatCode>
                <c:ptCount val="5"/>
                <c:pt idx="0">
                  <c:v>2</c:v>
                </c:pt>
                <c:pt idx="1">
                  <c:v>12</c:v>
                </c:pt>
                <c:pt idx="2">
                  <c:v>21</c:v>
                </c:pt>
                <c:pt idx="3">
                  <c:v>8</c:v>
                </c:pt>
                <c:pt idx="4">
                  <c:v>0</c:v>
                </c:pt>
              </c:numCache>
            </c:numRef>
          </c:val>
        </c:ser>
        <c:ser>
          <c:idx val="2"/>
          <c:order val="2"/>
          <c:tx>
            <c:strRef>
              <c:f>Validation!$O$30</c:f>
              <c:strCache>
                <c:ptCount val="1"/>
                <c:pt idx="0">
                  <c:v>Total number of actual yield</c:v>
                </c:pt>
              </c:strCache>
            </c:strRef>
          </c:tx>
          <c:spPr>
            <a:solidFill>
              <a:schemeClr val="tx2">
                <a:lumMod val="50000"/>
              </a:schemeClr>
            </a:solidFill>
            <a:ln>
              <a:noFill/>
            </a:ln>
            <a:effectLst>
              <a:innerShdw blurRad="114300">
                <a:schemeClr val="accent3"/>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Validation!$L$31:$L$35</c:f>
              <c:strCache>
                <c:ptCount val="5"/>
                <c:pt idx="0">
                  <c:v>Very high</c:v>
                </c:pt>
                <c:pt idx="1">
                  <c:v>High</c:v>
                </c:pt>
                <c:pt idx="2">
                  <c:v>Moderate</c:v>
                </c:pt>
                <c:pt idx="3">
                  <c:v>Low</c:v>
                </c:pt>
                <c:pt idx="4">
                  <c:v>Very low</c:v>
                </c:pt>
              </c:strCache>
            </c:strRef>
          </c:cat>
          <c:val>
            <c:numRef>
              <c:f>Validation!$O$31:$O$35</c:f>
              <c:numCache>
                <c:formatCode>General</c:formatCode>
                <c:ptCount val="5"/>
                <c:pt idx="0">
                  <c:v>3</c:v>
                </c:pt>
                <c:pt idx="1">
                  <c:v>13</c:v>
                </c:pt>
                <c:pt idx="2">
                  <c:v>25</c:v>
                </c:pt>
                <c:pt idx="3">
                  <c:v>10</c:v>
                </c:pt>
                <c:pt idx="4">
                  <c:v>0</c:v>
                </c:pt>
              </c:numCache>
            </c:numRef>
          </c:val>
        </c:ser>
        <c:dLbls>
          <c:dLblPos val="outEnd"/>
          <c:showLegendKey val="0"/>
          <c:showVal val="1"/>
          <c:showCatName val="0"/>
          <c:showSerName val="0"/>
          <c:showPercent val="0"/>
          <c:showBubbleSize val="0"/>
        </c:dLbls>
        <c:gapWidth val="164"/>
        <c:overlap val="-22"/>
        <c:axId val="644870240"/>
        <c:axId val="644871416"/>
      </c:barChart>
      <c:catAx>
        <c:axId val="64487024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effectLst/>
                    <a:latin typeface="Times New Roman" panose="02020603050405020304" pitchFamily="18" charset="0"/>
                    <a:cs typeface="Times New Roman" panose="02020603050405020304" pitchFamily="18" charset="0"/>
                  </a:rPr>
                  <a:t>The delinated groundwater potential zone </a:t>
                </a:r>
                <a:endParaRPr lang="en-US" sz="1000" b="0">
                  <a:effectLst/>
                  <a:latin typeface="Times New Roman" panose="02020603050405020304" pitchFamily="18" charset="0"/>
                  <a:cs typeface="Times New Roman" panose="02020603050405020304" pitchFamily="18" charset="0"/>
                </a:endParaRPr>
              </a:p>
            </c:rich>
          </c:tx>
          <c:layout>
            <c:manualLayout>
              <c:xMode val="edge"/>
              <c:yMode val="edge"/>
              <c:x val="0.20098940611044802"/>
              <c:y val="0.91090629800307221"/>
            </c:manualLayout>
          </c:layout>
          <c:overlay val="0"/>
          <c:spPr>
            <a:noFill/>
            <a:ln>
              <a:noFill/>
            </a:ln>
            <a:effectLst/>
          </c:spPr>
        </c:title>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644871416"/>
        <c:crosses val="autoZero"/>
        <c:auto val="1"/>
        <c:lblAlgn val="ctr"/>
        <c:lblOffset val="100"/>
        <c:noMultiLvlLbl val="0"/>
      </c:catAx>
      <c:valAx>
        <c:axId val="644871416"/>
        <c:scaling>
          <c:orientation val="minMax"/>
        </c:scaling>
        <c:delete val="0"/>
        <c:axPos val="l"/>
        <c:majorGridlines>
          <c:spPr>
            <a:ln>
              <a:solidFill>
                <a:schemeClr val="tx1">
                  <a:lumMod val="15000"/>
                  <a:lumOff val="85000"/>
                </a:schemeClr>
              </a:solidFill>
            </a:ln>
            <a:effectLst/>
          </c:spPr>
        </c:majorGridlines>
        <c:minorGridlines>
          <c:spPr>
            <a:ln>
              <a:solidFill>
                <a:schemeClr val="tx1">
                  <a:lumMod val="5000"/>
                  <a:lumOff val="95000"/>
                </a:schemeClr>
              </a:solidFill>
            </a:ln>
            <a:effectLst/>
          </c:spPr>
        </c:min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effectLst/>
                    <a:latin typeface="Times New Roman" panose="02020603050405020304" pitchFamily="18" charset="0"/>
                    <a:cs typeface="Times New Roman" panose="02020603050405020304" pitchFamily="18" charset="0"/>
                  </a:rPr>
                  <a:t>Number of actual well yield </a:t>
                </a:r>
                <a:endParaRPr lang="en-US" sz="1000" b="0">
                  <a:effectLst/>
                  <a:latin typeface="Times New Roman" panose="02020603050405020304" pitchFamily="18" charset="0"/>
                  <a:cs typeface="Times New Roman" panose="02020603050405020304" pitchFamily="18" charset="0"/>
                </a:endParaRPr>
              </a:p>
            </c:rich>
          </c:tx>
          <c:layout>
            <c:manualLayout>
              <c:xMode val="edge"/>
              <c:yMode val="edge"/>
              <c:x val="1.6420470434471979E-2"/>
              <c:y val="0.13636059893868405"/>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644870240"/>
        <c:crosses val="autoZero"/>
        <c:crossBetween val="between"/>
      </c:valAx>
      <c:spPr>
        <a:noFill/>
        <a:ln>
          <a:noFill/>
        </a:ln>
        <a:effectLst/>
      </c:spPr>
    </c:plotArea>
    <c:legend>
      <c:legendPos val="r"/>
      <c:layout>
        <c:manualLayout>
          <c:xMode val="edge"/>
          <c:yMode val="edge"/>
          <c:x val="0.76988408381631745"/>
          <c:y val="3.4596572289450372E-2"/>
          <c:w val="0.22744882591860591"/>
          <c:h val="0.96540367937878735"/>
        </c:manualLayout>
      </c:layout>
      <c:overlay val="0"/>
      <c:spPr>
        <a:noFill/>
        <a:ln>
          <a:noFill/>
        </a:ln>
        <a:effectLst/>
      </c:spPr>
      <c:txPr>
        <a:bodyPr rot="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12700" cap="flat" cmpd="sng" algn="ctr">
      <a:solidFill>
        <a:schemeClr val="tx1"/>
      </a:solidFill>
      <a:round/>
    </a:ln>
    <a:effectLst/>
  </c:spPr>
  <c:txPr>
    <a:bodyPr/>
    <a:lstStyle/>
    <a:p>
      <a:pPr>
        <a:defRPr/>
      </a:pPr>
      <a:endParaRPr lang="en-U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0668500432393623"/>
          <c:y val="7.345418361166392E-2"/>
          <c:w val="0.62370028538926314"/>
          <c:h val="0.72788269887316726"/>
        </c:manualLayout>
      </c:layout>
      <c:lineChart>
        <c:grouping val="standard"/>
        <c:varyColors val="0"/>
        <c:ser>
          <c:idx val="0"/>
          <c:order val="0"/>
          <c:tx>
            <c:strRef>
              <c:f>Sheet1!$A$3</c:f>
              <c:strCache>
                <c:ptCount val="1"/>
                <c:pt idx="0">
                  <c:v>Agarfa_Maximum</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cat>
            <c:strRef>
              <c:f>Sheet1!$B$2:$M$2</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Sheet1!$B$3:$M$3</c:f>
              <c:numCache>
                <c:formatCode>0.0</c:formatCode>
                <c:ptCount val="12"/>
                <c:pt idx="0">
                  <c:v>23.066862170087976</c:v>
                </c:pt>
                <c:pt idx="1">
                  <c:v>23.591717980295567</c:v>
                </c:pt>
                <c:pt idx="2">
                  <c:v>23.627688172043008</c:v>
                </c:pt>
                <c:pt idx="3">
                  <c:v>21.848484848484848</c:v>
                </c:pt>
                <c:pt idx="4">
                  <c:v>22.383284457478005</c:v>
                </c:pt>
                <c:pt idx="5">
                  <c:v>23.202727272727273</c:v>
                </c:pt>
                <c:pt idx="6">
                  <c:v>22.253665689149557</c:v>
                </c:pt>
                <c:pt idx="7">
                  <c:v>21.969208211143698</c:v>
                </c:pt>
                <c:pt idx="8">
                  <c:v>21.880303030303029</c:v>
                </c:pt>
                <c:pt idx="9">
                  <c:v>19.478299120234603</c:v>
                </c:pt>
                <c:pt idx="10">
                  <c:v>21.494666666666667</c:v>
                </c:pt>
                <c:pt idx="11">
                  <c:v>22.262903225806451</c:v>
                </c:pt>
              </c:numCache>
            </c:numRef>
          </c:val>
          <c:smooth val="0"/>
          <c:extLst xmlns:c16r2="http://schemas.microsoft.com/office/drawing/2015/06/chart">
            <c:ext xmlns:c16="http://schemas.microsoft.com/office/drawing/2014/chart" uri="{C3380CC4-5D6E-409C-BE32-E72D297353CC}">
              <c16:uniqueId val="{00000000-5AC1-4AC9-9008-F7DB4F1E45E5}"/>
            </c:ext>
          </c:extLst>
        </c:ser>
        <c:ser>
          <c:idx val="1"/>
          <c:order val="1"/>
          <c:tx>
            <c:strRef>
              <c:f>Sheet1!$A$4</c:f>
              <c:strCache>
                <c:ptCount val="1"/>
                <c:pt idx="0">
                  <c:v>Dinsho_Maximum</c:v>
                </c:pt>
              </c:strCache>
            </c:strRef>
          </c:tx>
          <c:spPr>
            <a:ln w="22225" cap="rnd">
              <a:solidFill>
                <a:schemeClr val="accent2"/>
              </a:solidFill>
              <a:round/>
            </a:ln>
            <a:effectLst/>
          </c:spPr>
          <c:marker>
            <c:symbol val="square"/>
            <c:size val="6"/>
            <c:spPr>
              <a:solidFill>
                <a:schemeClr val="accent2"/>
              </a:solidFill>
              <a:ln w="9525">
                <a:solidFill>
                  <a:schemeClr val="accent2"/>
                </a:solidFill>
                <a:round/>
              </a:ln>
              <a:effectLst/>
            </c:spPr>
          </c:marker>
          <c:cat>
            <c:strRef>
              <c:f>Sheet1!$B$2:$M$2</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Sheet1!$B$4:$M$4</c:f>
              <c:numCache>
                <c:formatCode>0.0</c:formatCode>
                <c:ptCount val="12"/>
                <c:pt idx="0">
                  <c:v>17.124731182795699</c:v>
                </c:pt>
                <c:pt idx="1">
                  <c:v>18.519955870279144</c:v>
                </c:pt>
                <c:pt idx="2">
                  <c:v>19.219602977667492</c:v>
                </c:pt>
                <c:pt idx="3">
                  <c:v>18.327866666666665</c:v>
                </c:pt>
                <c:pt idx="4">
                  <c:v>17.82335483870968</c:v>
                </c:pt>
                <c:pt idx="5">
                  <c:v>18.717101449275361</c:v>
                </c:pt>
                <c:pt idx="6">
                  <c:v>17.583198924731182</c:v>
                </c:pt>
                <c:pt idx="7">
                  <c:v>17.251612903225809</c:v>
                </c:pt>
                <c:pt idx="8">
                  <c:v>17.213333333333331</c:v>
                </c:pt>
                <c:pt idx="9">
                  <c:v>16.365835777126094</c:v>
                </c:pt>
                <c:pt idx="10">
                  <c:v>16.727777777777778</c:v>
                </c:pt>
                <c:pt idx="11">
                  <c:v>17.218279569892474</c:v>
                </c:pt>
              </c:numCache>
            </c:numRef>
          </c:val>
          <c:smooth val="0"/>
          <c:extLst xmlns:c16r2="http://schemas.microsoft.com/office/drawing/2015/06/chart">
            <c:ext xmlns:c16="http://schemas.microsoft.com/office/drawing/2014/chart" uri="{C3380CC4-5D6E-409C-BE32-E72D297353CC}">
              <c16:uniqueId val="{00000001-5AC1-4AC9-9008-F7DB4F1E45E5}"/>
            </c:ext>
          </c:extLst>
        </c:ser>
        <c:ser>
          <c:idx val="2"/>
          <c:order val="2"/>
          <c:tx>
            <c:strRef>
              <c:f>Sheet1!$A$5</c:f>
              <c:strCache>
                <c:ptCount val="1"/>
                <c:pt idx="0">
                  <c:v>Ginnir_Maximum</c:v>
                </c:pt>
              </c:strCache>
            </c:strRef>
          </c:tx>
          <c:spPr>
            <a:ln w="22225" cap="rnd">
              <a:solidFill>
                <a:schemeClr val="accent3"/>
              </a:solidFill>
              <a:round/>
            </a:ln>
            <a:effectLst/>
          </c:spPr>
          <c:marker>
            <c:symbol val="triangle"/>
            <c:size val="6"/>
            <c:spPr>
              <a:solidFill>
                <a:schemeClr val="accent3"/>
              </a:solidFill>
              <a:ln w="9525">
                <a:solidFill>
                  <a:schemeClr val="accent3"/>
                </a:solidFill>
                <a:round/>
              </a:ln>
              <a:effectLst/>
            </c:spPr>
          </c:marker>
          <c:cat>
            <c:strRef>
              <c:f>Sheet1!$B$2:$M$2</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Sheet1!$B$5:$M$5</c:f>
              <c:numCache>
                <c:formatCode>0.0</c:formatCode>
                <c:ptCount val="12"/>
                <c:pt idx="0">
                  <c:v>25.038404301075264</c:v>
                </c:pt>
                <c:pt idx="1">
                  <c:v>26.295945433876469</c:v>
                </c:pt>
                <c:pt idx="2">
                  <c:v>25.90838613671275</c:v>
                </c:pt>
                <c:pt idx="3">
                  <c:v>24.171265508684861</c:v>
                </c:pt>
                <c:pt idx="4">
                  <c:v>23.774961745244006</c:v>
                </c:pt>
                <c:pt idx="5">
                  <c:v>23.659575757575752</c:v>
                </c:pt>
                <c:pt idx="6">
                  <c:v>23.582199425973993</c:v>
                </c:pt>
                <c:pt idx="7">
                  <c:v>24.323096774193544</c:v>
                </c:pt>
                <c:pt idx="8">
                  <c:v>24.878266666666658</c:v>
                </c:pt>
                <c:pt idx="9">
                  <c:v>22.830126807563961</c:v>
                </c:pt>
                <c:pt idx="10">
                  <c:v>22.997307692307693</c:v>
                </c:pt>
                <c:pt idx="11">
                  <c:v>23.917105045492143</c:v>
                </c:pt>
              </c:numCache>
            </c:numRef>
          </c:val>
          <c:smooth val="0"/>
          <c:extLst xmlns:c16r2="http://schemas.microsoft.com/office/drawing/2015/06/chart">
            <c:ext xmlns:c16="http://schemas.microsoft.com/office/drawing/2014/chart" uri="{C3380CC4-5D6E-409C-BE32-E72D297353CC}">
              <c16:uniqueId val="{00000002-5AC1-4AC9-9008-F7DB4F1E45E5}"/>
            </c:ext>
          </c:extLst>
        </c:ser>
        <c:ser>
          <c:idx val="3"/>
          <c:order val="3"/>
          <c:tx>
            <c:strRef>
              <c:f>Sheet1!$A$6</c:f>
              <c:strCache>
                <c:ptCount val="1"/>
                <c:pt idx="0">
                  <c:v>Robe_Maximum</c:v>
                </c:pt>
              </c:strCache>
            </c:strRef>
          </c:tx>
          <c:spPr>
            <a:ln w="22225" cap="rnd">
              <a:solidFill>
                <a:schemeClr val="accent4"/>
              </a:solidFill>
              <a:round/>
            </a:ln>
            <a:effectLst/>
          </c:spPr>
          <c:marker>
            <c:symbol val="x"/>
            <c:size val="6"/>
            <c:spPr>
              <a:noFill/>
              <a:ln w="9525">
                <a:solidFill>
                  <a:schemeClr val="accent4"/>
                </a:solidFill>
                <a:round/>
              </a:ln>
              <a:effectLst/>
            </c:spPr>
          </c:marker>
          <c:cat>
            <c:strRef>
              <c:f>Sheet1!$B$2:$M$2</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Sheet1!$B$6:$M$6</c:f>
              <c:numCache>
                <c:formatCode>0.0</c:formatCode>
                <c:ptCount val="12"/>
                <c:pt idx="0">
                  <c:v>22.88714366254985</c:v>
                </c:pt>
                <c:pt idx="1">
                  <c:v>23.910850047326562</c:v>
                </c:pt>
                <c:pt idx="2">
                  <c:v>23.821834292509926</c:v>
                </c:pt>
                <c:pt idx="3">
                  <c:v>22.143218439711625</c:v>
                </c:pt>
                <c:pt idx="4">
                  <c:v>22.290650006331589</c:v>
                </c:pt>
                <c:pt idx="5">
                  <c:v>22.77539784860803</c:v>
                </c:pt>
                <c:pt idx="6">
                  <c:v>22.21509642415938</c:v>
                </c:pt>
                <c:pt idx="7">
                  <c:v>21.415381637808427</c:v>
                </c:pt>
                <c:pt idx="8">
                  <c:v>21.047913653372891</c:v>
                </c:pt>
                <c:pt idx="9">
                  <c:v>19.964444349328236</c:v>
                </c:pt>
                <c:pt idx="10">
                  <c:v>20.589069672531771</c:v>
                </c:pt>
                <c:pt idx="11">
                  <c:v>21.706150348835493</c:v>
                </c:pt>
              </c:numCache>
            </c:numRef>
          </c:val>
          <c:smooth val="0"/>
          <c:extLst xmlns:c16r2="http://schemas.microsoft.com/office/drawing/2015/06/chart">
            <c:ext xmlns:c16="http://schemas.microsoft.com/office/drawing/2014/chart" uri="{C3380CC4-5D6E-409C-BE32-E72D297353CC}">
              <c16:uniqueId val="{00000003-5AC1-4AC9-9008-F7DB4F1E45E5}"/>
            </c:ext>
          </c:extLst>
        </c:ser>
        <c:ser>
          <c:idx val="4"/>
          <c:order val="4"/>
          <c:tx>
            <c:strRef>
              <c:f>Sheet1!$A$7</c:f>
              <c:strCache>
                <c:ptCount val="1"/>
                <c:pt idx="0">
                  <c:v>Sinana_Maximum</c:v>
                </c:pt>
              </c:strCache>
            </c:strRef>
          </c:tx>
          <c:spPr>
            <a:ln w="22225" cap="rnd">
              <a:solidFill>
                <a:schemeClr val="accent5"/>
              </a:solidFill>
              <a:round/>
            </a:ln>
            <a:effectLst/>
          </c:spPr>
          <c:marker>
            <c:symbol val="star"/>
            <c:size val="6"/>
            <c:spPr>
              <a:noFill/>
              <a:ln w="9525">
                <a:solidFill>
                  <a:schemeClr val="accent5"/>
                </a:solidFill>
                <a:round/>
              </a:ln>
              <a:effectLst/>
            </c:spPr>
          </c:marker>
          <c:cat>
            <c:strRef>
              <c:f>Sheet1!$B$2:$M$2</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Sheet1!$B$7:$M$7</c:f>
              <c:numCache>
                <c:formatCode>0.0</c:formatCode>
                <c:ptCount val="12"/>
                <c:pt idx="0">
                  <c:v>23.093657977233967</c:v>
                </c:pt>
                <c:pt idx="1">
                  <c:v>23.949465601307626</c:v>
                </c:pt>
                <c:pt idx="2">
                  <c:v>23.294084546543328</c:v>
                </c:pt>
                <c:pt idx="3">
                  <c:v>21.708481540835709</c:v>
                </c:pt>
                <c:pt idx="4">
                  <c:v>21.642316000367614</c:v>
                </c:pt>
                <c:pt idx="5">
                  <c:v>20.442428911900063</c:v>
                </c:pt>
                <c:pt idx="6">
                  <c:v>21.153344265832345</c:v>
                </c:pt>
                <c:pt idx="7">
                  <c:v>21.365352641021648</c:v>
                </c:pt>
                <c:pt idx="8">
                  <c:v>21.313836614301547</c:v>
                </c:pt>
                <c:pt idx="9">
                  <c:v>20.401155244098792</c:v>
                </c:pt>
                <c:pt idx="10">
                  <c:v>21.099478222422739</c:v>
                </c:pt>
                <c:pt idx="11">
                  <c:v>21.909426111647218</c:v>
                </c:pt>
              </c:numCache>
            </c:numRef>
          </c:val>
          <c:smooth val="0"/>
          <c:extLst xmlns:c16r2="http://schemas.microsoft.com/office/drawing/2015/06/chart">
            <c:ext xmlns:c16="http://schemas.microsoft.com/office/drawing/2014/chart" uri="{C3380CC4-5D6E-409C-BE32-E72D297353CC}">
              <c16:uniqueId val="{00000004-5AC1-4AC9-9008-F7DB4F1E45E5}"/>
            </c:ext>
          </c:extLst>
        </c:ser>
        <c:ser>
          <c:idx val="5"/>
          <c:order val="5"/>
          <c:tx>
            <c:strRef>
              <c:f>Sheet1!$A$13</c:f>
              <c:strCache>
                <c:ptCount val="1"/>
                <c:pt idx="0">
                  <c:v>Agarfa_Minimun</c:v>
                </c:pt>
              </c:strCache>
            </c:strRef>
          </c:tx>
          <c:spPr>
            <a:ln w="22225" cap="rnd">
              <a:solidFill>
                <a:schemeClr val="accent6"/>
              </a:solidFill>
              <a:round/>
            </a:ln>
            <a:effectLst/>
          </c:spPr>
          <c:marker>
            <c:symbol val="circle"/>
            <c:size val="6"/>
            <c:spPr>
              <a:solidFill>
                <a:schemeClr val="accent6"/>
              </a:solidFill>
              <a:ln w="9525">
                <a:solidFill>
                  <a:schemeClr val="accent6"/>
                </a:solidFill>
                <a:round/>
              </a:ln>
              <a:effectLst/>
            </c:spPr>
          </c:marker>
          <c:cat>
            <c:strRef>
              <c:f>Sheet1!$B$2:$M$2</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Sheet1!$B$13:$M$13</c:f>
              <c:numCache>
                <c:formatCode>General</c:formatCode>
                <c:ptCount val="12"/>
                <c:pt idx="0">
                  <c:v>6.290909090909091</c:v>
                </c:pt>
                <c:pt idx="1">
                  <c:v>7.5383723316912983</c:v>
                </c:pt>
                <c:pt idx="2">
                  <c:v>8.5432795698924728</c:v>
                </c:pt>
                <c:pt idx="3">
                  <c:v>9.9830303030303025</c:v>
                </c:pt>
                <c:pt idx="4">
                  <c:v>9.3225806451612918</c:v>
                </c:pt>
                <c:pt idx="5">
                  <c:v>8.865454545454547</c:v>
                </c:pt>
                <c:pt idx="6">
                  <c:v>9.180938416422288</c:v>
                </c:pt>
                <c:pt idx="7">
                  <c:v>8.8970674486803532</c:v>
                </c:pt>
                <c:pt idx="8">
                  <c:v>8.4175757575757579</c:v>
                </c:pt>
                <c:pt idx="9">
                  <c:v>8.1686217008797666</c:v>
                </c:pt>
                <c:pt idx="10">
                  <c:v>6.3854545454545439</c:v>
                </c:pt>
                <c:pt idx="11">
                  <c:v>6.1283870967741922</c:v>
                </c:pt>
              </c:numCache>
            </c:numRef>
          </c:val>
          <c:smooth val="0"/>
          <c:extLst xmlns:c16r2="http://schemas.microsoft.com/office/drawing/2015/06/chart">
            <c:ext xmlns:c16="http://schemas.microsoft.com/office/drawing/2014/chart" uri="{C3380CC4-5D6E-409C-BE32-E72D297353CC}">
              <c16:uniqueId val="{00000005-5AC1-4AC9-9008-F7DB4F1E45E5}"/>
            </c:ext>
          </c:extLst>
        </c:ser>
        <c:ser>
          <c:idx val="6"/>
          <c:order val="6"/>
          <c:tx>
            <c:strRef>
              <c:f>Sheet1!$A$14</c:f>
              <c:strCache>
                <c:ptCount val="1"/>
                <c:pt idx="0">
                  <c:v>Dinsho_Minimun</c:v>
                </c:pt>
              </c:strCache>
            </c:strRef>
          </c:tx>
          <c:spPr>
            <a:ln w="22225" cap="rnd">
              <a:solidFill>
                <a:schemeClr val="accent1">
                  <a:lumMod val="60000"/>
                </a:schemeClr>
              </a:solidFill>
              <a:round/>
            </a:ln>
            <a:effectLst/>
          </c:spPr>
          <c:marker>
            <c:symbol val="plus"/>
            <c:size val="6"/>
            <c:spPr>
              <a:noFill/>
              <a:ln w="9525">
                <a:solidFill>
                  <a:schemeClr val="accent1">
                    <a:lumMod val="60000"/>
                  </a:schemeClr>
                </a:solidFill>
                <a:round/>
              </a:ln>
              <a:effectLst/>
            </c:spPr>
          </c:marker>
          <c:cat>
            <c:strRef>
              <c:f>Sheet1!$B$2:$M$2</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Sheet1!$B$14:$M$14</c:f>
              <c:numCache>
                <c:formatCode>General</c:formatCode>
                <c:ptCount val="12"/>
                <c:pt idx="0">
                  <c:v>2.5225806451612898</c:v>
                </c:pt>
                <c:pt idx="1">
                  <c:v>2.8428035982008995</c:v>
                </c:pt>
                <c:pt idx="2">
                  <c:v>4.0970223325062038</c:v>
                </c:pt>
                <c:pt idx="3">
                  <c:v>5.6772222222222206</c:v>
                </c:pt>
                <c:pt idx="4">
                  <c:v>5.4560483870967742</c:v>
                </c:pt>
                <c:pt idx="5">
                  <c:v>5.382121212121211</c:v>
                </c:pt>
                <c:pt idx="6">
                  <c:v>5.505189340813466</c:v>
                </c:pt>
                <c:pt idx="7">
                  <c:v>5.080645161290323</c:v>
                </c:pt>
                <c:pt idx="8">
                  <c:v>4.8406349206349208</c:v>
                </c:pt>
                <c:pt idx="9">
                  <c:v>4.921114369501467</c:v>
                </c:pt>
                <c:pt idx="10">
                  <c:v>2.905238095238095</c:v>
                </c:pt>
                <c:pt idx="11">
                  <c:v>2.7314900153609831</c:v>
                </c:pt>
              </c:numCache>
            </c:numRef>
          </c:val>
          <c:smooth val="0"/>
          <c:extLst xmlns:c16r2="http://schemas.microsoft.com/office/drawing/2015/06/chart">
            <c:ext xmlns:c16="http://schemas.microsoft.com/office/drawing/2014/chart" uri="{C3380CC4-5D6E-409C-BE32-E72D297353CC}">
              <c16:uniqueId val="{00000006-5AC1-4AC9-9008-F7DB4F1E45E5}"/>
            </c:ext>
          </c:extLst>
        </c:ser>
        <c:ser>
          <c:idx val="7"/>
          <c:order val="7"/>
          <c:tx>
            <c:strRef>
              <c:f>Sheet1!$A$15</c:f>
              <c:strCache>
                <c:ptCount val="1"/>
                <c:pt idx="0">
                  <c:v>Ginnir_Minimun</c:v>
                </c:pt>
              </c:strCache>
            </c:strRef>
          </c:tx>
          <c:spPr>
            <a:ln w="22225" cap="rnd">
              <a:solidFill>
                <a:schemeClr val="accent2">
                  <a:lumMod val="60000"/>
                </a:schemeClr>
              </a:solidFill>
              <a:round/>
            </a:ln>
            <a:effectLst/>
          </c:spPr>
          <c:marker>
            <c:symbol val="dot"/>
            <c:size val="6"/>
            <c:spPr>
              <a:solidFill>
                <a:schemeClr val="accent2">
                  <a:lumMod val="60000"/>
                </a:schemeClr>
              </a:solidFill>
              <a:ln w="9525">
                <a:solidFill>
                  <a:schemeClr val="accent2">
                    <a:lumMod val="60000"/>
                  </a:schemeClr>
                </a:solidFill>
                <a:round/>
              </a:ln>
              <a:effectLst/>
            </c:spPr>
          </c:marker>
          <c:cat>
            <c:strRef>
              <c:f>Sheet1!$B$2:$M$2</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Sheet1!$B$15:$M$15</c:f>
              <c:numCache>
                <c:formatCode>0.0</c:formatCode>
                <c:ptCount val="12"/>
                <c:pt idx="0">
                  <c:v>10.309139784946238</c:v>
                </c:pt>
                <c:pt idx="1">
                  <c:v>11.464856742873987</c:v>
                </c:pt>
                <c:pt idx="2">
                  <c:v>12.497695852534562</c:v>
                </c:pt>
                <c:pt idx="3">
                  <c:v>13.018263639984067</c:v>
                </c:pt>
                <c:pt idx="4">
                  <c:v>12.831214655515726</c:v>
                </c:pt>
                <c:pt idx="5">
                  <c:v>12.230573730228901</c:v>
                </c:pt>
                <c:pt idx="6">
                  <c:v>11.930692918192923</c:v>
                </c:pt>
                <c:pt idx="7">
                  <c:v>11.873200992555834</c:v>
                </c:pt>
                <c:pt idx="8">
                  <c:v>12.187462068965518</c:v>
                </c:pt>
                <c:pt idx="9">
                  <c:v>11.951070967741934</c:v>
                </c:pt>
                <c:pt idx="10">
                  <c:v>10.867019875478926</c:v>
                </c:pt>
                <c:pt idx="11">
                  <c:v>10.295518872821653</c:v>
                </c:pt>
              </c:numCache>
            </c:numRef>
          </c:val>
          <c:smooth val="0"/>
          <c:extLst xmlns:c16r2="http://schemas.microsoft.com/office/drawing/2015/06/chart">
            <c:ext xmlns:c16="http://schemas.microsoft.com/office/drawing/2014/chart" uri="{C3380CC4-5D6E-409C-BE32-E72D297353CC}">
              <c16:uniqueId val="{00000007-5AC1-4AC9-9008-F7DB4F1E45E5}"/>
            </c:ext>
          </c:extLst>
        </c:ser>
        <c:ser>
          <c:idx val="8"/>
          <c:order val="8"/>
          <c:tx>
            <c:strRef>
              <c:f>Sheet1!$A$16</c:f>
              <c:strCache>
                <c:ptCount val="1"/>
                <c:pt idx="0">
                  <c:v>Robe_Minimun</c:v>
                </c:pt>
              </c:strCache>
            </c:strRef>
          </c:tx>
          <c:spPr>
            <a:ln w="22225" cap="rnd">
              <a:solidFill>
                <a:schemeClr val="accent3">
                  <a:lumMod val="60000"/>
                </a:schemeClr>
              </a:solidFill>
              <a:round/>
            </a:ln>
            <a:effectLst/>
          </c:spPr>
          <c:marker>
            <c:symbol val="dash"/>
            <c:size val="6"/>
            <c:spPr>
              <a:solidFill>
                <a:schemeClr val="accent3">
                  <a:lumMod val="60000"/>
                </a:schemeClr>
              </a:solidFill>
              <a:ln w="9525">
                <a:solidFill>
                  <a:schemeClr val="accent3">
                    <a:lumMod val="60000"/>
                  </a:schemeClr>
                </a:solidFill>
                <a:round/>
              </a:ln>
              <a:effectLst/>
            </c:spPr>
          </c:marker>
          <c:cat>
            <c:strRef>
              <c:f>Sheet1!$B$2:$M$2</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Sheet1!$B$16:$M$16</c:f>
              <c:numCache>
                <c:formatCode>0.0</c:formatCode>
                <c:ptCount val="12"/>
                <c:pt idx="0">
                  <c:v>6.1114464099895933</c:v>
                </c:pt>
                <c:pt idx="1">
                  <c:v>7.1638398926496825</c:v>
                </c:pt>
                <c:pt idx="2">
                  <c:v>8.613839750260146</c:v>
                </c:pt>
                <c:pt idx="3">
                  <c:v>9.7270114942528725</c:v>
                </c:pt>
                <c:pt idx="4">
                  <c:v>9.6616418139971199</c:v>
                </c:pt>
                <c:pt idx="5">
                  <c:v>9.3277590302743452</c:v>
                </c:pt>
                <c:pt idx="6">
                  <c:v>9.3729955483335594</c:v>
                </c:pt>
                <c:pt idx="7">
                  <c:v>9.3226847034339215</c:v>
                </c:pt>
                <c:pt idx="8">
                  <c:v>9.1343916614202598</c:v>
                </c:pt>
                <c:pt idx="9">
                  <c:v>8.7353684500101654</c:v>
                </c:pt>
                <c:pt idx="10">
                  <c:v>7.0168529805262381</c:v>
                </c:pt>
                <c:pt idx="11">
                  <c:v>5.9967706093189967</c:v>
                </c:pt>
              </c:numCache>
            </c:numRef>
          </c:val>
          <c:smooth val="0"/>
          <c:extLst xmlns:c16r2="http://schemas.microsoft.com/office/drawing/2015/06/chart">
            <c:ext xmlns:c16="http://schemas.microsoft.com/office/drawing/2014/chart" uri="{C3380CC4-5D6E-409C-BE32-E72D297353CC}">
              <c16:uniqueId val="{00000008-5AC1-4AC9-9008-F7DB4F1E45E5}"/>
            </c:ext>
          </c:extLst>
        </c:ser>
        <c:ser>
          <c:idx val="9"/>
          <c:order val="9"/>
          <c:tx>
            <c:strRef>
              <c:f>Sheet1!$A$17</c:f>
              <c:strCache>
                <c:ptCount val="1"/>
                <c:pt idx="0">
                  <c:v>Sinana_Minimun</c:v>
                </c:pt>
              </c:strCache>
            </c:strRef>
          </c:tx>
          <c:spPr>
            <a:ln w="22225" cap="rnd">
              <a:solidFill>
                <a:schemeClr val="accent4">
                  <a:lumMod val="60000"/>
                </a:schemeClr>
              </a:solidFill>
              <a:round/>
            </a:ln>
            <a:effectLst/>
          </c:spPr>
          <c:marker>
            <c:symbol val="diamond"/>
            <c:size val="6"/>
            <c:spPr>
              <a:solidFill>
                <a:schemeClr val="accent4">
                  <a:lumMod val="60000"/>
                </a:schemeClr>
              </a:solidFill>
              <a:ln w="9525">
                <a:solidFill>
                  <a:schemeClr val="accent4">
                    <a:lumMod val="60000"/>
                  </a:schemeClr>
                </a:solidFill>
                <a:round/>
              </a:ln>
              <a:effectLst/>
            </c:spPr>
          </c:marker>
          <c:cat>
            <c:strRef>
              <c:f>Sheet1!$B$2:$M$2</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Sheet1!$B$17:$M$17</c:f>
              <c:numCache>
                <c:formatCode>0.0</c:formatCode>
                <c:ptCount val="12"/>
                <c:pt idx="0">
                  <c:v>5.4816457788249506</c:v>
                </c:pt>
                <c:pt idx="1">
                  <c:v>6.0885319229676291</c:v>
                </c:pt>
                <c:pt idx="2">
                  <c:v>7.6897249039093891</c:v>
                </c:pt>
                <c:pt idx="3">
                  <c:v>8.6856902975205355</c:v>
                </c:pt>
                <c:pt idx="4">
                  <c:v>8.7854760173086106</c:v>
                </c:pt>
                <c:pt idx="5">
                  <c:v>8.7391068149357274</c:v>
                </c:pt>
                <c:pt idx="6">
                  <c:v>7.8630841604631918</c:v>
                </c:pt>
                <c:pt idx="7">
                  <c:v>8.3458722153973834</c:v>
                </c:pt>
                <c:pt idx="8">
                  <c:v>9.0484701696770653</c:v>
                </c:pt>
                <c:pt idx="9">
                  <c:v>8.1614805201939067</c:v>
                </c:pt>
                <c:pt idx="10">
                  <c:v>5.6511018868068028</c:v>
                </c:pt>
                <c:pt idx="11">
                  <c:v>4.4664153124131794</c:v>
                </c:pt>
              </c:numCache>
            </c:numRef>
          </c:val>
          <c:smooth val="0"/>
          <c:extLst xmlns:c16r2="http://schemas.microsoft.com/office/drawing/2015/06/chart">
            <c:ext xmlns:c16="http://schemas.microsoft.com/office/drawing/2014/chart" uri="{C3380CC4-5D6E-409C-BE32-E72D297353CC}">
              <c16:uniqueId val="{00000009-5AC1-4AC9-9008-F7DB4F1E45E5}"/>
            </c:ext>
          </c:extLst>
        </c:ser>
        <c:dLbls>
          <c:showLegendKey val="0"/>
          <c:showVal val="0"/>
          <c:showCatName val="0"/>
          <c:showSerName val="0"/>
          <c:showPercent val="0"/>
          <c:showBubbleSize val="0"/>
        </c:dLbls>
        <c:marker val="1"/>
        <c:smooth val="0"/>
        <c:axId val="644872592"/>
        <c:axId val="644871024"/>
      </c:lineChart>
      <c:catAx>
        <c:axId val="644872592"/>
        <c:scaling>
          <c:orientation val="minMax"/>
        </c:scaling>
        <c:delete val="0"/>
        <c:axPos val="b"/>
        <c:title>
          <c:tx>
            <c:rich>
              <a:bodyPr rot="0" spcFirstLastPara="1" vertOverflow="ellipsis" vert="horz" wrap="square" anchor="ctr" anchorCtr="1"/>
              <a:lstStyle/>
              <a:p>
                <a:pPr>
                  <a:defRPr sz="1000" b="0"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sz="1000" cap="none">
                    <a:solidFill>
                      <a:sysClr val="windowText" lastClr="000000"/>
                    </a:solidFill>
                    <a:latin typeface="Times New Roman" panose="02020603050405020304" pitchFamily="18" charset="0"/>
                    <a:cs typeface="Times New Roman" panose="02020603050405020304" pitchFamily="18" charset="0"/>
                  </a:rPr>
                  <a:t>Months</a:t>
                </a:r>
              </a:p>
            </c:rich>
          </c:tx>
          <c:layout>
            <c:manualLayout>
              <c:xMode val="edge"/>
              <c:yMode val="edge"/>
              <c:x val="0.3858480045321861"/>
              <c:y val="0.88910563811102561"/>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600" b="0" i="0" u="none" strike="noStrike" kern="1200" cap="none" spc="120" normalizeH="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644871024"/>
        <c:crosses val="autoZero"/>
        <c:auto val="1"/>
        <c:lblAlgn val="ctr"/>
        <c:lblOffset val="100"/>
        <c:noMultiLvlLbl val="0"/>
      </c:catAx>
      <c:valAx>
        <c:axId val="64487102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sz="1000" cap="none">
                    <a:solidFill>
                      <a:sysClr val="windowText" lastClr="000000"/>
                    </a:solidFill>
                    <a:latin typeface="Times New Roman" panose="02020603050405020304" pitchFamily="18" charset="0"/>
                    <a:cs typeface="Times New Roman" panose="02020603050405020304" pitchFamily="18" charset="0"/>
                  </a:rPr>
                  <a:t>Temperature (</a:t>
                </a:r>
                <a:r>
                  <a:rPr lang="en-US" sz="1000" cap="none" baseline="30000">
                    <a:solidFill>
                      <a:sysClr val="windowText" lastClr="000000"/>
                    </a:solidFill>
                    <a:latin typeface="Times New Roman" panose="02020603050405020304" pitchFamily="18" charset="0"/>
                    <a:cs typeface="Times New Roman" panose="02020603050405020304" pitchFamily="18" charset="0"/>
                  </a:rPr>
                  <a:t>0</a:t>
                </a:r>
                <a:r>
                  <a:rPr lang="en-US" sz="1000" cap="none">
                    <a:solidFill>
                      <a:sysClr val="windowText" lastClr="000000"/>
                    </a:solidFill>
                    <a:latin typeface="Times New Roman" panose="02020603050405020304" pitchFamily="18" charset="0"/>
                    <a:cs typeface="Times New Roman" panose="02020603050405020304" pitchFamily="18" charset="0"/>
                  </a:rPr>
                  <a:t>C)</a:t>
                </a:r>
              </a:p>
            </c:rich>
          </c:tx>
          <c:layout>
            <c:manualLayout>
              <c:xMode val="edge"/>
              <c:yMode val="edge"/>
              <c:x val="4.3451533552892677E-3"/>
              <c:y val="0.27645234993107876"/>
            </c:manualLayout>
          </c:layout>
          <c:overlay val="0"/>
          <c:spPr>
            <a:noFill/>
            <a:ln>
              <a:noFill/>
            </a:ln>
            <a:effectLst/>
          </c:spPr>
        </c:title>
        <c:numFmt formatCode="0.0"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44872592"/>
        <c:crosses val="autoZero"/>
        <c:crossBetween val="between"/>
      </c:valAx>
      <c:spPr>
        <a:noFill/>
        <a:ln w="12700">
          <a:solidFill>
            <a:sysClr val="windowText" lastClr="000000"/>
          </a:solidFill>
        </a:ln>
        <a:effectLst/>
      </c:spPr>
    </c:plotArea>
    <c:legend>
      <c:legendPos val="r"/>
      <c:layout>
        <c:manualLayout>
          <c:xMode val="edge"/>
          <c:yMode val="edge"/>
          <c:x val="0.73859491293049595"/>
          <c:y val="6.0545989443627254E-2"/>
          <c:w val="0.24720056725809542"/>
          <c:h val="0.93939214328978105"/>
        </c:manualLayout>
      </c:layout>
      <c:overlay val="0"/>
      <c:spPr>
        <a:noFill/>
        <a:ln>
          <a:solidFill>
            <a:sysClr val="windowText" lastClr="000000"/>
          </a:solid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chemeClr val="lt1"/>
    </a:solidFill>
    <a:ln w="12700" cap="flat" cmpd="sng" algn="ctr">
      <a:solidFill>
        <a:sysClr val="windowText" lastClr="000000"/>
      </a:solidFill>
      <a:round/>
    </a:ln>
    <a:effectLst/>
  </c:spPr>
  <c:txPr>
    <a:bodyPr/>
    <a:lstStyle/>
    <a:p>
      <a:pPr>
        <a:lnSpc>
          <a:spcPct val="150000"/>
        </a:lnSpc>
        <a:spcBef>
          <a:spcPts val="1200"/>
        </a:spcBef>
        <a:spcAft>
          <a:spcPts val="600"/>
        </a:spcAft>
        <a:defRPr/>
      </a:pPr>
      <a:endParaRPr lang="en-US"/>
    </a:p>
  </c:txPr>
  <c:externalData r:id="rId2">
    <c:autoUpdate val="0"/>
  </c:externalData>
</c:chartSpace>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Cho10</b:Tag>
    <b:SourceType>JournalArticle</b:SourceType>
    <b:Guid>{1BC989D0-776A-43FA-91A2-B115C793AC9F}</b:Guid>
    <b:Author>
      <b:Author>
        <b:NameList>
          <b:Person>
            <b:Last>Chowdhury</b:Last>
            <b:First>A.,</b:First>
            <b:Middle>Jha, M.K., Chowdary, V.M.</b:Middle>
          </b:Person>
        </b:NameList>
      </b:Author>
    </b:Author>
    <b:Title>Delineation of groundwater recharge zones and identification of artificial recharge sites in West Medinipur District</b:Title>
    <b:JournalName>Environ. Earth Sci.</b:JournalName>
    <b:Year>2010</b:Year>
    <b:Pages>59 (6), 1209–1222 2009</b:Pages>
    <b:RefOrder>1</b:RefOrder>
  </b:Source>
  <b:Source>
    <b:Tag>Tod05</b:Tag>
    <b:SourceType>Book</b:SourceType>
    <b:Guid>{200D377A-5289-4D59-9026-7652EE5A943C}</b:Guid>
    <b:Author>
      <b:Author>
        <b:NameList>
          <b:Person>
            <b:Last>Todd</b:Last>
            <b:First>David</b:First>
            <b:Middle>Keith</b:Middle>
          </b:Person>
        </b:NameList>
      </b:Author>
    </b:Author>
    <b:Title>Groundwater hydrology</b:Title>
    <b:Year>2005</b:Year>
    <b:City>United States of America</b:City>
    <b:StateProvince>Arizona state university</b:StateProvince>
    <b:RefOrder>2</b:RefOrder>
  </b:Source>
  <b:Source>
    <b:Tag>Ras16</b:Tag>
    <b:SourceType>DocumentFromInternetSite</b:SourceType>
    <b:Guid>{25B891BC-59AB-4BCE-AB1B-2AEC95EDE2C4}</b:Guid>
    <b:Author>
      <b:Author>
        <b:NameList>
          <b:Person>
            <b:Last>Rashman</b:Last>
          </b:Person>
        </b:NameList>
      </b:Author>
    </b:Author>
    <b:Title>Identification of Groundwater recharge potential zones in Thiruverumbur block Trichy district using GIS and remote sensing.</b:Title>
    <b:Year>2016</b:Year>
    <b:RefOrder>3</b:RefOrder>
  </b:Source>
  <b:Source>
    <b:Tag>Lyl83</b:Tag>
    <b:SourceType>JournalArticle</b:SourceType>
    <b:Guid>{F466130F-89F5-4F32-BDB8-B271AFFFAF1B}</b:Guid>
    <b:Author>
      <b:Author>
        <b:NameList>
          <b:Person>
            <b:Last>Lyle</b:Last>
            <b:First>J.</b:First>
          </b:Person>
          <b:Person>
            <b:Last>Stutz</b:Last>
            <b:First>F.P.</b:First>
          </b:Person>
        </b:NameList>
      </b:Author>
    </b:Author>
    <b:Title>Computerised land use suitability mapping</b:Title>
    <b:JournalName>The Cartographic Journal,</b:JournalName>
    <b:Year>1983</b:Year>
    <b:Pages>39-49</b:Pages>
    <b:RefOrder>4</b:RefOrder>
  </b:Source>
  <b:Source>
    <b:Tag>Gro</b:Tag>
    <b:SourceType>ConferenceProceedings</b:SourceType>
    <b:Guid>{D5355616-7BAE-45E9-90AC-53ABE630CA71}</b:Guid>
    <b:Title>Groundwater Suitability Recharge Zones Modelling – A GIS Application</b:Title>
    <b:Author>
      <b:Author>
        <b:NameList>
          <b:Person>
            <b:Last>Dabrala</b:Last>
            <b:First>Sumit</b:First>
          </b:Person>
          <b:Person>
            <b:Last>Bhattb</b:Last>
            <b:First>Bindu</b:First>
          </b:Person>
          <b:Person>
            <b:Last>Joshib</b:Last>
            <b:First>Janak</b:First>
          </b:Person>
          <b:Person>
            <b:Last>Sharma</b:Last>
            <b:First>N</b:First>
          </b:Person>
        </b:NameList>
      </b:Author>
    </b:Author>
    <b:JournalName>The International Archives of the Photogrammetry, Remote Sensing and Spatial Information Sciences</b:JournalName>
    <b:Year>2014</b:Year>
    <b:Volume>XL-8</b:Volume>
    <b:City>Hyderabad, India</b:City>
    <b:ConferenceName>ISPRS Technical Commission VIII Symposium</b:ConferenceName>
    <b:RefOrder>5</b:RefOrder>
  </b:Source>
  <b:Source>
    <b:Tag>Saa90</b:Tag>
    <b:SourceType>BookSection</b:SourceType>
    <b:Guid>{6FA8CBD5-5695-4900-8F94-A9D682A8C2FE}</b:Guid>
    <b:Author>
      <b:Author>
        <b:NameList>
          <b:Person>
            <b:Last>Saaty</b:Last>
            <b:First>T.</b:First>
          </b:Person>
        </b:NameList>
      </b:Author>
    </b:Author>
    <b:Title>“Decision Making for Leaders: The Analytic Hierarchy Process for Decisions in a Complex World”</b:Title>
    <b:Year>1990</b:Year>
    <b:City>Pittsburgh</b:City>
    <b:Publisher>PA: RWS Publications,</b:Publisher>
    <b:RefOrder>6</b:RefOrder>
  </b:Source>
  <b:Source>
    <b:Tag>Saa80</b:Tag>
    <b:SourceType>BookSection</b:SourceType>
    <b:Guid>{B20744EB-915A-41BC-89EE-AF1C6E25D726}</b:Guid>
    <b:Author>
      <b:Author>
        <b:NameList>
          <b:Person>
            <b:Last>Saaty</b:Last>
            <b:First>T.L.</b:First>
          </b:Person>
        </b:NameList>
      </b:Author>
    </b:Author>
    <b:Year>1980</b:Year>
    <b:City>New York</b:City>
    <b:Publisher>McGraw</b:Publisher>
    <b:BookTitle>The Analytic Hierarchy Process</b:BookTitle>
    <b:RefOrder>7</b:RefOrder>
  </b:Source>
  <b:Source>
    <b:Tag>Pun05</b:Tag>
    <b:SourceType>Book</b:SourceType>
    <b:Guid>{56C578AC-212C-492C-9F3D-294883354C21}</b:Guid>
    <b:Author>
      <b:Author>
        <b:NameList>
          <b:Person>
            <b:Last>Punmia</b:Last>
            <b:First>B.C.</b:First>
          </b:Person>
          <b:Person>
            <b:Last>Jain</b:Last>
            <b:First>Ashok</b:First>
          </b:Person>
          <b:Person>
            <b:Last>Jain</b:Last>
            <b:First>Arun</b:First>
          </b:Person>
        </b:NameList>
      </b:Author>
    </b:Author>
    <b:Title>Soil Mechanics and Foundations</b:Title>
    <b:Year>2005</b:Year>
    <b:City>New delhi, India</b:City>
    <b:Publisher>Laxmi Publication (P) Ltd</b:Publisher>
    <b:RefOrder>8</b:RefOrder>
  </b:Source>
  <b:Source>
    <b:Tag>Yas17</b:Tag>
    <b:SourceType>Report</b:SourceType>
    <b:Guid>{ADFD06E1-79DB-410B-8C72-5C91C926A3DB}</b:Guid>
    <b:Author>
      <b:Author>
        <b:NameList>
          <b:Person>
            <b:Last>Yasin</b:Last>
            <b:First>Ahmed</b:First>
          </b:Person>
        </b:NameList>
      </b:Author>
    </b:Author>
    <b:Title>Investigation of Drinking Water Quality, Sanitation-Hygiene Practices And The Potential of Indigenous Plant Seed For Water Purification In Southeast Ethiopia</b:Title>
    <b:Year>2017</b:Year>
    <b:Institution>University of South Africa</b:Institution>
    <b:RefOrder>9</b:RefOrder>
  </b:Source>
  <b:Source>
    <b:Tag>Ana</b:Tag>
    <b:SourceType>JournalArticle</b:SourceType>
    <b:Guid>{BF3D3A24-E3D9-46A9-8C94-DCBCB4DA7B04}</b:Guid>
    <b:Title>An approach to delineate groundwater recharge potential sites in Ambalantota,  Sri Lanka using GIS techniques</b:Title>
    <b:City>Beijing, China</b:City>
    <b:Institution>China University of Geosciences</b:Institution>
    <b:Year>2016</b:Year>
    <b:Author>
      <b:Author>
        <b:NameList>
          <b:Person>
            <b:Last>Senanayake</b:Last>
            <b:First>I.P.</b:First>
          </b:Person>
          <b:Person>
            <b:Last>Dissanayake</b:Last>
            <b:First>D.M.D.O.K.</b:First>
          </b:Person>
          <b:Person>
            <b:Last>Mayadunna</b:Last>
            <b:First>B.B.</b:First>
          </b:Person>
          <b:Person>
            <b:Last>Weerasekera</b:Last>
            <b:First>W.L.</b:First>
          </b:Person>
        </b:NameList>
      </b:Author>
    </b:Author>
    <b:JournalName>Geoscience Frontiers</b:JournalName>
    <b:Volume>7</b:Volume>
    <b:DOI>115e124</b:DOI>
    <b:RefOrder>10</b:RefOrder>
  </b:Source>
  <b:Source>
    <b:Tag>Asm15</b:Tag>
    <b:SourceType>Report</b:SourceType>
    <b:Guid>{36EFFDA7-3FBB-426A-B469-BD5694A8F09E}</b:Guid>
    <b:Author>
      <b:Author>
        <b:NameList>
          <b:Person>
            <b:Last>Asmeron</b:Last>
            <b:First>T.A.</b:First>
          </b:Person>
        </b:NameList>
      </b:Author>
    </b:Author>
    <b:Title>Assessing Surface Water Potential and Water Demand in Genale Dawa River Basin.</b:Title>
    <b:Year>2015</b:Year>
    <b:City>Addis Abeba</b:City>
    <b:RefOrder>11</b:RefOrder>
  </b:Source>
  <b:Source>
    <b:Tag>Kar</b:Tag>
    <b:SourceType>Report</b:SourceType>
    <b:Guid>{AC72E81D-F04F-4903-958B-D171BBC5881B}</b:Guid>
    <b:Author>
      <b:Author>
        <b:Corporate>Karagülle, Deniz; Frye, Charlie; Sayre, Roger; Breyer, Sean; Aniello, Peter; Vaughan, Randy; Wright, Dawn</b:Corporate>
      </b:Author>
    </b:Author>
    <b:Publisher>Environmental Systems Research Institute, Inc.</b:Publisher>
    <b:City>380 New York St, Redlands, CA 92373 USA.</b:City>
    <b:RefOrder>12</b:RefOrder>
  </b:Source>
  <b:Source>
    <b:Tag>GMa</b:Tag>
    <b:SourceType>JournalArticle</b:SourceType>
    <b:Guid>{74716E4A-99B3-40E6-9C07-9BED711837F1}</b:Guid>
    <b:Author>
      <b:Author>
        <b:NameList>
          <b:Person>
            <b:Last>Makombe</b:Last>
            <b:First>G.</b:First>
          </b:Person>
          <b:Person>
            <b:Last>Namara</b:Last>
            <b:First>R.</b:First>
          </b:Person>
          <b:Person>
            <b:Last>Hagos</b:Last>
            <b:First>F.</b:First>
          </b:Person>
          <b:Person>
            <b:Last>Awulachew</b:Last>
            <b:First>S.</b:First>
          </b:Person>
          <b:Person>
            <b:Last>Ayana</b:Last>
            <b:First>M.</b:First>
          </b:Person>
          <b:Person>
            <b:Last>Bossio</b:Last>
            <b:First>D.</b:First>
          </b:Person>
        </b:NameList>
      </b:Author>
    </b:Author>
    <b:Title>Comparative analysis of the technical efficiency of rain-fed and smallholder irrigation in Ethiopia</b:Title>
    <b:Year>2011</b:Year>
    <b:Publisher>International water management institute</b:Publisher>
    <b:City>colombo, srilanka</b:City>
    <b:JournalName>International water management institute</b:JournalName>
    <b:RefOrder>13</b:RefOrder>
  </b:Source>
  <b:Source>
    <b:Tag>Pav12</b:Tag>
    <b:SourceType>JournalArticle</b:SourceType>
    <b:Guid>{9027725D-601B-4121-BFD3-FDE8E6341C61}</b:Guid>
    <b:Author>
      <b:Author>
        <b:NameList>
          <b:Person>
            <b:Last>Pavelic</b:Last>
            <b:First>P.</b:First>
          </b:Person>
          <b:Person>
            <b:Last>Giordano</b:Last>
            <b:First>M.</b:First>
          </b:Person>
          <b:Person>
            <b:Last>Keraita</b:Last>
            <b:First>B.</b:First>
          </b:Person>
          <b:Person>
            <b:Last>Ramish</b:Last>
            <b:First>V.</b:First>
          </b:Person>
          <b:Person>
            <b:Last>Rao</b:Last>
            <b:First>T.</b:First>
          </b:Person>
        </b:NameList>
      </b:Author>
    </b:Author>
    <b:Title>Groundwater availability and use in Sub-Saharan Africa: a review of 15 countries.</b:Title>
    <b:JournalName>International Water Management Institute</b:JournalName>
    <b:Year>2012</b:Year>
    <b:RefOrder>14</b:RefOrder>
  </b:Source>
  <b:Source>
    <b:Tag>Pra08</b:Tag>
    <b:SourceType>JournalArticle</b:SourceType>
    <b:Guid>{D3FE2EFA-E7DA-48B1-86C7-5FAB6FE1A3B0}</b:Guid>
    <b:Author>
      <b:Author>
        <b:NameList>
          <b:Person>
            <b:Last>Prasad</b:Last>
            <b:First>R.</b:First>
          </b:Person>
          <b:Person>
            <b:Last>Mondal</b:Last>
            <b:First>K.</b:First>
          </b:Person>
          <b:Person>
            <b:Last>Banerjee</b:Last>
            <b:First>N.K.</b:First>
          </b:Person>
          <b:Person>
            <b:Last>Nandakumar</b:Last>
            <b:First>P.</b:First>
          </b:Person>
          <b:Person>
            <b:Last>Singh</b:Last>
            <b:First>V.</b:First>
            <b:Middle>S.</b:Middle>
          </b:Person>
        </b:NameList>
      </b:Author>
    </b:Author>
    <b:Title>Deciphering potential groundwater zone in hard rock through the application of</b:Title>
    <b:Year>2008</b:Year>
    <b:JournalName>Environmental geology</b:JournalName>
    <b:Pages>467-475</b:Pages>
    <b:RefOrder>15</b:RefOrder>
  </b:Source>
  <b:Source>
    <b:Tag>Sot13</b:Tag>
    <b:SourceType>JournalArticle</b:SourceType>
    <b:Guid>{7D4DD214-B59D-448D-9B46-25BE6DCCC956}</b:Guid>
    <b:Author>
      <b:Author>
        <b:NameList>
          <b:Person>
            <b:Last>SotoPonto</b:Last>
            <b:First>C</b:First>
          </b:Person>
          <b:Person>
            <b:Last>ArellanoBaeza</b:Last>
          </b:Person>
          <b:Person>
            <b:Last>Sanchez</b:Last>
            <b:First>G</b:First>
          </b:Person>
        </b:NameList>
      </b:Author>
    </b:Author>
    <b:Year>2013</b:Year>
    <b:Pages>93-103</b:Pages>
    <b:Volume>57</b:Volume>
    <b:Title>A new code for the automatic detection and analysis of lineament pattern for geophysical and geological purposes</b:Title>
    <b:JournalName>Computers &amp; Geosciences</b:JournalName>
    <b:City>Kadaganchi Gulbarga</b:City>
    <b:RefOrder>16</b:RefOrder>
  </b:Source>
  <b:Source>
    <b:Tag>Tes19</b:Tag>
    <b:SourceType>JournalArticle</b:SourceType>
    <b:Guid>{F35C38B4-6D35-4D77-BA2B-75E776ADAB18}</b:Guid>
    <b:Author>
      <b:Author>
        <b:NameList>
          <b:Person>
            <b:Last>Andualem</b:Last>
            <b:First>Tesfa</b:First>
          </b:Person>
          <b:Person>
            <b:Last>Getachew</b:Last>
            <b:First>Girum</b:First>
          </b:Person>
        </b:NameList>
      </b:Author>
    </b:Author>
    <b:Title>Groundwater potential assessment using GIS and remote sensing: A case study of Guna tana landscape, upper blue Nile Basin, Ethiopia</b:Title>
    <b:JournalName>Journal of Hydrology: Regional studies</b:JournalName>
    <b:Year>2019</b:Year>
    <b:Publisher>Elsevier B.V.</b:Publisher>
    <b:YearAccessed>2019</b:YearAccessed>
    <b:URL>http://creativecommons.org/licenses/BY-NC-ND/4.0</b:URL>
    <b:Pages>1-13</b:Pages>
    <b:RefOrder>17</b:RefOrder>
  </b:Source>
  <b:Source>
    <b:Tag>Ale06</b:Tag>
    <b:SourceType>Report</b:SourceType>
    <b:Guid>{5A7019D0-4F9C-40A9-B55D-31FA44DA5513}</b:Guid>
    <b:Title>Groundwater occurrence in Ethiopia</b:Title>
    <b:Year>2006</b:Year>
    <b:City>Addis Abeba</b:City>
    <b:Author>
      <b:Author>
        <b:NameList>
          <b:Person>
            <b:Last>Alemayehu</b:Last>
            <b:First>T.</b:First>
          </b:Person>
        </b:NameList>
      </b:Author>
    </b:Author>
    <b:Pages>1–105</b:Pages>
    <b:RefOrder>18</b:RefOrder>
  </b:Source>
  <b:Source xmlns:b="http://schemas.openxmlformats.org/officeDocument/2006/bibliography">
    <b:Tag>Bre19</b:Tag>
    <b:SourceType>JournalArticle</b:SourceType>
    <b:Guid>{07F2733A-CC5B-4742-8447-496C8024DF1C}</b:Guid>
    <b:Author>
      <b:Author>
        <b:NameList>
          <b:Person>
            <b:Last>Brema</b:Last>
            <b:First>J</b:First>
          </b:Person>
          <b:Person>
            <b:Last>Minnu</b:Last>
            <b:First>K.</b:First>
          </b:Person>
        </b:NameList>
      </b:Author>
    </b:Author>
    <b:Title>State-of-Art Review on Assessment of Surface water and Groundwater in a Sub-watershed Using ArcSWAT</b:Title>
    <b:Year>2019</b:Year>
    <b:City>Coimbatore, India</b:City>
    <b:JournalName>International journal of research in advent technology</b:JournalName>
    <b:Pages>110</b:Pages>
    <b:Month>June</b:Month>
    <b:Volume>Vol.7, No.6</b:Volume>
    <b:RefOrder>19</b:RefOrder>
  </b:Source>
  <b:Source>
    <b:Tag>ERD04</b:Tag>
    <b:SourceType>Report</b:SourceType>
    <b:Guid>{5160FC37-5EC6-41F4-B3AC-6E9B77DFC2C3}</b:Guid>
    <b:Title>ERDAS Imagine 8.5 and 8.6 Training Manual</b:Title>
    <b:Year>2004</b:Year>
    <b:ThesisType>Geoscience Resources &amp; Facilities Directorate Internal Report IR/04/030</b:ThesisType>
    <b:Author>
      <b:Author>
        <b:Corporate>Hall, M.; Bateson, L.; Jordan, C.</b:Corporate>
      </b:Author>
    </b:Author>
    <b:Institution>Bitish geological survey</b:Institution>
    <b:StandardNumber>272191/1999</b:StandardNumber>
    <b:MonthAccessed>2019</b:MonthAccessed>
    <b:RefOrder>20</b:RefOrder>
  </b:Source>
  <b:Source>
    <b:Tag>Geo</b:Tag>
    <b:SourceType>Report</b:SourceType>
    <b:Guid>{34FBA941-9517-4FD9-92D7-093376653B02}</b:Guid>
    <b:Title>Geomatica I guide Version 2018</b:Title>
    <b:Publisher>PCI Geomatics Enterprises, Inc</b:Publisher>
    <b:Year>2018</b:Year>
    <b:City>90 Allstate Parkway, Suite 501, Canada</b:City>
    <b:DayAccessed>2019</b:DayAccessed>
    <b:Author>
      <b:Author>
        <b:Corporate>PCI Geomatics Enterprises</b:Corporate>
      </b:Author>
    </b:Author>
    <b:RefOrder>21</b:RefOrder>
  </b:Source>
  <b:Source>
    <b:Tag>Abo12</b:Tag>
    <b:SourceType>JournalArticle</b:SourceType>
    <b:Guid>{5A2A8814-1EC1-4975-9B9B-E58A8C4C505D}</b:Guid>
    <b:Author>
      <b:Author>
        <b:NameList>
          <b:Person>
            <b:Last>Aboyeji</b:Last>
            <b:First>O.S.</b:First>
          </b:Person>
          <b:Person>
            <b:Last>Mogaji</b:Last>
            <b:First>K.A.</b:First>
          </b:Person>
          <b:Person>
            <b:Last>Oyinloye</b:Last>
            <b:First>R.O.</b:First>
          </b:Person>
        </b:NameList>
      </b:Author>
    </b:Author>
    <b:Title>Structural interpretation of remotely sensed data sets, its hydrogeological implication over ile-ife and environs.</b:Title>
    <b:JournalName>Ozean Journal of Applied Sciences</b:JournalName>
    <b:Year>2012</b:Year>
    <b:Pages>43-54</b:Pages>
    <b:RefOrder>22</b:RefOrder>
  </b:Source>
  <b:Source>
    <b:Tag>Bel14</b:Tag>
    <b:SourceType>JournalArticle</b:SourceType>
    <b:Guid>{9AD3F019-8471-46FC-8411-3A857C28C352}</b:Guid>
    <b:Title>Surfacewater and Groundwater Resources of Ethiopia: potential and challenges of water resources developmaent</b:Title>
    <b:Year>2014</b:Year>
    <b:Publisher>Springer International Publishing</b:Publisher>
    <b:City>Switzerland</b:City>
    <b:Author>
      <b:Author>
        <b:NameList>
          <b:Person>
            <b:Last>Belete</b:Last>
            <b:First>Berhanu</b:First>
          </b:Person>
          <b:Person>
            <b:Last>Sileshi</b:Last>
            <b:First>Yilma</b:First>
          </b:Person>
          <b:Person>
            <b:Last>Melesse</b:Last>
            <b:First>Assefa</b:First>
          </b:Person>
        </b:NameList>
      </b:Author>
    </b:Author>
    <b:Pages>97-117</b:Pages>
    <b:JournalName>Researchgate</b:JournalName>
    <b:RefOrder>23</b:RefOrder>
  </b:Source>
  <b:Source>
    <b:Tag>Ber18</b:Tag>
    <b:SourceType>Report</b:SourceType>
    <b:Guid>{796E441B-722B-4385-8D76-D4F9E99A5406}</b:Guid>
    <b:Title>Assessment of Potential Groundwater Zone using Integrated GIS and remote sensing techniques in Sekota Wereda, Northern Ethiopia.</b:Title>
    <b:Year>2018</b:Year>
    <b:Author>
      <b:Author>
        <b:NameList>
          <b:Person>
            <b:Last>Berihun</b:Last>
            <b:First>Adem</b:First>
          </b:Person>
        </b:NameList>
      </b:Author>
    </b:Author>
    <b:City>Addis Abeba, Ethiopia</b:City>
    <b:Institution>Addis Ababa Institute of Technology</b:Institution>
    <b:ThesisType>M.sc Thesis</b:ThesisType>
    <b:RefOrder>24</b:RefOrder>
  </b:Source>
  <b:Source>
    <b:Tag>Env17</b:Tag>
    <b:SourceType>Report</b:SourceType>
    <b:Guid>{F0DAB7C4-9288-4DBD-88BA-D1EE09C63770}</b:Guid>
    <b:Title>Environmental Impact Analysis of Infrastructures Development and Lake Beseka Expansion on the Integrity of the Fentale-Metehara Blister Caves, Main Ethiopian Rift</b:Title>
    <b:Year>2017</b:Year>
    <b:Author>
      <b:Author>
        <b:NameList>
          <b:Person>
            <b:Last>Belay</b:Last>
            <b:First>Dershaye</b:First>
          </b:Person>
        </b:NameList>
      </b:Author>
    </b:Author>
    <b:City>Addis Abeba, Ethiopia</b:City>
    <b:Institution>Addis Ababa University Institute of Technology</b:Institution>
    <b:ThesisType>M.sc Thesis</b:ThesisType>
    <b:RefOrder>25</b:RefOrder>
  </b:Source>
  <b:Source>
    <b:Tag>Cho64</b:Tag>
    <b:SourceType>Book</b:SourceType>
    <b:Guid>{69EBB84D-B750-4C17-A96E-6270CC5E235A}</b:Guid>
    <b:Author>
      <b:Author>
        <b:NameList>
          <b:Person>
            <b:Last>Chow</b:Last>
            <b:First>Ven</b:First>
            <b:Middle>Te</b:Middle>
          </b:Person>
        </b:NameList>
      </b:Author>
    </b:Author>
    <b:Title>Handbook of Applied Hydrology</b:Title>
    <b:Year>1964</b:Year>
    <b:Publisher>Mc Graw Book Company Co. Ltd.</b:Publisher>
    <b:RefOrder>26</b:RefOrder>
  </b:Source>
  <b:Source>
    <b:Tag>Dag19</b:Tag>
    <b:SourceType>JournalArticle</b:SourceType>
    <b:Guid>{714EC5E1-375A-4F8F-A9CA-536D851C28FC}</b:Guid>
    <b:Title>Simulated surface and shallow groundwater resources in the Abaya-Chamo Lake basin, Ethiopia using a spatially-distributed water balance model</b:Title>
    <b:JournalName>journal of hydrology</b:JournalName>
    <b:Year>2019</b:Year>
    <b:Author>
      <b:Author>
        <b:NameList>
          <b:Person>
            <b:Last>Dagnachew</b:Last>
            <b:First>D.M.</b:First>
          </b:Person>
          <b:Person>
            <b:Last>Tenalem</b:Last>
            <b:First>A.T.</b:First>
          </b:Person>
          <b:Person>
            <b:Last>Christopher</b:Last>
            <b:First>F.G.</b:First>
          </b:Person>
        </b:NameList>
      </b:Author>
    </b:Author>
    <b:Publisher>Elsevier B.V.</b:Publisher>
    <b:Pages>13</b:Pages>
    <b:RefOrder>27</b:RefOrder>
  </b:Source>
  <b:Source>
    <b:Tag>Des11</b:Tag>
    <b:SourceType>Report</b:SourceType>
    <b:Guid>{B986A8E2-75C0-4D05-9A1B-B69BD2784C50}</b:Guid>
    <b:Author>
      <b:Author>
        <b:NameList>
          <b:Person>
            <b:Last>Desalegn</b:Last>
            <b:First>Afework</b:First>
          </b:Person>
        </b:NameList>
      </b:Author>
    </b:Author>
    <b:Title>Groundwater Potential Evaluation And Flow Dynamics of Hormat-Golina River Catchment, Kobo Valley, Northern Ethiopia</b:Title>
    <b:Year>2011</b:Year>
    <b:City>Addis Abeba, Ethiopia</b:City>
    <b:Institution>Addis Ababa University Institute of Technology</b:Institution>
    <b:ThesisType>M.sc Thesis</b:ThesisType>
    <b:RefOrder>28</b:RefOrder>
  </b:Source>
  <b:Source>
    <b:Tag>Geb19</b:Tag>
    <b:SourceType>JournalArticle</b:SourceType>
    <b:Guid>{425A7802-86F7-4850-BE1E-EBB5872A2876}</b:Guid>
    <b:Author>
      <b:Author>
        <b:NameList>
          <b:Person>
            <b:Last>Gebrie</b:Last>
            <b:First>Tesfa</b:First>
          </b:Person>
          <b:Person>
            <b:Last>Girum</b:Last>
            <b:First>Andualem</b:First>
          </b:Person>
          <b:Person>
            <b:Last>Demeke</b:Last>
            <b:First>Getachew</b:First>
          </b:Person>
        </b:NameList>
      </b:Author>
    </b:Author>
    <b:Year>2019</b:Year>
    <b:Title>Groundwater potential assessment using GIS and remote sensing: A case study of Guna tana landscape, upper blue Nile Basin, Ethiopia</b:Title>
    <b:JournalName>Journal of Hydrology: Regional Studies</b:JournalName>
    <b:Month>June</b:Month>
    <b:Publisher>Elsevier B.V.</b:Publisher>
    <b:URL>http://creativecommons.org/licenses/BY-NC-ND/4.0/</b:URL>
    <b:RefOrder>29</b:RefOrder>
  </b:Source>
  <b:Source>
    <b:Tag>Ged08</b:Tag>
    <b:SourceType>Report</b:SourceType>
    <b:Guid>{FF87D8FA-1D45-4FA6-9546-84C45C18F7E9}</b:Guid>
    <b:Author>
      <b:Author>
        <b:NameList>
          <b:Person>
            <b:Last>Gedam</b:Last>
            <b:First>Kibrit</b:First>
          </b:Person>
        </b:NameList>
      </b:Author>
    </b:Author>
    <b:Title>Identification Of Groundwater Potential Zones Using GIS And Remote Sensing: The Case Of Megech Watershed, Ethiopia</b:Title>
    <b:Year>2018</b:Year>
    <b:City>Arba Minch, Ethiopia</b:City>
    <b:ThesisType>M.sc Thesis</b:ThesisType>
    <b:Institution>ArbaMinch Water Technology Institute</b:Institution>
    <b:RefOrder>30</b:RefOrder>
  </b:Source>
  <b:Source>
    <b:Tag>Get07</b:Tag>
    <b:SourceType>Report</b:SourceType>
    <b:Guid>{EED260D2-67B3-4D7D-8FC6-14ADB1BC547E}</b:Guid>
    <b:Author>
      <b:Author>
        <b:NameList>
          <b:Person>
            <b:Last>Getachew</b:Last>
            <b:First>Abiy</b:First>
          </b:Person>
        </b:NameList>
      </b:Author>
    </b:Author>
    <b:Title>Integration of remote sensing and GIS for Groundwater resources assessment in Moyale-Teltele Sub-basin, South Ethiopia</b:Title>
    <b:Year>2007</b:Year>
    <b:City>Addis Abeba, Ethiopia</b:City>
    <b:ThesisType>M.sc Thesis</b:ThesisType>
    <b:Institution>Addis Abeba University Institute of Technology</b:Institution>
    <b:RefOrder>31</b:RefOrder>
  </b:Source>
  <b:Source>
    <b:Tag>Hof07</b:Tag>
    <b:SourceType>JournalArticle</b:SourceType>
    <b:Guid>{9A5F247E-55C9-41E8-98AE-D6E66BEFD109}</b:Guid>
    <b:Author>
      <b:Author>
        <b:NameList>
          <b:Person>
            <b:Last>Hoffman</b:Last>
            <b:First>J.</b:First>
          </b:Person>
          <b:Person>
            <b:Last>Sander</b:Last>
            <b:First>P.</b:First>
          </b:Person>
        </b:NameList>
      </b:Author>
    </b:Author>
    <b:Title>Remote sensing and GIS in hydrogeology</b:Title>
    <b:JournalName>Hydrogeology Journal</b:JournalName>
    <b:Year>2007</b:Year>
    <b:Pages>1–3</b:Pages>
    <b:RefOrder>32</b:RefOrder>
  </b:Source>
  <b:Source>
    <b:Tag>Jen17</b:Tag>
    <b:SourceType>JournalArticle</b:SourceType>
    <b:Guid>{A265494E-474D-4618-BFF4-33ED75605E8F}</b:Guid>
    <b:Author>
      <b:Author>
        <b:NameList>
          <b:Person>
            <b:Last>Jenifer</b:Last>
            <b:First>M.A.</b:First>
          </b:Person>
          <b:Person>
            <b:Last>Jha</b:Last>
            <b:First>M.K.</b:First>
          </b:Person>
        </b:NameList>
      </b:Author>
    </b:Author>
    <b:Title>Comparison of Analytic Hierarchy process, Catastrophe and Entropy techniques for evaluating groundwater prospect of hard-rock haard aquifer</b:Title>
    <b:JournalName>Journal of hydrogeology</b:JournalName>
    <b:Year>2017</b:Year>
    <b:Pages>605–624.</b:Pages>
    <b:Volume>548</b:Volume>
    <b:RefOrder>33</b:RefOrder>
  </b:Source>
  <b:Source>
    <b:Tag>Jha10</b:Tag>
    <b:SourceType>JournalArticle</b:SourceType>
    <b:Guid>{2099F6B2-2BFA-42D0-86DC-D27844F50AB7}</b:Guid>
    <b:Author>
      <b:Author>
        <b:NameList>
          <b:Person>
            <b:Last>Jha</b:Last>
            <b:First>M.K.</b:First>
          </b:Person>
          <b:Person>
            <b:Last>Chowdary</b:Last>
            <b:First>V.M.</b:First>
          </b:Person>
          <b:Person>
            <b:Last>Chowdhury</b:Last>
            <b:First>A.</b:First>
          </b:Person>
        </b:NameList>
      </b:Author>
    </b:Author>
    <b:Title>Groundwater assessment in Salboni Block, West Bengal (India) using remote sensing, geographical information</b:Title>
    <b:Year>2010</b:Year>
    <b:JournalName>Journal of hydrology: Regional studies</b:JournalName>
    <b:Pages>18 (7), 1713–1728.</b:Pages>
    <b:RefOrder>34</b:RefOrder>
  </b:Source>
  <b:Source>
    <b:Tag>Kas15</b:Tag>
    <b:SourceType>Report</b:SourceType>
    <b:Guid>{A7D00F2A-7B2D-4A81-A04C-4E5E920227E5}</b:Guid>
    <b:Author>
      <b:Author>
        <b:NameList>
          <b:Person>
            <b:Last>Kassa</b:Last>
            <b:First>Tegegn</b:First>
          </b:Person>
        </b:NameList>
      </b:Author>
    </b:Author>
    <b:Title>Assessment of Groundwater Potential Zones in Baro Basin using GIS and Remote Sensing</b:Title>
    <b:Year>2015</b:Year>
    <b:City>Arba Minch, Ethiopia</b:City>
    <b:ThesisType>M.sc thesis</b:ThesisType>
    <b:Institution>Arba Minch University Institute of Technology</b:Institution>
    <b:RefOrder>35</b:RefOrder>
  </b:Source>
  <b:Source>
    <b:Tag>Gro1</b:Tag>
    <b:SourceType>JournalArticle</b:SourceType>
    <b:Guid>{ED1F4C22-F49C-4488-B4E5-C779BEEBE2EB}</b:Guid>
    <b:Title>Groundwater Potential Assessment and Characterization of Genale-Dawa River Basin</b:Title>
    <b:Author>
      <b:Author>
        <b:NameList>
          <b:Person>
            <b:Last>Kassahun</b:Last>
            <b:First>Nebiyou</b:First>
          </b:Person>
          <b:Person>
            <b:Last>Mohamed</b:Last>
            <b:First>Mebruk</b:First>
          </b:Person>
        </b:NameList>
      </b:Author>
    </b:Author>
    <b:Year>2018</b:Year>
    <b:JournalName>Open journal of modern hydrology</b:JournalName>
    <b:Pages>126-144</b:Pages>
    <b:Volume>8</b:Volume>
    <b:URL>https://doi.org/10.4236/ojmh.2018.84010</b:URL>
    <b:Publisher>Scientific research publishing Inc.</b:Publisher>
    <b:DOI>10.4236/ojmh.2018.84010</b:DOI>
    <b:RefOrder>36</b:RefOrder>
  </b:Source>
  <b:Source>
    <b:Tag>Ide</b:Tag>
    <b:SourceType>Report</b:SourceType>
    <b:Guid>{90DBE2C9-8685-4FB0-9371-C152D1FDA80C}</b:Guid>
    <b:Title>Identification of groundwater potential zone area mapping using remote sensing and GIS techniques, the case Of  Enderta district, Tigray, Ethiopia</b:Title>
    <b:Author>
      <b:Author>
        <b:NameList>
          <b:Person>
            <b:Last>Kidanu</b:Last>
            <b:First>Kindeya</b:First>
          </b:Person>
        </b:NameList>
      </b:Author>
    </b:Author>
    <b:Year>2018</b:Year>
    <b:InternetSiteTitle>www.AAU.thesis and desertisis.com</b:InternetSiteTitle>
    <b:Institution>Addis Abeba University Institute of Technology</b:Institution>
    <b:City>Addis Abeba, Ethiopia</b:City>
    <b:ThesisType>M.sc thesis</b:ThesisType>
    <b:RefOrder>37</b:RefOrder>
  </b:Source>
  <b:Source>
    <b:Tag>Imp101</b:Tag>
    <b:SourceType>JournalArticle</b:SourceType>
    <b:Guid>{771CAB21-B933-4B02-B5F5-C12EB2114A63}</b:Guid>
    <b:Title>Impact of land-use and land-cover change on groundwater quality in the Lower Shiwalik hills: a remote sensing and GIS based approach</b:Title>
    <b:Year>2010</b:Year>
    <b:JournalName>Central European journal of geosciences</b:JournalName>
    <b:Pages>124-131</b:Pages>
    <b:Volume>II</b:Volume>
    <b:Issue>2</b:Issue>
    <b:Author>
      <b:Author>
        <b:NameList>
          <b:Person>
            <b:Last>Kumar</b:Last>
            <b:First>Sudhir</b:First>
          </b:Person>
          <b:Person>
            <b:Last>Singh</b:Last>
            <b:First>Chander</b:First>
          </b:Person>
          <b:Person>
            <b:Last>Mukherjee</b:Last>
            <b:First>Saumitra</b:First>
          </b:Person>
        </b:NameList>
      </b:Author>
    </b:Author>
    <b:RefOrder>38</b:RefOrder>
  </b:Source>
  <b:Source>
    <b:Tag>Lam07</b:Tag>
    <b:SourceType>Report</b:SourceType>
    <b:Guid>{0E2A682E-F883-4CA2-A54A-A15C00D8EC0B}</b:Guid>
    <b:Author>
      <b:Author>
        <b:NameList>
          <b:Person>
            <b:Last>Lammessa</b:Last>
            <b:First>Bane</b:First>
          </b:Person>
        </b:NameList>
      </b:Author>
    </b:Author>
    <b:Title>Groundwater potential and recharge zone mapping by using GIS and remote sensing techniques in the case of middle Awash River Basins, Ethiopia</b:Title>
    <b:Year>2017</b:Year>
    <b:City>Addis Abeba, Ethiopia</b:City>
    <b:Institution>Addis Ababa University Institute of Technology</b:Institution>
    <b:ThesisType>M.sc thesis</b:ThesisType>
    <b:RefOrder>39</b:RefOrder>
  </b:Source>
  <b:Source>
    <b:Tag>Lem07</b:Tag>
    <b:SourceType>Report</b:SourceType>
    <b:Guid>{A9D01434-064F-48FF-86E4-BF339BC3BF3A}</b:Guid>
    <b:Title>Delineation of Groundwater Potential Zones of Upper Tumet Catchment, Menge Area, Western Ethiopia Using Remote Sensing And GIS</b:Title>
    <b:Year>2007</b:Year>
    <b:City>Addis Abeba, Ethiopia</b:City>
    <b:Author>
      <b:Author>
        <b:NameList>
          <b:Person>
            <b:Last>Lemecha</b:Last>
            <b:First>Gezahegn</b:First>
          </b:Person>
        </b:NameList>
      </b:Author>
    </b:Author>
    <b:ThesisType>M.Sc Thesis</b:ThesisType>
    <b:Institution>Addis Abeba University Institute of Technology</b:Institution>
    <b:RefOrder>40</b:RefOrder>
  </b:Source>
  <b:Source>
    <b:Tag>Lem</b:Tag>
    <b:SourceType>JournalArticle</b:SourceType>
    <b:Guid>{123A6AA6-8E52-492C-8BDA-B1F74B4879FA}</b:Guid>
    <b:Title>Processing Remote Sensing Data Using Erdas Imagine for Mapping Aegean Sea Region, Turkey</b:Title>
    <b:Author>
      <b:Author>
        <b:NameList>
          <b:Person>
            <b:Last>Lemenkova</b:Last>
            <b:First>Polina</b:First>
          </b:Person>
        </b:NameList>
      </b:Author>
    </b:Author>
    <b:JournalName>Informatics</b:JournalName>
    <b:Year>2015</b:Year>
    <b:Pages>11-15</b:Pages>
    <b:City>Voronezh</b:City>
    <b:Publisher>Voronezh State University</b:Publisher>
    <b:URL>https://hal.archives-ouvertes.fr/hal-01986810</b:URL>
    <b:RefOrder>41</b:RefOrder>
  </b:Source>
  <b:Source>
    <b:Tag>Mar09</b:Tag>
    <b:SourceType>JournalArticle</b:SourceType>
    <b:Guid>{5D02ABA8-4806-4C89-AE5B-5C9766BA4861}</b:Guid>
    <b:Author>
      <b:Author>
        <b:NameList>
          <b:Person>
            <b:Last>Marghany</b:Last>
            <b:First>M.</b:First>
          </b:Person>
          <b:Person>
            <b:Last>Hashim</b:Last>
            <b:First>M.</b:First>
          </b:Person>
          <b:Person>
            <b:Last>Mansor</b:Last>
            <b:First>S.</b:First>
          </b:Person>
        </b:NameList>
      </b:Author>
    </b:Author>
    <b:Title>Geologic mapping of United Arab Emirates using multispectral remotely sensed data.</b:Title>
    <b:JournalName>American journal of engineering and applied sciences</b:JournalName>
    <b:Year>2009</b:Year>
    <b:Pages>476-480.</b:Pages>
    <b:RefOrder>42</b:RefOrder>
  </b:Source>
  <b:Source>
    <b:Tag>Muk08</b:Tag>
    <b:SourceType>JournalArticle</b:SourceType>
    <b:Guid>{7AB34FFD-B74A-4DA7-B953-FF8C590B3601}</b:Guid>
    <b:Author>
      <b:Author>
        <b:NameList>
          <b:Person>
            <b:Last>Mukherje</b:Last>
            <b:First>A.</b:First>
          </b:Person>
          <b:Person>
            <b:Last>Fryar</b:Last>
            <b:First>A.</b:First>
            <b:Middle>E.</b:Middle>
          </b:Person>
        </b:NameList>
      </b:Author>
    </b:Author>
    <b:Title>Deeper groundwater chemistry and geochemical modeling of the arsenic affected western Bengal basin, West Bengal, India.</b:Title>
    <b:JournalName>Applied geochemistry</b:JournalName>
    <b:Year>2008</b:Year>
    <b:RefOrder>43</b:RefOrder>
  </b:Source>
  <b:Source>
    <b:Tag>Mus13</b:Tag>
    <b:SourceType>Report</b:SourceType>
    <b:Guid>{732E7838-B0A4-49F0-82C4-C98E1BD5153A}</b:Guid>
    <b:Author>
      <b:Author>
        <b:NameList>
          <b:Person>
            <b:Last>Mussei</b:Last>
            <b:First>Mulugeta</b:First>
          </b:Person>
        </b:NameList>
      </b:Author>
    </b:Author>
    <b:Year>2013</b:Year>
    <b:City>Addis Abeba, Ethiopia</b:City>
    <b:ThesisType>M.sc Thesis</b:ThesisType>
    <b:Title>Runoff Estimation by GIUH Based Clark and NASH Models for Shaya River</b:Title>
    <b:RefOrder>44</b:RefOrder>
  </b:Source>
  <b:Source>
    <b:Tag>Nas19</b:Tag>
    <b:SourceType>JournalArticle</b:SourceType>
    <b:Guid>{128AAB8B-2F90-46D5-B601-EA47A47194D6}</b:Guid>
    <b:Author>
      <b:Author>
        <b:NameList>
          <b:Person>
            <b:Last>Nasir</b:Last>
            <b:First>G</b:First>
          </b:Person>
          <b:Person>
            <b:Last>Tamane</b:Last>
            <b:First>A</b:First>
          </b:Person>
          <b:Person>
            <b:Last>Tolera</b:Last>
            <b:First>A</b:First>
          </b:Person>
        </b:NameList>
      </b:Author>
    </b:Author>
    <b:Title>Irrigation Potential Assessment on Shaya River Sub-Basin in Bale Zone, Oromia Region, Ethiopia</b:Title>
    <b:JournalName>Irrigation &amp; Drainage Systems Engineering</b:JournalName>
    <b:Year>2019</b:Year>
    <b:City>Jimma, Ethiopia</b:City>
    <b:Volume>8</b:Volume>
    <b:Pages>1-7</b:Pages>
    <b:RefOrder>45</b:RefOrder>
  </b:Source>
  <b:Source>
    <b:Tag>Nei09</b:Tag>
    <b:SourceType>Report</b:SourceType>
    <b:Guid>{E44FB766-CC7B-466D-93F1-B459DC4A60CE}</b:Guid>
    <b:Author>
      <b:Author>
        <b:NameList>
          <b:Person>
            <b:Last>Neitsch</b:Last>
            <b:First>S.L.</b:First>
          </b:Person>
          <b:Person>
            <b:Last>Arnold</b:Last>
            <b:First>J.G.</b:First>
          </b:Person>
          <b:Person>
            <b:Last>Kiniry</b:Last>
            <b:First>J.R.</b:First>
          </b:Person>
          <b:Person>
            <b:Last>Williams</b:Last>
            <b:First>J.R.</b:First>
          </b:Person>
        </b:NameList>
      </b:Author>
    </b:Author>
    <b:Title>Soil and Water Assessment</b:Title>
    <b:Year>2009</b:Year>
    <b:City>Texas</b:City>
    <b:Department>Agricultural Research Service</b:Department>
    <b:Institution>Black land research center</b:Institution>
    <b:ThesisType>Agricultural experiment Station</b:ThesisType>
    <b:ShortTitle>Grassland Soil and Water</b:ShortTitle>
    <b:RefOrder>46</b:RefOrder>
  </b:Source>
  <b:Source>
    <b:Tag>Net07</b:Tag>
    <b:SourceType>Report</b:SourceType>
    <b:Guid>{E7A697BD-2725-44FE-BEE1-2B167CB6F198}</b:Guid>
    <b:Title>Land use and Land cover changes in Harenna forest and surrounding area, Bale mountains National park</b:Title>
    <b:Year>2007</b:Year>
    <b:Author>
      <b:Author>
        <b:NameList>
          <b:Person>
            <b:Last>Netsanet</b:Last>
            <b:First>D.</b:First>
          </b:Person>
        </b:NameList>
      </b:Author>
    </b:Author>
    <b:City>Addis Abeba, Ethiopia</b:City>
    <b:ThesisType>MA Thesis</b:ThesisType>
    <b:RefOrder>47</b:RefOrder>
  </b:Source>
  <b:Source>
    <b:Tag>Imp18</b:Tag>
    <b:SourceType>JournalArticle</b:SourceType>
    <b:Guid>{AEA8044F-CB6F-499C-84A8-A9DD6F96EC22}</b:Guid>
    <b:Title>Impacts of urbanization on land use /cover changes and its probable implications on local climate and groundwater level</b:Title>
    <b:JournalName>Journal of urban management</b:JournalName>
    <b:Year>2018</b:Year>
    <b:Pages>70-84</b:Pages>
    <b:Volume>7</b:Volume>
    <b:Author>
      <b:Author>
        <b:NameList>
          <b:Person>
            <b:Last>Patra</b:Last>
            <b:First>Suman</b:First>
          </b:Person>
          <b:Person>
            <b:Last>Sahoo</b:Last>
            <b:First>Satiprasad</b:First>
          </b:Person>
          <b:Person>
            <b:Last>Mishra</b:Last>
            <b:First>Pulak</b:First>
          </b:Person>
          <b:Person>
            <b:Last>Chandra</b:Last>
            <b:First>Subhash</b:First>
          </b:Person>
        </b:NameList>
      </b:Author>
    </b:Author>
    <b:Publisher>Elsevier B.V.</b:Publisher>
    <b:ShortTitle>Zhejiang University and Chinese Association of Urban Management</b:ShortTitle>
    <b:RefOrder>48</b:RefOrder>
  </b:Source>
  <b:Source>
    <b:Tag>Gro14</b:Tag>
    <b:SourceType>JournalArticle</b:SourceType>
    <b:Guid>{FCA51E51-C4BD-4954-AE30-05919F2D3952}</b:Guid>
    <b:Title>Groundwater potential mapping at Kurdistan region of Iran using analytic hierarchy process and GIS</b:Title>
    <b:Year>2014</b:Year>
    <b:Author>
      <b:Author>
        <b:NameList>
          <b:Person>
            <b:Last>Rahmati</b:Last>
            <b:First>O.</b:First>
          </b:Person>
          <b:Person>
            <b:Last>Samani</b:Last>
            <b:First>Nazari</b:First>
          </b:Person>
          <b:Person>
            <b:Last>Mahdavi</b:Last>
            <b:First>M.</b:First>
          </b:Person>
        </b:NameList>
      </b:Author>
    </b:Author>
    <b:JournalName>Arab J Geosci</b:JournalName>
    <b:Volume>8</b:Volume>
    <b:StandardNumber>7059–7071 (2015)</b:StandardNumber>
    <b:URL>https://doi.org/10.1007/s12517-014-1668-4</b:URL>
    <b:RefOrder>49</b:RefOrder>
  </b:Source>
  <b:Source>
    <b:Tag>Lin</b:Tag>
    <b:SourceType>JournalArticle</b:SourceType>
    <b:Guid>{42264F94-BB7A-424C-BDC1-1701A7A6C6AD}</b:Guid>
    <b:Title>Lineament Extraction from Southern Chitradurga Schist Belt using Landsat TM, ASTERGDEM and Geomatics Techniques</b:Title>
    <b:JournalName>International Journal of Computer Applications (0975 – 8887)</b:JournalName>
    <b:Year>2014</b:Year>
    <b:Volume>93</b:Volume>
    <b:Issue>12</b:Issue>
    <b:Author>
      <b:Author>
        <b:NameList>
          <b:Person>
            <b:Last>Raj</b:Last>
            <b:First>Kiran</b:First>
          </b:Person>
          <b:Person>
            <b:Last>Ahmed</b:Last>
            <b:First>S</b:First>
          </b:Person>
        </b:NameList>
      </b:Author>
    </b:Author>
    <b:RefOrder>50</b:RefOrder>
  </b:Source>
  <b:Source>
    <b:Tag>Imp181</b:Tag>
    <b:SourceType>Report</b:SourceType>
    <b:Guid>{E6DBFEE4-6F71-4516-9344-FE35F0AD9734}</b:Guid>
    <b:Title>Impact Of Land Use And Land Cover Change On Stream Flow Using Mike She: Case Study Of Shaya Catchment, Ethiopia</b:Title>
    <b:Year>2018</b:Year>
    <b:City>Arba Minch, Ethiopia</b:City>
    <b:Institution>Arba Minch University Institution of Technology</b:Institution>
    <b:ThesisType>M.sc Thesis</b:ThesisType>
    <b:Author>
      <b:Author>
        <b:NameList>
          <b:Person>
            <b:Last>Reta</b:Last>
            <b:First>Mesfin</b:First>
          </b:Person>
        </b:NameList>
      </b:Author>
    </b:Author>
    <b:RefOrder>51</b:RefOrder>
  </b:Source>
  <b:Source>
    <b:Tag>Rec02</b:Tag>
    <b:SourceType>JournalArticle</b:SourceType>
    <b:Guid>{60C673B7-AE73-4448-8BCC-E30AAA966022}</b:Guid>
    <b:Title>Recharge and groundwater models: An overview</b:Title>
    <b:Year>2002</b:Year>
    <b:JournalName>Hydrogeology journal 431 National center</b:JournalName>
    <b:Pages>110-120</b:Pages>
    <b:Volume>10</b:Volume>
    <b:Author>
      <b:Author>
        <b:NameList>
          <b:Person>
            <b:Last>Sanford</b:Last>
            <b:First>Ward</b:First>
          </b:Person>
        </b:NameList>
      </b:Author>
    </b:Author>
    <b:City>Reston, Virginia , USA</b:City>
    <b:Publisher>Springer-Verlag 2002</b:Publisher>
    <b:ShortTitle>US Geological Survey</b:ShortTitle>
    <b:StandardNumber>20192</b:StandardNumber>
    <b:RefOrder>52</b:RefOrder>
  </b:Source>
  <b:Source>
    <b:Tag>Eva16</b:Tag>
    <b:SourceType>JournalArticle</b:SourceType>
    <b:Guid>{BF521928-172C-4678-BF28-98864A6E0CFD}</b:Guid>
    <b:Title>Evaluation of the ArcSWAT Model in Simulating Catchment Hydrology : In Weyib River Basin, Bale Mountainous Area of Southeastern Ethiopia</b:Title>
    <b:Year>2016</b:Year>
    <b:Author>
      <b:Author>
        <b:NameList>
          <b:Person>
            <b:Last>Serur</b:Last>
            <b:First>A.</b:First>
            <b:Middle>B.</b:Middle>
          </b:Person>
          <b:Person>
            <b:Last>Sarma</b:Last>
            <b:First>A.</b:First>
            <b:Middle>K.</b:Middle>
          </b:Person>
        </b:NameList>
      </b:Author>
    </b:Author>
    <b:JournalName>International journal of innovative and emerging research in engineering</b:JournalName>
    <b:Volume>III</b:Volume>
    <b:Issue>2</b:Issue>
    <b:RefOrder>53</b:RefOrder>
  </b:Source>
  <b:Source>
    <b:Tag>Det17</b:Tag>
    <b:SourceType>Report</b:SourceType>
    <b:Guid>{DF7888AE-436B-4B5B-BDB7-E0DDE5F096A1}</b:Guid>
    <b:Title>Determination Of Recharge And Groundwater Potential Zones In Mhinga Area, South Africa</b:Title>
    <b:Year>2017</b:Year>
    <b:Author>
      <b:Author>
        <b:NameList>
          <b:Person>
            <b:Last>Shamuyarira</b:Last>
            <b:First>K.</b:First>
          </b:Person>
        </b:NameList>
      </b:Author>
    </b:Author>
    <b:ThesisType>Master’s dissertation</b:ThesisType>
    <b:Institution>The School of Environmental Sciences, University Of Venda</b:Institution>
    <b:RefOrder>54</b:RefOrder>
  </b:Source>
  <b:Source>
    <b:Tag>AAS13</b:Tag>
    <b:SourceType>JournalArticle</b:SourceType>
    <b:Guid>{666D9A75-4CE2-483D-9D25-F1FE945BAD01}</b:Guid>
    <b:Author>
      <b:Author>
        <b:NameList>
          <b:Person>
            <b:Last>Shawul</b:Last>
            <b:First>A.</b:First>
          </b:Person>
          <b:Person>
            <b:Last>Alamirew</b:Last>
            <b:First>T.</b:First>
          </b:Person>
          <b:Person>
            <b:Last>Dinka</b:Last>
            <b:First>M.</b:First>
          </b:Person>
        </b:NameList>
      </b:Author>
    </b:Author>
    <b:Title>Calibration and validation of SWAT model and estimation of water balance components of Shaya mountainous watershed, Southeastern Ethiopia</b:Title>
    <b:Year>2013</b:Year>
    <b:Publisher>Copernicus Publications on behalf of the European Geosciences Union</b:Publisher>
    <b:JournalName>Hydrology and Earth Science Discussion</b:JournalName>
    <b:Pages>13961</b:Pages>
    <b:YearAccessed>2019</b:YearAccessed>
    <b:Issue>10</b:Issue>
    <b:URL>www.hydrol-earth-syst-sci-discuss.net/10/13955/2013/</b:URL>
    <b:DOI>10.5194/hessd-10-13955-2013</b:DOI>
    <b:RefOrder>55</b:RefOrder>
  </b:Source>
  <b:Source>
    <b:Tag>Imp10</b:Tag>
    <b:SourceType>JournalArticle</b:SourceType>
    <b:Guid>{C505D9F5-5EC7-45E1-8341-D50632761B71}</b:Guid>
    <b:Title>Impact of land-use and land-cover change on groundwater quality in the Lower Shiwalik hills: a remote sensing and GIS based approach</b:Title>
    <b:Year>2010</b:Year>
    <b:Pages>124-131</b:Pages>
    <b:JournalName>Central European Journal of Geosciences</b:JournalName>
    <b:Author>
      <b:Author>
        <b:NameList>
          <b:Person>
            <b:Last>Sudhir</b:Last>
            <b:First>Kumar</b:First>
            <b:Middle>Singh</b:Middle>
          </b:Person>
          <b:Person>
            <b:Last>Chander</b:Last>
            <b:First>K.</b:First>
            <b:Middle>Singh</b:Middle>
          </b:Person>
          <b:Person>
            <b:Last>Saumitra</b:Last>
            <b:First>Mukherjee</b:First>
          </b:Person>
        </b:NameList>
      </b:Author>
    </b:Author>
    <b:Day>12</b:Day>
    <b:Volume>2</b:Volume>
    <b:Issue>2</b:Issue>
    <b:RefOrder>56</b:RefOrder>
  </b:Source>
  <b:Source>
    <b:Tag>Imp</b:Tag>
    <b:SourceType>JournalArticle</b:SourceType>
    <b:Guid>{6DAEC9FB-AB17-4FF4-9D80-CC78680E1172}</b:Guid>
    <b:Title>Impacts of urbanization on land use /cover changes and its probable implications on local climate and groundwater level</b:Title>
    <b:Author>
      <b:Author>
        <b:NameList>
          <b:Person>
            <b:Last>Suman</b:Last>
            <b:First>Patraa</b:First>
          </b:Person>
          <b:Person>
            <b:Last>Satiprasad</b:Last>
            <b:First>Sahoob</b:First>
          </b:Person>
          <b:Person>
            <b:Last>Pulak</b:Last>
            <b:First>Mishraa</b:First>
          </b:Person>
          <b:Person>
            <b:Last>Subhash</b:Last>
            <b:First>Chandra</b:First>
          </b:Person>
        </b:NameList>
      </b:Author>
    </b:Author>
    <b:JournalName>Journal of urban management</b:JournalName>
    <b:Year>2018</b:Year>
    <b:Pages>70-84</b:Pages>
    <b:City>Amsterdam</b:City>
    <b:Publisher>Elsevier</b:Publisher>
    <b:Volume>7</b:Volume>
    <b:Issue>2</b:Issue>
    <b:URL>http://hdl.handle.net/10419/194439</b:URL>
    <b:RefOrder>57</b:RefOrder>
  </b:Source>
  <b:Source>
    <b:Tag>Tes10</b:Tag>
    <b:SourceType>Report</b:SourceType>
    <b:Guid>{2F2E49D7-76E6-4AA5-A3CC-D1B70A64B59C}</b:Guid>
    <b:Author>
      <b:Author>
        <b:NameList>
          <b:Person>
            <b:Last>Tessema</b:Last>
            <b:First>Tesfa</b:First>
          </b:Person>
        </b:NameList>
      </b:Author>
    </b:Author>
    <b:Title>Ground Water Potential Evaluation Based On Integrated Gis And Remote Sensing Techniques, In Bilate River Catchment: South Rift Valley Of Ethiopia</b:Title>
    <b:Year>2010</b:Year>
    <b:City>Addis Abeba, Ethiopia</b:City>
    <b:Institution>Addis Abeba University Institution of Technology</b:Institution>
    <b:RefOrder>58</b:RefOrder>
  </b:Source>
  <b:Source>
    <b:Tag>Ven16</b:Tag>
    <b:SourceType>JournalArticle</b:SourceType>
    <b:Guid>{635622E3-945E-4F20-9F0D-EA624443CC2F}</b:Guid>
    <b:Author>
      <b:Author>
        <b:NameList>
          <b:Person>
            <b:Last>Venkatraman</b:Last>
            <b:First>K.</b:First>
          </b:Person>
          <b:Person>
            <b:Last>Ashwath</b:Last>
            <b:First>N.</b:First>
          </b:Person>
        </b:NameList>
      </b:Author>
    </b:Author>
    <b:Title>Transpiration in 15 tree species grown on a phytocapped landfill site</b:Title>
    <b:Year>2016</b:Year>
    <b:Publisher>Hydrol. Curr. Res. 7, 236.</b:Publisher>
    <b:JournalName>Hydrol. Curr. Res.</b:JournalName>
    <b:Pages>236</b:Pages>
    <b:RefOrder>59</b:RefOrder>
  </b:Source>
  <b:Source>
    <b:Tag>Ide1</b:Tag>
    <b:SourceType>JournalArticle</b:SourceType>
    <b:Guid>{E582E340-5031-44D0-80AD-AD4703CEB593}</b:Guid>
    <b:Title>Identification of Groundwater Potential Zone using Remote Sensing and GIS Technique a case study on Parbhani district of Maharashtra</b:Title>
    <b:Author>
      <b:Author>
        <b:NameList>
          <b:Person>
            <b:Last>Waikar</b:Last>
            <b:First>M.L.</b:First>
          </b:Person>
          <b:Person>
            <b:Last>Nilawar</b:Last>
            <b:First>Aditya</b:First>
          </b:Person>
        </b:NameList>
      </b:Author>
    </b:Author>
    <b:Year>2014</b:Year>
    <b:JournalName>International journal of innovative research in science, engineering and technology</b:JournalName>
    <b:Volume>III</b:Volume>
    <b:Issue>5</b:Issue>
    <b:City>Vishnupuri, India</b:City>
    <b:Publisher>IJIRSET</b:Publisher>
    <b:StandardNumber>2319-8753</b:StandardNumber>
    <b:URL>https://www.researchgate.net</b:URL>
    <b:Pages>12163-12174</b:Pages>
    <b:RefOrder>60</b:RefOrder>
  </b:Source>
  <b:Source>
    <b:Tag>Wol16</b:Tag>
    <b:SourceType>Report</b:SourceType>
    <b:Guid>{8EC6BA74-E8CF-4092-8CC9-F5FFE7B4C0C5}</b:Guid>
    <b:Author>
      <b:Author>
        <b:NameList>
          <b:Person>
            <b:Last>Woldeyohannes</b:Last>
            <b:First>Meseret</b:First>
          </b:Person>
        </b:NameList>
      </b:Author>
    </b:Author>
    <b:Title>Estimating Water Balance of Tegona Watershed in South Eastern Ethiopia, using SWAT model</b:Title>
    <b:Year>2016</b:Year>
    <b:City>Bale Robe, Ethiopia</b:City>
    <b:ThesisType>M.sc Thesis</b:ThesisType>
    <b:Institution>Madda Walabu University Institution of Technology</b:Institution>
    <b:RefOrder>61</b:RefOrder>
  </b:Source>
  <b:Source>
    <b:Tag>Fed02</b:Tag>
    <b:SourceType>Report</b:SourceType>
    <b:Guid>{22A01DB1-BD6A-428D-BB9B-C8E7473B88F3}</b:Guid>
    <b:Author>
      <b:Author>
        <b:Corporate>MoWR</b:Corporate>
      </b:Author>
    </b:Author>
    <b:Title>Federal Democratic Republic of Ethiopia Ministry of Water Resources: Water sector development program main report volume II</b:Title>
    <b:Year>2002</b:Year>
    <b:Pages>12</b:Pages>
    <b:City>Addis Abeba, Ethiopia</b:City>
    <b:Institution>Ministry of Water Resources</b:Institution>
    <b:RefOrder>62</b:RefOrder>
  </b:Source>
  <b:Source>
    <b:Tag>The</b:Tag>
    <b:SourceType>ConferenceProceedings</b:SourceType>
    <b:Guid>{54982888-4885-4039-86D8-949C57716556}</b:Guid>
    <b:JournalName>The International Archives of the Photogrammetry, Remote Sensing and Spatial Information Sciences</b:JournalName>
    <b:Author>
      <b:Author>
        <b:NameList>
          <b:Person>
            <b:Last>Zeinolabedini</b:Last>
            <b:First>M</b:First>
          </b:Person>
          <b:Person>
            <b:Last>Esmaeily</b:Last>
            <b:First>A</b:First>
          </b:Person>
        </b:NameList>
      </b:Author>
    </b:Author>
    <b:Year>2015</b:Year>
    <b:Volume>Volume XL-1/W5</b:Volume>
    <b:ConferenceName>International conference on sensors and models in remote sensing &amp; photogrammetry</b:ConferenceName>
    <b:City>Kish Island, Iran</b:City>
    <b:Title>Groundwater Potential Assessment Using Geographic Information Systems and AHP Method (Case Study: Baft City, Kerman, Iran)</b:Title>
    <b:Publisher>Graduate University of Advanced Technology, Kerman, Mahan,</b:Publisher>
    <b:RefOrder>63</b:RefOrder>
  </b:Source>
  <b:Source>
    <b:Tag>Bab13</b:Tag>
    <b:SourceType>JournalArticle</b:SourceType>
    <b:Guid>{246C2EE5-9E0E-422C-ABD5-5354D10082A8}</b:Guid>
    <b:Title>AHP Modelling for Multicriteria Decision-Making and to Optimise Strategies for Protecting Coastal Landscape Resources</b:Title>
    <b:Year>2013</b:Year>
    <b:Pages>213-227</b:Pages>
    <b:Author>
      <b:Author>
        <b:NameList>
          <b:Person>
            <b:Last>Baby</b:Last>
            <b:First>S.</b:First>
          </b:Person>
        </b:NameList>
      </b:Author>
    </b:Author>
    <b:JournalName>International journal of innovation, management and technology</b:JournalName>
    <b:Volume>4,</b:Volume>
    <b:Issue>2</b:Issue>
    <b:RefOrder>64</b:RefOrder>
  </b:Source>
  <b:Source>
    <b:Tag>TLS94</b:Tag>
    <b:SourceType>BookSection</b:SourceType>
    <b:Guid>{86FF0B0D-0F9E-4F48-87F8-11C8116E9FB0}</b:Guid>
    <b:Author>
      <b:Author>
        <b:NameList>
          <b:Person>
            <b:Last>Saaty</b:Last>
            <b:First>T.L.</b:First>
          </b:Person>
        </b:NameList>
      </b:Author>
    </b:Author>
    <b:Year>1994</b:Year>
    <b:City>Pittsburgh</b:City>
    <b:Publisher>RWS Publications</b:Publisher>
    <b:Title>Fundamentals of Decision Making and Priority Theory with the Analytic Hierarchy Process</b:Title>
    <b:RefOrder>65</b:RefOrder>
  </b:Source>
  <b:Source>
    <b:Tag>Tad17</b:Tag>
    <b:SourceType>Report</b:SourceType>
    <b:Guid>{B1B6F6E4-0E0C-4D20-82B1-DDB860C5B552}</b:Guid>
    <b:Title>Spatiotemporal Land Use/Land Cover Change, Driving Forces and Consequences in Ameya Woreda, Central, Ethiopia</b:Title>
    <b:Year>2017</b:Year>
    <b:Pages>60</b:Pages>
    <b:Author>
      <b:Author>
        <b:NameList>
          <b:Person>
            <b:Last>Tadesse</b:Last>
            <b:First>Tulu</b:First>
          </b:Person>
        </b:NameList>
      </b:Author>
    </b:Author>
    <b:City>Addis Abeba, Ethiopia</b:City>
    <b:Institution>Addis Ababa University Collage Of Social Sciences</b:Institution>
    <b:ThesisType>M.sc Thesis</b:ThesisType>
    <b:RefOrder>66</b:RefOrder>
  </b:Source>
  <b:Source>
    <b:Tag>Pri09</b:Tag>
    <b:SourceType>BookSection</b:SourceType>
    <b:Guid>{A280DB4A-5B08-475F-9DC3-D3B71BA7F92C}</b:Guid>
    <b:Year>2009</b:Year>
    <b:Author>
      <b:Author>
        <b:NameList>
          <b:Person>
            <b:Last>Huisman</b:Last>
            <b:First>Otto</b:First>
          </b:Person>
          <b:Person>
            <b:Last>Rolf</b:Last>
            <b:First>A.</b:First>
          </b:Person>
        </b:NameList>
      </b:Author>
    </b:Author>
    <b:BookTitle>Principle of geographic information system</b:BookTitle>
    <b:Pages>135</b:Pages>
    <b:City>Enschede</b:City>
    <b:Publisher>International institute for Geo-information science and earth observation (ITC)</b:Publisher>
    <b:CountryRegion>Netherlands</b:CountryRegion>
    <b:ChapterNumber>3</b:ChapterNumber>
    <b:YearAccessed>2019</b:YearAccessed>
    <b:RefOrder>67</b:RefOrder>
  </b:Source>
  <b:Source>
    <b:Tag>JeS02</b:Tag>
    <b:SourceType>JournalArticle</b:SourceType>
    <b:Guid>{37325EE6-511B-4194-99A7-A794727EA4F9}</b:Guid>
    <b:Title>Kriging Interpolation Methods in Geostatistics and DACE Model</b:Title>
    <b:Year>2002</b:Year>
    <b:Pages>619-632</b:Pages>
    <b:JournalName>Research gate</b:JournalName>
    <b:Author>
      <b:Author>
        <b:NameList>
          <b:Person>
            <b:Last>Je-Seon</b:Last>
            <b:First>Ryu</b:First>
          </b:Person>
          <b:Person>
            <b:Last>Min-Soo</b:Last>
            <b:First>kim</b:First>
          </b:Person>
          <b:Person>
            <b:Last>Kyung-Joon</b:Last>
            <b:First>Cha</b:First>
          </b:Person>
          <b:Person>
            <b:Last>Hee Tae</b:Last>
            <b:First>Lee</b:First>
          </b:Person>
          <b:Person>
            <b:Last>Dong-Hoon</b:Last>
            <b:First>Choi</b:First>
          </b:Person>
        </b:NameList>
      </b:Author>
    </b:Author>
    <b:URL>https://www.researchgate.net/publication/227304926</b:URL>
    <b:DOI>10.1007/BF03184811</b:DOI>
    <b:RefOrder>68</b:RefOrder>
  </b:Source>
  <b:Source>
    <b:Tag>DOY20</b:Tag>
    <b:SourceType>Report</b:SourceType>
    <b:Guid>{35F0853E-32A4-480E-A35C-3D5BBE592EEA}</b:Guid>
    <b:Title>GROUNDWATER POTENTIAL MAPPING USING REMOTE SENSING AND GIS TECHNIQUES: THE CASE OF MEKI WATERSHED, CENTRAL RIFT VALLEY, ETHIOPIA</b:Title>
    <b:Year>2020</b:Year>
    <b:City>Hawassa, Ethiopia</b:City>
    <b:Author>
      <b:Author>
        <b:NameList>
          <b:Person>
            <b:Last>Worku</b:Last>
            <b:First>Diriba</b:First>
          </b:Person>
        </b:NameList>
      </b:Author>
    </b:Author>
    <b:RefOrder>69</b:RefOrder>
  </b:Source>
</b:Sources>
</file>

<file path=customXml/itemProps1.xml><?xml version="1.0" encoding="utf-8"?>
<ds:datastoreItem xmlns:ds="http://schemas.openxmlformats.org/officeDocument/2006/customXml" ds:itemID="{27CD9956-1751-40E0-AE30-E0612420EF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25685</TotalTime>
  <Pages>1</Pages>
  <Words>103131</Words>
  <Characters>587853</Characters>
  <Application>Microsoft Office Word</Application>
  <DocSecurity>0</DocSecurity>
  <Lines>4898</Lines>
  <Paragraphs>1379</Paragraphs>
  <ScaleCrop>false</ScaleCrop>
  <HeadingPairs>
    <vt:vector size="2" baseType="variant">
      <vt:variant>
        <vt:lpstr>Title</vt:lpstr>
      </vt:variant>
      <vt:variant>
        <vt:i4>1</vt:i4>
      </vt:variant>
    </vt:vector>
  </HeadingPairs>
  <TitlesOfParts>
    <vt:vector size="1" baseType="lpstr">
      <vt:lpstr>Groundwater potential mapping_by_Abdii</vt:lpstr>
    </vt:vector>
  </TitlesOfParts>
  <Company/>
  <LinksUpToDate>false</LinksUpToDate>
  <CharactersWithSpaces>689605</CharactersWithSpaces>
  <SharedDoc>false</SharedDoc>
  <HLinks>
    <vt:vector size="786" baseType="variant">
      <vt:variant>
        <vt:i4>3932261</vt:i4>
      </vt:variant>
      <vt:variant>
        <vt:i4>1896</vt:i4>
      </vt:variant>
      <vt:variant>
        <vt:i4>0</vt:i4>
      </vt:variant>
      <vt:variant>
        <vt:i4>5</vt:i4>
      </vt:variant>
      <vt:variant>
        <vt:lpwstr>http://www.earthexplorer.usgs.gov/</vt:lpwstr>
      </vt:variant>
      <vt:variant>
        <vt:lpwstr/>
      </vt:variant>
      <vt:variant>
        <vt:i4>1835071</vt:i4>
      </vt:variant>
      <vt:variant>
        <vt:i4>782</vt:i4>
      </vt:variant>
      <vt:variant>
        <vt:i4>0</vt:i4>
      </vt:variant>
      <vt:variant>
        <vt:i4>5</vt:i4>
      </vt:variant>
      <vt:variant>
        <vt:lpwstr/>
      </vt:variant>
      <vt:variant>
        <vt:lpwstr>_Toc62128308</vt:lpwstr>
      </vt:variant>
      <vt:variant>
        <vt:i4>1245247</vt:i4>
      </vt:variant>
      <vt:variant>
        <vt:i4>776</vt:i4>
      </vt:variant>
      <vt:variant>
        <vt:i4>0</vt:i4>
      </vt:variant>
      <vt:variant>
        <vt:i4>5</vt:i4>
      </vt:variant>
      <vt:variant>
        <vt:lpwstr/>
      </vt:variant>
      <vt:variant>
        <vt:lpwstr>_Toc62128307</vt:lpwstr>
      </vt:variant>
      <vt:variant>
        <vt:i4>1179711</vt:i4>
      </vt:variant>
      <vt:variant>
        <vt:i4>770</vt:i4>
      </vt:variant>
      <vt:variant>
        <vt:i4>0</vt:i4>
      </vt:variant>
      <vt:variant>
        <vt:i4>5</vt:i4>
      </vt:variant>
      <vt:variant>
        <vt:lpwstr/>
      </vt:variant>
      <vt:variant>
        <vt:lpwstr>_Toc62128306</vt:lpwstr>
      </vt:variant>
      <vt:variant>
        <vt:i4>1114175</vt:i4>
      </vt:variant>
      <vt:variant>
        <vt:i4>764</vt:i4>
      </vt:variant>
      <vt:variant>
        <vt:i4>0</vt:i4>
      </vt:variant>
      <vt:variant>
        <vt:i4>5</vt:i4>
      </vt:variant>
      <vt:variant>
        <vt:lpwstr/>
      </vt:variant>
      <vt:variant>
        <vt:lpwstr>_Toc62128305</vt:lpwstr>
      </vt:variant>
      <vt:variant>
        <vt:i4>1048639</vt:i4>
      </vt:variant>
      <vt:variant>
        <vt:i4>758</vt:i4>
      </vt:variant>
      <vt:variant>
        <vt:i4>0</vt:i4>
      </vt:variant>
      <vt:variant>
        <vt:i4>5</vt:i4>
      </vt:variant>
      <vt:variant>
        <vt:lpwstr/>
      </vt:variant>
      <vt:variant>
        <vt:lpwstr>_Toc62128304</vt:lpwstr>
      </vt:variant>
      <vt:variant>
        <vt:i4>1507391</vt:i4>
      </vt:variant>
      <vt:variant>
        <vt:i4>752</vt:i4>
      </vt:variant>
      <vt:variant>
        <vt:i4>0</vt:i4>
      </vt:variant>
      <vt:variant>
        <vt:i4>5</vt:i4>
      </vt:variant>
      <vt:variant>
        <vt:lpwstr/>
      </vt:variant>
      <vt:variant>
        <vt:lpwstr>_Toc62128303</vt:lpwstr>
      </vt:variant>
      <vt:variant>
        <vt:i4>1441855</vt:i4>
      </vt:variant>
      <vt:variant>
        <vt:i4>746</vt:i4>
      </vt:variant>
      <vt:variant>
        <vt:i4>0</vt:i4>
      </vt:variant>
      <vt:variant>
        <vt:i4>5</vt:i4>
      </vt:variant>
      <vt:variant>
        <vt:lpwstr/>
      </vt:variant>
      <vt:variant>
        <vt:lpwstr>_Toc62128302</vt:lpwstr>
      </vt:variant>
      <vt:variant>
        <vt:i4>1376319</vt:i4>
      </vt:variant>
      <vt:variant>
        <vt:i4>740</vt:i4>
      </vt:variant>
      <vt:variant>
        <vt:i4>0</vt:i4>
      </vt:variant>
      <vt:variant>
        <vt:i4>5</vt:i4>
      </vt:variant>
      <vt:variant>
        <vt:lpwstr/>
      </vt:variant>
      <vt:variant>
        <vt:lpwstr>_Toc62128301</vt:lpwstr>
      </vt:variant>
      <vt:variant>
        <vt:i4>1310783</vt:i4>
      </vt:variant>
      <vt:variant>
        <vt:i4>734</vt:i4>
      </vt:variant>
      <vt:variant>
        <vt:i4>0</vt:i4>
      </vt:variant>
      <vt:variant>
        <vt:i4>5</vt:i4>
      </vt:variant>
      <vt:variant>
        <vt:lpwstr/>
      </vt:variant>
      <vt:variant>
        <vt:lpwstr>_Toc62128300</vt:lpwstr>
      </vt:variant>
      <vt:variant>
        <vt:i4>1835062</vt:i4>
      </vt:variant>
      <vt:variant>
        <vt:i4>728</vt:i4>
      </vt:variant>
      <vt:variant>
        <vt:i4>0</vt:i4>
      </vt:variant>
      <vt:variant>
        <vt:i4>5</vt:i4>
      </vt:variant>
      <vt:variant>
        <vt:lpwstr/>
      </vt:variant>
      <vt:variant>
        <vt:lpwstr>_Toc62128299</vt:lpwstr>
      </vt:variant>
      <vt:variant>
        <vt:i4>1900598</vt:i4>
      </vt:variant>
      <vt:variant>
        <vt:i4>722</vt:i4>
      </vt:variant>
      <vt:variant>
        <vt:i4>0</vt:i4>
      </vt:variant>
      <vt:variant>
        <vt:i4>5</vt:i4>
      </vt:variant>
      <vt:variant>
        <vt:lpwstr/>
      </vt:variant>
      <vt:variant>
        <vt:lpwstr>_Toc62128298</vt:lpwstr>
      </vt:variant>
      <vt:variant>
        <vt:i4>1179702</vt:i4>
      </vt:variant>
      <vt:variant>
        <vt:i4>716</vt:i4>
      </vt:variant>
      <vt:variant>
        <vt:i4>0</vt:i4>
      </vt:variant>
      <vt:variant>
        <vt:i4>5</vt:i4>
      </vt:variant>
      <vt:variant>
        <vt:lpwstr/>
      </vt:variant>
      <vt:variant>
        <vt:lpwstr>_Toc62128297</vt:lpwstr>
      </vt:variant>
      <vt:variant>
        <vt:i4>1245238</vt:i4>
      </vt:variant>
      <vt:variant>
        <vt:i4>710</vt:i4>
      </vt:variant>
      <vt:variant>
        <vt:i4>0</vt:i4>
      </vt:variant>
      <vt:variant>
        <vt:i4>5</vt:i4>
      </vt:variant>
      <vt:variant>
        <vt:lpwstr/>
      </vt:variant>
      <vt:variant>
        <vt:lpwstr>_Toc62128296</vt:lpwstr>
      </vt:variant>
      <vt:variant>
        <vt:i4>1048630</vt:i4>
      </vt:variant>
      <vt:variant>
        <vt:i4>704</vt:i4>
      </vt:variant>
      <vt:variant>
        <vt:i4>0</vt:i4>
      </vt:variant>
      <vt:variant>
        <vt:i4>5</vt:i4>
      </vt:variant>
      <vt:variant>
        <vt:lpwstr/>
      </vt:variant>
      <vt:variant>
        <vt:lpwstr>_Toc62128295</vt:lpwstr>
      </vt:variant>
      <vt:variant>
        <vt:i4>1114166</vt:i4>
      </vt:variant>
      <vt:variant>
        <vt:i4>698</vt:i4>
      </vt:variant>
      <vt:variant>
        <vt:i4>0</vt:i4>
      </vt:variant>
      <vt:variant>
        <vt:i4>5</vt:i4>
      </vt:variant>
      <vt:variant>
        <vt:lpwstr/>
      </vt:variant>
      <vt:variant>
        <vt:lpwstr>_Toc62128294</vt:lpwstr>
      </vt:variant>
      <vt:variant>
        <vt:i4>1441846</vt:i4>
      </vt:variant>
      <vt:variant>
        <vt:i4>692</vt:i4>
      </vt:variant>
      <vt:variant>
        <vt:i4>0</vt:i4>
      </vt:variant>
      <vt:variant>
        <vt:i4>5</vt:i4>
      </vt:variant>
      <vt:variant>
        <vt:lpwstr/>
      </vt:variant>
      <vt:variant>
        <vt:lpwstr>_Toc62128293</vt:lpwstr>
      </vt:variant>
      <vt:variant>
        <vt:i4>1507382</vt:i4>
      </vt:variant>
      <vt:variant>
        <vt:i4>686</vt:i4>
      </vt:variant>
      <vt:variant>
        <vt:i4>0</vt:i4>
      </vt:variant>
      <vt:variant>
        <vt:i4>5</vt:i4>
      </vt:variant>
      <vt:variant>
        <vt:lpwstr/>
      </vt:variant>
      <vt:variant>
        <vt:lpwstr>_Toc62128292</vt:lpwstr>
      </vt:variant>
      <vt:variant>
        <vt:i4>1310774</vt:i4>
      </vt:variant>
      <vt:variant>
        <vt:i4>680</vt:i4>
      </vt:variant>
      <vt:variant>
        <vt:i4>0</vt:i4>
      </vt:variant>
      <vt:variant>
        <vt:i4>5</vt:i4>
      </vt:variant>
      <vt:variant>
        <vt:lpwstr/>
      </vt:variant>
      <vt:variant>
        <vt:lpwstr>_Toc62128291</vt:lpwstr>
      </vt:variant>
      <vt:variant>
        <vt:i4>1376310</vt:i4>
      </vt:variant>
      <vt:variant>
        <vt:i4>674</vt:i4>
      </vt:variant>
      <vt:variant>
        <vt:i4>0</vt:i4>
      </vt:variant>
      <vt:variant>
        <vt:i4>5</vt:i4>
      </vt:variant>
      <vt:variant>
        <vt:lpwstr/>
      </vt:variant>
      <vt:variant>
        <vt:lpwstr>_Toc62128290</vt:lpwstr>
      </vt:variant>
      <vt:variant>
        <vt:i4>1835063</vt:i4>
      </vt:variant>
      <vt:variant>
        <vt:i4>668</vt:i4>
      </vt:variant>
      <vt:variant>
        <vt:i4>0</vt:i4>
      </vt:variant>
      <vt:variant>
        <vt:i4>5</vt:i4>
      </vt:variant>
      <vt:variant>
        <vt:lpwstr/>
      </vt:variant>
      <vt:variant>
        <vt:lpwstr>_Toc62128289</vt:lpwstr>
      </vt:variant>
      <vt:variant>
        <vt:i4>1900599</vt:i4>
      </vt:variant>
      <vt:variant>
        <vt:i4>662</vt:i4>
      </vt:variant>
      <vt:variant>
        <vt:i4>0</vt:i4>
      </vt:variant>
      <vt:variant>
        <vt:i4>5</vt:i4>
      </vt:variant>
      <vt:variant>
        <vt:lpwstr/>
      </vt:variant>
      <vt:variant>
        <vt:lpwstr>_Toc62128288</vt:lpwstr>
      </vt:variant>
      <vt:variant>
        <vt:i4>1179703</vt:i4>
      </vt:variant>
      <vt:variant>
        <vt:i4>656</vt:i4>
      </vt:variant>
      <vt:variant>
        <vt:i4>0</vt:i4>
      </vt:variant>
      <vt:variant>
        <vt:i4>5</vt:i4>
      </vt:variant>
      <vt:variant>
        <vt:lpwstr/>
      </vt:variant>
      <vt:variant>
        <vt:lpwstr>_Toc62128287</vt:lpwstr>
      </vt:variant>
      <vt:variant>
        <vt:i4>1245239</vt:i4>
      </vt:variant>
      <vt:variant>
        <vt:i4>650</vt:i4>
      </vt:variant>
      <vt:variant>
        <vt:i4>0</vt:i4>
      </vt:variant>
      <vt:variant>
        <vt:i4>5</vt:i4>
      </vt:variant>
      <vt:variant>
        <vt:lpwstr/>
      </vt:variant>
      <vt:variant>
        <vt:lpwstr>_Toc62128286</vt:lpwstr>
      </vt:variant>
      <vt:variant>
        <vt:i4>1048631</vt:i4>
      </vt:variant>
      <vt:variant>
        <vt:i4>644</vt:i4>
      </vt:variant>
      <vt:variant>
        <vt:i4>0</vt:i4>
      </vt:variant>
      <vt:variant>
        <vt:i4>5</vt:i4>
      </vt:variant>
      <vt:variant>
        <vt:lpwstr/>
      </vt:variant>
      <vt:variant>
        <vt:lpwstr>_Toc62128285</vt:lpwstr>
      </vt:variant>
      <vt:variant>
        <vt:i4>1114167</vt:i4>
      </vt:variant>
      <vt:variant>
        <vt:i4>638</vt:i4>
      </vt:variant>
      <vt:variant>
        <vt:i4>0</vt:i4>
      </vt:variant>
      <vt:variant>
        <vt:i4>5</vt:i4>
      </vt:variant>
      <vt:variant>
        <vt:lpwstr/>
      </vt:variant>
      <vt:variant>
        <vt:lpwstr>_Toc62128284</vt:lpwstr>
      </vt:variant>
      <vt:variant>
        <vt:i4>1441847</vt:i4>
      </vt:variant>
      <vt:variant>
        <vt:i4>632</vt:i4>
      </vt:variant>
      <vt:variant>
        <vt:i4>0</vt:i4>
      </vt:variant>
      <vt:variant>
        <vt:i4>5</vt:i4>
      </vt:variant>
      <vt:variant>
        <vt:lpwstr/>
      </vt:variant>
      <vt:variant>
        <vt:lpwstr>_Toc62128283</vt:lpwstr>
      </vt:variant>
      <vt:variant>
        <vt:i4>1507383</vt:i4>
      </vt:variant>
      <vt:variant>
        <vt:i4>626</vt:i4>
      </vt:variant>
      <vt:variant>
        <vt:i4>0</vt:i4>
      </vt:variant>
      <vt:variant>
        <vt:i4>5</vt:i4>
      </vt:variant>
      <vt:variant>
        <vt:lpwstr/>
      </vt:variant>
      <vt:variant>
        <vt:lpwstr>_Toc62128282</vt:lpwstr>
      </vt:variant>
      <vt:variant>
        <vt:i4>1310775</vt:i4>
      </vt:variant>
      <vt:variant>
        <vt:i4>620</vt:i4>
      </vt:variant>
      <vt:variant>
        <vt:i4>0</vt:i4>
      </vt:variant>
      <vt:variant>
        <vt:i4>5</vt:i4>
      </vt:variant>
      <vt:variant>
        <vt:lpwstr/>
      </vt:variant>
      <vt:variant>
        <vt:lpwstr>_Toc62128281</vt:lpwstr>
      </vt:variant>
      <vt:variant>
        <vt:i4>1376311</vt:i4>
      </vt:variant>
      <vt:variant>
        <vt:i4>614</vt:i4>
      </vt:variant>
      <vt:variant>
        <vt:i4>0</vt:i4>
      </vt:variant>
      <vt:variant>
        <vt:i4>5</vt:i4>
      </vt:variant>
      <vt:variant>
        <vt:lpwstr/>
      </vt:variant>
      <vt:variant>
        <vt:lpwstr>_Toc62128280</vt:lpwstr>
      </vt:variant>
      <vt:variant>
        <vt:i4>1835064</vt:i4>
      </vt:variant>
      <vt:variant>
        <vt:i4>608</vt:i4>
      </vt:variant>
      <vt:variant>
        <vt:i4>0</vt:i4>
      </vt:variant>
      <vt:variant>
        <vt:i4>5</vt:i4>
      </vt:variant>
      <vt:variant>
        <vt:lpwstr/>
      </vt:variant>
      <vt:variant>
        <vt:lpwstr>_Toc62128279</vt:lpwstr>
      </vt:variant>
      <vt:variant>
        <vt:i4>1900600</vt:i4>
      </vt:variant>
      <vt:variant>
        <vt:i4>602</vt:i4>
      </vt:variant>
      <vt:variant>
        <vt:i4>0</vt:i4>
      </vt:variant>
      <vt:variant>
        <vt:i4>5</vt:i4>
      </vt:variant>
      <vt:variant>
        <vt:lpwstr/>
      </vt:variant>
      <vt:variant>
        <vt:lpwstr>_Toc62128278</vt:lpwstr>
      </vt:variant>
      <vt:variant>
        <vt:i4>1179704</vt:i4>
      </vt:variant>
      <vt:variant>
        <vt:i4>596</vt:i4>
      </vt:variant>
      <vt:variant>
        <vt:i4>0</vt:i4>
      </vt:variant>
      <vt:variant>
        <vt:i4>5</vt:i4>
      </vt:variant>
      <vt:variant>
        <vt:lpwstr/>
      </vt:variant>
      <vt:variant>
        <vt:lpwstr>_Toc62128277</vt:lpwstr>
      </vt:variant>
      <vt:variant>
        <vt:i4>1245240</vt:i4>
      </vt:variant>
      <vt:variant>
        <vt:i4>590</vt:i4>
      </vt:variant>
      <vt:variant>
        <vt:i4>0</vt:i4>
      </vt:variant>
      <vt:variant>
        <vt:i4>5</vt:i4>
      </vt:variant>
      <vt:variant>
        <vt:lpwstr/>
      </vt:variant>
      <vt:variant>
        <vt:lpwstr>_Toc62128276</vt:lpwstr>
      </vt:variant>
      <vt:variant>
        <vt:i4>1048632</vt:i4>
      </vt:variant>
      <vt:variant>
        <vt:i4>584</vt:i4>
      </vt:variant>
      <vt:variant>
        <vt:i4>0</vt:i4>
      </vt:variant>
      <vt:variant>
        <vt:i4>5</vt:i4>
      </vt:variant>
      <vt:variant>
        <vt:lpwstr/>
      </vt:variant>
      <vt:variant>
        <vt:lpwstr>_Toc62128275</vt:lpwstr>
      </vt:variant>
      <vt:variant>
        <vt:i4>1114168</vt:i4>
      </vt:variant>
      <vt:variant>
        <vt:i4>578</vt:i4>
      </vt:variant>
      <vt:variant>
        <vt:i4>0</vt:i4>
      </vt:variant>
      <vt:variant>
        <vt:i4>5</vt:i4>
      </vt:variant>
      <vt:variant>
        <vt:lpwstr/>
      </vt:variant>
      <vt:variant>
        <vt:lpwstr>_Toc62128274</vt:lpwstr>
      </vt:variant>
      <vt:variant>
        <vt:i4>1441848</vt:i4>
      </vt:variant>
      <vt:variant>
        <vt:i4>572</vt:i4>
      </vt:variant>
      <vt:variant>
        <vt:i4>0</vt:i4>
      </vt:variant>
      <vt:variant>
        <vt:i4>5</vt:i4>
      </vt:variant>
      <vt:variant>
        <vt:lpwstr/>
      </vt:variant>
      <vt:variant>
        <vt:lpwstr>_Toc62128273</vt:lpwstr>
      </vt:variant>
      <vt:variant>
        <vt:i4>1507384</vt:i4>
      </vt:variant>
      <vt:variant>
        <vt:i4>566</vt:i4>
      </vt:variant>
      <vt:variant>
        <vt:i4>0</vt:i4>
      </vt:variant>
      <vt:variant>
        <vt:i4>5</vt:i4>
      </vt:variant>
      <vt:variant>
        <vt:lpwstr/>
      </vt:variant>
      <vt:variant>
        <vt:lpwstr>_Toc62128272</vt:lpwstr>
      </vt:variant>
      <vt:variant>
        <vt:i4>1310776</vt:i4>
      </vt:variant>
      <vt:variant>
        <vt:i4>560</vt:i4>
      </vt:variant>
      <vt:variant>
        <vt:i4>0</vt:i4>
      </vt:variant>
      <vt:variant>
        <vt:i4>5</vt:i4>
      </vt:variant>
      <vt:variant>
        <vt:lpwstr/>
      </vt:variant>
      <vt:variant>
        <vt:lpwstr>_Toc62128271</vt:lpwstr>
      </vt:variant>
      <vt:variant>
        <vt:i4>1376312</vt:i4>
      </vt:variant>
      <vt:variant>
        <vt:i4>554</vt:i4>
      </vt:variant>
      <vt:variant>
        <vt:i4>0</vt:i4>
      </vt:variant>
      <vt:variant>
        <vt:i4>5</vt:i4>
      </vt:variant>
      <vt:variant>
        <vt:lpwstr/>
      </vt:variant>
      <vt:variant>
        <vt:lpwstr>_Toc62128270</vt:lpwstr>
      </vt:variant>
      <vt:variant>
        <vt:i4>1835065</vt:i4>
      </vt:variant>
      <vt:variant>
        <vt:i4>548</vt:i4>
      </vt:variant>
      <vt:variant>
        <vt:i4>0</vt:i4>
      </vt:variant>
      <vt:variant>
        <vt:i4>5</vt:i4>
      </vt:variant>
      <vt:variant>
        <vt:lpwstr/>
      </vt:variant>
      <vt:variant>
        <vt:lpwstr>_Toc62128269</vt:lpwstr>
      </vt:variant>
      <vt:variant>
        <vt:i4>1900601</vt:i4>
      </vt:variant>
      <vt:variant>
        <vt:i4>542</vt:i4>
      </vt:variant>
      <vt:variant>
        <vt:i4>0</vt:i4>
      </vt:variant>
      <vt:variant>
        <vt:i4>5</vt:i4>
      </vt:variant>
      <vt:variant>
        <vt:lpwstr/>
      </vt:variant>
      <vt:variant>
        <vt:lpwstr>_Toc62128268</vt:lpwstr>
      </vt:variant>
      <vt:variant>
        <vt:i4>1179705</vt:i4>
      </vt:variant>
      <vt:variant>
        <vt:i4>536</vt:i4>
      </vt:variant>
      <vt:variant>
        <vt:i4>0</vt:i4>
      </vt:variant>
      <vt:variant>
        <vt:i4>5</vt:i4>
      </vt:variant>
      <vt:variant>
        <vt:lpwstr/>
      </vt:variant>
      <vt:variant>
        <vt:lpwstr>_Toc62128267</vt:lpwstr>
      </vt:variant>
      <vt:variant>
        <vt:i4>1245241</vt:i4>
      </vt:variant>
      <vt:variant>
        <vt:i4>530</vt:i4>
      </vt:variant>
      <vt:variant>
        <vt:i4>0</vt:i4>
      </vt:variant>
      <vt:variant>
        <vt:i4>5</vt:i4>
      </vt:variant>
      <vt:variant>
        <vt:lpwstr/>
      </vt:variant>
      <vt:variant>
        <vt:lpwstr>_Toc62128266</vt:lpwstr>
      </vt:variant>
      <vt:variant>
        <vt:i4>1048633</vt:i4>
      </vt:variant>
      <vt:variant>
        <vt:i4>524</vt:i4>
      </vt:variant>
      <vt:variant>
        <vt:i4>0</vt:i4>
      </vt:variant>
      <vt:variant>
        <vt:i4>5</vt:i4>
      </vt:variant>
      <vt:variant>
        <vt:lpwstr/>
      </vt:variant>
      <vt:variant>
        <vt:lpwstr>_Toc62128265</vt:lpwstr>
      </vt:variant>
      <vt:variant>
        <vt:i4>1114169</vt:i4>
      </vt:variant>
      <vt:variant>
        <vt:i4>518</vt:i4>
      </vt:variant>
      <vt:variant>
        <vt:i4>0</vt:i4>
      </vt:variant>
      <vt:variant>
        <vt:i4>5</vt:i4>
      </vt:variant>
      <vt:variant>
        <vt:lpwstr/>
      </vt:variant>
      <vt:variant>
        <vt:lpwstr>_Toc62128264</vt:lpwstr>
      </vt:variant>
      <vt:variant>
        <vt:i4>1441849</vt:i4>
      </vt:variant>
      <vt:variant>
        <vt:i4>512</vt:i4>
      </vt:variant>
      <vt:variant>
        <vt:i4>0</vt:i4>
      </vt:variant>
      <vt:variant>
        <vt:i4>5</vt:i4>
      </vt:variant>
      <vt:variant>
        <vt:lpwstr/>
      </vt:variant>
      <vt:variant>
        <vt:lpwstr>_Toc62128263</vt:lpwstr>
      </vt:variant>
      <vt:variant>
        <vt:i4>1507385</vt:i4>
      </vt:variant>
      <vt:variant>
        <vt:i4>506</vt:i4>
      </vt:variant>
      <vt:variant>
        <vt:i4>0</vt:i4>
      </vt:variant>
      <vt:variant>
        <vt:i4>5</vt:i4>
      </vt:variant>
      <vt:variant>
        <vt:lpwstr/>
      </vt:variant>
      <vt:variant>
        <vt:lpwstr>_Toc62128262</vt:lpwstr>
      </vt:variant>
      <vt:variant>
        <vt:i4>1441848</vt:i4>
      </vt:variant>
      <vt:variant>
        <vt:i4>497</vt:i4>
      </vt:variant>
      <vt:variant>
        <vt:i4>0</vt:i4>
      </vt:variant>
      <vt:variant>
        <vt:i4>5</vt:i4>
      </vt:variant>
      <vt:variant>
        <vt:lpwstr/>
      </vt:variant>
      <vt:variant>
        <vt:lpwstr>_Toc62128372</vt:lpwstr>
      </vt:variant>
      <vt:variant>
        <vt:i4>1376312</vt:i4>
      </vt:variant>
      <vt:variant>
        <vt:i4>491</vt:i4>
      </vt:variant>
      <vt:variant>
        <vt:i4>0</vt:i4>
      </vt:variant>
      <vt:variant>
        <vt:i4>5</vt:i4>
      </vt:variant>
      <vt:variant>
        <vt:lpwstr/>
      </vt:variant>
      <vt:variant>
        <vt:lpwstr>_Toc62128371</vt:lpwstr>
      </vt:variant>
      <vt:variant>
        <vt:i4>1310776</vt:i4>
      </vt:variant>
      <vt:variant>
        <vt:i4>485</vt:i4>
      </vt:variant>
      <vt:variant>
        <vt:i4>0</vt:i4>
      </vt:variant>
      <vt:variant>
        <vt:i4>5</vt:i4>
      </vt:variant>
      <vt:variant>
        <vt:lpwstr/>
      </vt:variant>
      <vt:variant>
        <vt:lpwstr>_Toc62128370</vt:lpwstr>
      </vt:variant>
      <vt:variant>
        <vt:i4>1900601</vt:i4>
      </vt:variant>
      <vt:variant>
        <vt:i4>479</vt:i4>
      </vt:variant>
      <vt:variant>
        <vt:i4>0</vt:i4>
      </vt:variant>
      <vt:variant>
        <vt:i4>5</vt:i4>
      </vt:variant>
      <vt:variant>
        <vt:lpwstr/>
      </vt:variant>
      <vt:variant>
        <vt:lpwstr>_Toc62128369</vt:lpwstr>
      </vt:variant>
      <vt:variant>
        <vt:i4>1835065</vt:i4>
      </vt:variant>
      <vt:variant>
        <vt:i4>473</vt:i4>
      </vt:variant>
      <vt:variant>
        <vt:i4>0</vt:i4>
      </vt:variant>
      <vt:variant>
        <vt:i4>5</vt:i4>
      </vt:variant>
      <vt:variant>
        <vt:lpwstr/>
      </vt:variant>
      <vt:variant>
        <vt:lpwstr>_Toc62128368</vt:lpwstr>
      </vt:variant>
      <vt:variant>
        <vt:i4>1245241</vt:i4>
      </vt:variant>
      <vt:variant>
        <vt:i4>467</vt:i4>
      </vt:variant>
      <vt:variant>
        <vt:i4>0</vt:i4>
      </vt:variant>
      <vt:variant>
        <vt:i4>5</vt:i4>
      </vt:variant>
      <vt:variant>
        <vt:lpwstr/>
      </vt:variant>
      <vt:variant>
        <vt:lpwstr>_Toc62128367</vt:lpwstr>
      </vt:variant>
      <vt:variant>
        <vt:i4>1179705</vt:i4>
      </vt:variant>
      <vt:variant>
        <vt:i4>461</vt:i4>
      </vt:variant>
      <vt:variant>
        <vt:i4>0</vt:i4>
      </vt:variant>
      <vt:variant>
        <vt:i4>5</vt:i4>
      </vt:variant>
      <vt:variant>
        <vt:lpwstr/>
      </vt:variant>
      <vt:variant>
        <vt:lpwstr>_Toc62128366</vt:lpwstr>
      </vt:variant>
      <vt:variant>
        <vt:i4>1114169</vt:i4>
      </vt:variant>
      <vt:variant>
        <vt:i4>455</vt:i4>
      </vt:variant>
      <vt:variant>
        <vt:i4>0</vt:i4>
      </vt:variant>
      <vt:variant>
        <vt:i4>5</vt:i4>
      </vt:variant>
      <vt:variant>
        <vt:lpwstr/>
      </vt:variant>
      <vt:variant>
        <vt:lpwstr>_Toc62128365</vt:lpwstr>
      </vt:variant>
      <vt:variant>
        <vt:i4>1048633</vt:i4>
      </vt:variant>
      <vt:variant>
        <vt:i4>449</vt:i4>
      </vt:variant>
      <vt:variant>
        <vt:i4>0</vt:i4>
      </vt:variant>
      <vt:variant>
        <vt:i4>5</vt:i4>
      </vt:variant>
      <vt:variant>
        <vt:lpwstr/>
      </vt:variant>
      <vt:variant>
        <vt:lpwstr>_Toc62128364</vt:lpwstr>
      </vt:variant>
      <vt:variant>
        <vt:i4>1507385</vt:i4>
      </vt:variant>
      <vt:variant>
        <vt:i4>443</vt:i4>
      </vt:variant>
      <vt:variant>
        <vt:i4>0</vt:i4>
      </vt:variant>
      <vt:variant>
        <vt:i4>5</vt:i4>
      </vt:variant>
      <vt:variant>
        <vt:lpwstr/>
      </vt:variant>
      <vt:variant>
        <vt:lpwstr>_Toc62128363</vt:lpwstr>
      </vt:variant>
      <vt:variant>
        <vt:i4>1441849</vt:i4>
      </vt:variant>
      <vt:variant>
        <vt:i4>437</vt:i4>
      </vt:variant>
      <vt:variant>
        <vt:i4>0</vt:i4>
      </vt:variant>
      <vt:variant>
        <vt:i4>5</vt:i4>
      </vt:variant>
      <vt:variant>
        <vt:lpwstr/>
      </vt:variant>
      <vt:variant>
        <vt:lpwstr>_Toc62128362</vt:lpwstr>
      </vt:variant>
      <vt:variant>
        <vt:i4>1376313</vt:i4>
      </vt:variant>
      <vt:variant>
        <vt:i4>431</vt:i4>
      </vt:variant>
      <vt:variant>
        <vt:i4>0</vt:i4>
      </vt:variant>
      <vt:variant>
        <vt:i4>5</vt:i4>
      </vt:variant>
      <vt:variant>
        <vt:lpwstr/>
      </vt:variant>
      <vt:variant>
        <vt:lpwstr>_Toc62128361</vt:lpwstr>
      </vt:variant>
      <vt:variant>
        <vt:i4>1310777</vt:i4>
      </vt:variant>
      <vt:variant>
        <vt:i4>425</vt:i4>
      </vt:variant>
      <vt:variant>
        <vt:i4>0</vt:i4>
      </vt:variant>
      <vt:variant>
        <vt:i4>5</vt:i4>
      </vt:variant>
      <vt:variant>
        <vt:lpwstr/>
      </vt:variant>
      <vt:variant>
        <vt:lpwstr>_Toc62128360</vt:lpwstr>
      </vt:variant>
      <vt:variant>
        <vt:i4>1900602</vt:i4>
      </vt:variant>
      <vt:variant>
        <vt:i4>419</vt:i4>
      </vt:variant>
      <vt:variant>
        <vt:i4>0</vt:i4>
      </vt:variant>
      <vt:variant>
        <vt:i4>5</vt:i4>
      </vt:variant>
      <vt:variant>
        <vt:lpwstr/>
      </vt:variant>
      <vt:variant>
        <vt:lpwstr>_Toc62128359</vt:lpwstr>
      </vt:variant>
      <vt:variant>
        <vt:i4>1835066</vt:i4>
      </vt:variant>
      <vt:variant>
        <vt:i4>413</vt:i4>
      </vt:variant>
      <vt:variant>
        <vt:i4>0</vt:i4>
      </vt:variant>
      <vt:variant>
        <vt:i4>5</vt:i4>
      </vt:variant>
      <vt:variant>
        <vt:lpwstr/>
      </vt:variant>
      <vt:variant>
        <vt:lpwstr>_Toc62128358</vt:lpwstr>
      </vt:variant>
      <vt:variant>
        <vt:i4>1245242</vt:i4>
      </vt:variant>
      <vt:variant>
        <vt:i4>407</vt:i4>
      </vt:variant>
      <vt:variant>
        <vt:i4>0</vt:i4>
      </vt:variant>
      <vt:variant>
        <vt:i4>5</vt:i4>
      </vt:variant>
      <vt:variant>
        <vt:lpwstr/>
      </vt:variant>
      <vt:variant>
        <vt:lpwstr>_Toc62128357</vt:lpwstr>
      </vt:variant>
      <vt:variant>
        <vt:i4>1179706</vt:i4>
      </vt:variant>
      <vt:variant>
        <vt:i4>401</vt:i4>
      </vt:variant>
      <vt:variant>
        <vt:i4>0</vt:i4>
      </vt:variant>
      <vt:variant>
        <vt:i4>5</vt:i4>
      </vt:variant>
      <vt:variant>
        <vt:lpwstr/>
      </vt:variant>
      <vt:variant>
        <vt:lpwstr>_Toc62128356</vt:lpwstr>
      </vt:variant>
      <vt:variant>
        <vt:i4>1114170</vt:i4>
      </vt:variant>
      <vt:variant>
        <vt:i4>395</vt:i4>
      </vt:variant>
      <vt:variant>
        <vt:i4>0</vt:i4>
      </vt:variant>
      <vt:variant>
        <vt:i4>5</vt:i4>
      </vt:variant>
      <vt:variant>
        <vt:lpwstr/>
      </vt:variant>
      <vt:variant>
        <vt:lpwstr>_Toc62128355</vt:lpwstr>
      </vt:variant>
      <vt:variant>
        <vt:i4>1310774</vt:i4>
      </vt:variant>
      <vt:variant>
        <vt:i4>386</vt:i4>
      </vt:variant>
      <vt:variant>
        <vt:i4>0</vt:i4>
      </vt:variant>
      <vt:variant>
        <vt:i4>5</vt:i4>
      </vt:variant>
      <vt:variant>
        <vt:lpwstr/>
      </vt:variant>
      <vt:variant>
        <vt:lpwstr>_Toc62128497</vt:lpwstr>
      </vt:variant>
      <vt:variant>
        <vt:i4>1376310</vt:i4>
      </vt:variant>
      <vt:variant>
        <vt:i4>380</vt:i4>
      </vt:variant>
      <vt:variant>
        <vt:i4>0</vt:i4>
      </vt:variant>
      <vt:variant>
        <vt:i4>5</vt:i4>
      </vt:variant>
      <vt:variant>
        <vt:lpwstr/>
      </vt:variant>
      <vt:variant>
        <vt:lpwstr>_Toc62128496</vt:lpwstr>
      </vt:variant>
      <vt:variant>
        <vt:i4>1441846</vt:i4>
      </vt:variant>
      <vt:variant>
        <vt:i4>374</vt:i4>
      </vt:variant>
      <vt:variant>
        <vt:i4>0</vt:i4>
      </vt:variant>
      <vt:variant>
        <vt:i4>5</vt:i4>
      </vt:variant>
      <vt:variant>
        <vt:lpwstr/>
      </vt:variant>
      <vt:variant>
        <vt:lpwstr>_Toc62128495</vt:lpwstr>
      </vt:variant>
      <vt:variant>
        <vt:i4>1507382</vt:i4>
      </vt:variant>
      <vt:variant>
        <vt:i4>368</vt:i4>
      </vt:variant>
      <vt:variant>
        <vt:i4>0</vt:i4>
      </vt:variant>
      <vt:variant>
        <vt:i4>5</vt:i4>
      </vt:variant>
      <vt:variant>
        <vt:lpwstr/>
      </vt:variant>
      <vt:variant>
        <vt:lpwstr>_Toc62128494</vt:lpwstr>
      </vt:variant>
      <vt:variant>
        <vt:i4>1048630</vt:i4>
      </vt:variant>
      <vt:variant>
        <vt:i4>362</vt:i4>
      </vt:variant>
      <vt:variant>
        <vt:i4>0</vt:i4>
      </vt:variant>
      <vt:variant>
        <vt:i4>5</vt:i4>
      </vt:variant>
      <vt:variant>
        <vt:lpwstr/>
      </vt:variant>
      <vt:variant>
        <vt:lpwstr>_Toc62128493</vt:lpwstr>
      </vt:variant>
      <vt:variant>
        <vt:i4>1114166</vt:i4>
      </vt:variant>
      <vt:variant>
        <vt:i4>356</vt:i4>
      </vt:variant>
      <vt:variant>
        <vt:i4>0</vt:i4>
      </vt:variant>
      <vt:variant>
        <vt:i4>5</vt:i4>
      </vt:variant>
      <vt:variant>
        <vt:lpwstr/>
      </vt:variant>
      <vt:variant>
        <vt:lpwstr>_Toc62128492</vt:lpwstr>
      </vt:variant>
      <vt:variant>
        <vt:i4>1179702</vt:i4>
      </vt:variant>
      <vt:variant>
        <vt:i4>350</vt:i4>
      </vt:variant>
      <vt:variant>
        <vt:i4>0</vt:i4>
      </vt:variant>
      <vt:variant>
        <vt:i4>5</vt:i4>
      </vt:variant>
      <vt:variant>
        <vt:lpwstr/>
      </vt:variant>
      <vt:variant>
        <vt:lpwstr>_Toc62128491</vt:lpwstr>
      </vt:variant>
      <vt:variant>
        <vt:i4>1245238</vt:i4>
      </vt:variant>
      <vt:variant>
        <vt:i4>344</vt:i4>
      </vt:variant>
      <vt:variant>
        <vt:i4>0</vt:i4>
      </vt:variant>
      <vt:variant>
        <vt:i4>5</vt:i4>
      </vt:variant>
      <vt:variant>
        <vt:lpwstr/>
      </vt:variant>
      <vt:variant>
        <vt:lpwstr>_Toc62128490</vt:lpwstr>
      </vt:variant>
      <vt:variant>
        <vt:i4>1703991</vt:i4>
      </vt:variant>
      <vt:variant>
        <vt:i4>338</vt:i4>
      </vt:variant>
      <vt:variant>
        <vt:i4>0</vt:i4>
      </vt:variant>
      <vt:variant>
        <vt:i4>5</vt:i4>
      </vt:variant>
      <vt:variant>
        <vt:lpwstr/>
      </vt:variant>
      <vt:variant>
        <vt:lpwstr>_Toc62128489</vt:lpwstr>
      </vt:variant>
      <vt:variant>
        <vt:i4>1769527</vt:i4>
      </vt:variant>
      <vt:variant>
        <vt:i4>332</vt:i4>
      </vt:variant>
      <vt:variant>
        <vt:i4>0</vt:i4>
      </vt:variant>
      <vt:variant>
        <vt:i4>5</vt:i4>
      </vt:variant>
      <vt:variant>
        <vt:lpwstr/>
      </vt:variant>
      <vt:variant>
        <vt:lpwstr>_Toc62128488</vt:lpwstr>
      </vt:variant>
      <vt:variant>
        <vt:i4>1310775</vt:i4>
      </vt:variant>
      <vt:variant>
        <vt:i4>326</vt:i4>
      </vt:variant>
      <vt:variant>
        <vt:i4>0</vt:i4>
      </vt:variant>
      <vt:variant>
        <vt:i4>5</vt:i4>
      </vt:variant>
      <vt:variant>
        <vt:lpwstr/>
      </vt:variant>
      <vt:variant>
        <vt:lpwstr>_Toc62128487</vt:lpwstr>
      </vt:variant>
      <vt:variant>
        <vt:i4>1376311</vt:i4>
      </vt:variant>
      <vt:variant>
        <vt:i4>320</vt:i4>
      </vt:variant>
      <vt:variant>
        <vt:i4>0</vt:i4>
      </vt:variant>
      <vt:variant>
        <vt:i4>5</vt:i4>
      </vt:variant>
      <vt:variant>
        <vt:lpwstr/>
      </vt:variant>
      <vt:variant>
        <vt:lpwstr>_Toc62128486</vt:lpwstr>
      </vt:variant>
      <vt:variant>
        <vt:i4>1441847</vt:i4>
      </vt:variant>
      <vt:variant>
        <vt:i4>314</vt:i4>
      </vt:variant>
      <vt:variant>
        <vt:i4>0</vt:i4>
      </vt:variant>
      <vt:variant>
        <vt:i4>5</vt:i4>
      </vt:variant>
      <vt:variant>
        <vt:lpwstr/>
      </vt:variant>
      <vt:variant>
        <vt:lpwstr>_Toc62128485</vt:lpwstr>
      </vt:variant>
      <vt:variant>
        <vt:i4>1507383</vt:i4>
      </vt:variant>
      <vt:variant>
        <vt:i4>308</vt:i4>
      </vt:variant>
      <vt:variant>
        <vt:i4>0</vt:i4>
      </vt:variant>
      <vt:variant>
        <vt:i4>5</vt:i4>
      </vt:variant>
      <vt:variant>
        <vt:lpwstr/>
      </vt:variant>
      <vt:variant>
        <vt:lpwstr>_Toc62128484</vt:lpwstr>
      </vt:variant>
      <vt:variant>
        <vt:i4>1048631</vt:i4>
      </vt:variant>
      <vt:variant>
        <vt:i4>302</vt:i4>
      </vt:variant>
      <vt:variant>
        <vt:i4>0</vt:i4>
      </vt:variant>
      <vt:variant>
        <vt:i4>5</vt:i4>
      </vt:variant>
      <vt:variant>
        <vt:lpwstr/>
      </vt:variant>
      <vt:variant>
        <vt:lpwstr>_Toc62128483</vt:lpwstr>
      </vt:variant>
      <vt:variant>
        <vt:i4>1114167</vt:i4>
      </vt:variant>
      <vt:variant>
        <vt:i4>296</vt:i4>
      </vt:variant>
      <vt:variant>
        <vt:i4>0</vt:i4>
      </vt:variant>
      <vt:variant>
        <vt:i4>5</vt:i4>
      </vt:variant>
      <vt:variant>
        <vt:lpwstr/>
      </vt:variant>
      <vt:variant>
        <vt:lpwstr>_Toc62128482</vt:lpwstr>
      </vt:variant>
      <vt:variant>
        <vt:i4>1179703</vt:i4>
      </vt:variant>
      <vt:variant>
        <vt:i4>290</vt:i4>
      </vt:variant>
      <vt:variant>
        <vt:i4>0</vt:i4>
      </vt:variant>
      <vt:variant>
        <vt:i4>5</vt:i4>
      </vt:variant>
      <vt:variant>
        <vt:lpwstr/>
      </vt:variant>
      <vt:variant>
        <vt:lpwstr>_Toc62128481</vt:lpwstr>
      </vt:variant>
      <vt:variant>
        <vt:i4>1245239</vt:i4>
      </vt:variant>
      <vt:variant>
        <vt:i4>284</vt:i4>
      </vt:variant>
      <vt:variant>
        <vt:i4>0</vt:i4>
      </vt:variant>
      <vt:variant>
        <vt:i4>5</vt:i4>
      </vt:variant>
      <vt:variant>
        <vt:lpwstr/>
      </vt:variant>
      <vt:variant>
        <vt:lpwstr>_Toc62128480</vt:lpwstr>
      </vt:variant>
      <vt:variant>
        <vt:i4>1703992</vt:i4>
      </vt:variant>
      <vt:variant>
        <vt:i4>278</vt:i4>
      </vt:variant>
      <vt:variant>
        <vt:i4>0</vt:i4>
      </vt:variant>
      <vt:variant>
        <vt:i4>5</vt:i4>
      </vt:variant>
      <vt:variant>
        <vt:lpwstr/>
      </vt:variant>
      <vt:variant>
        <vt:lpwstr>_Toc62128479</vt:lpwstr>
      </vt:variant>
      <vt:variant>
        <vt:i4>1769528</vt:i4>
      </vt:variant>
      <vt:variant>
        <vt:i4>272</vt:i4>
      </vt:variant>
      <vt:variant>
        <vt:i4>0</vt:i4>
      </vt:variant>
      <vt:variant>
        <vt:i4>5</vt:i4>
      </vt:variant>
      <vt:variant>
        <vt:lpwstr/>
      </vt:variant>
      <vt:variant>
        <vt:lpwstr>_Toc62128478</vt:lpwstr>
      </vt:variant>
      <vt:variant>
        <vt:i4>1310776</vt:i4>
      </vt:variant>
      <vt:variant>
        <vt:i4>266</vt:i4>
      </vt:variant>
      <vt:variant>
        <vt:i4>0</vt:i4>
      </vt:variant>
      <vt:variant>
        <vt:i4>5</vt:i4>
      </vt:variant>
      <vt:variant>
        <vt:lpwstr/>
      </vt:variant>
      <vt:variant>
        <vt:lpwstr>_Toc62128477</vt:lpwstr>
      </vt:variant>
      <vt:variant>
        <vt:i4>1376312</vt:i4>
      </vt:variant>
      <vt:variant>
        <vt:i4>260</vt:i4>
      </vt:variant>
      <vt:variant>
        <vt:i4>0</vt:i4>
      </vt:variant>
      <vt:variant>
        <vt:i4>5</vt:i4>
      </vt:variant>
      <vt:variant>
        <vt:lpwstr/>
      </vt:variant>
      <vt:variant>
        <vt:lpwstr>_Toc62128476</vt:lpwstr>
      </vt:variant>
      <vt:variant>
        <vt:i4>1441848</vt:i4>
      </vt:variant>
      <vt:variant>
        <vt:i4>254</vt:i4>
      </vt:variant>
      <vt:variant>
        <vt:i4>0</vt:i4>
      </vt:variant>
      <vt:variant>
        <vt:i4>5</vt:i4>
      </vt:variant>
      <vt:variant>
        <vt:lpwstr/>
      </vt:variant>
      <vt:variant>
        <vt:lpwstr>_Toc62128475</vt:lpwstr>
      </vt:variant>
      <vt:variant>
        <vt:i4>1507384</vt:i4>
      </vt:variant>
      <vt:variant>
        <vt:i4>248</vt:i4>
      </vt:variant>
      <vt:variant>
        <vt:i4>0</vt:i4>
      </vt:variant>
      <vt:variant>
        <vt:i4>5</vt:i4>
      </vt:variant>
      <vt:variant>
        <vt:lpwstr/>
      </vt:variant>
      <vt:variant>
        <vt:lpwstr>_Toc62128474</vt:lpwstr>
      </vt:variant>
      <vt:variant>
        <vt:i4>1048632</vt:i4>
      </vt:variant>
      <vt:variant>
        <vt:i4>242</vt:i4>
      </vt:variant>
      <vt:variant>
        <vt:i4>0</vt:i4>
      </vt:variant>
      <vt:variant>
        <vt:i4>5</vt:i4>
      </vt:variant>
      <vt:variant>
        <vt:lpwstr/>
      </vt:variant>
      <vt:variant>
        <vt:lpwstr>_Toc62128473</vt:lpwstr>
      </vt:variant>
      <vt:variant>
        <vt:i4>1114168</vt:i4>
      </vt:variant>
      <vt:variant>
        <vt:i4>236</vt:i4>
      </vt:variant>
      <vt:variant>
        <vt:i4>0</vt:i4>
      </vt:variant>
      <vt:variant>
        <vt:i4>5</vt:i4>
      </vt:variant>
      <vt:variant>
        <vt:lpwstr/>
      </vt:variant>
      <vt:variant>
        <vt:lpwstr>_Toc62128472</vt:lpwstr>
      </vt:variant>
      <vt:variant>
        <vt:i4>1179704</vt:i4>
      </vt:variant>
      <vt:variant>
        <vt:i4>230</vt:i4>
      </vt:variant>
      <vt:variant>
        <vt:i4>0</vt:i4>
      </vt:variant>
      <vt:variant>
        <vt:i4>5</vt:i4>
      </vt:variant>
      <vt:variant>
        <vt:lpwstr/>
      </vt:variant>
      <vt:variant>
        <vt:lpwstr>_Toc62128471</vt:lpwstr>
      </vt:variant>
      <vt:variant>
        <vt:i4>1245240</vt:i4>
      </vt:variant>
      <vt:variant>
        <vt:i4>224</vt:i4>
      </vt:variant>
      <vt:variant>
        <vt:i4>0</vt:i4>
      </vt:variant>
      <vt:variant>
        <vt:i4>5</vt:i4>
      </vt:variant>
      <vt:variant>
        <vt:lpwstr/>
      </vt:variant>
      <vt:variant>
        <vt:lpwstr>_Toc62128470</vt:lpwstr>
      </vt:variant>
      <vt:variant>
        <vt:i4>1703993</vt:i4>
      </vt:variant>
      <vt:variant>
        <vt:i4>218</vt:i4>
      </vt:variant>
      <vt:variant>
        <vt:i4>0</vt:i4>
      </vt:variant>
      <vt:variant>
        <vt:i4>5</vt:i4>
      </vt:variant>
      <vt:variant>
        <vt:lpwstr/>
      </vt:variant>
      <vt:variant>
        <vt:lpwstr>_Toc62128469</vt:lpwstr>
      </vt:variant>
      <vt:variant>
        <vt:i4>1769529</vt:i4>
      </vt:variant>
      <vt:variant>
        <vt:i4>212</vt:i4>
      </vt:variant>
      <vt:variant>
        <vt:i4>0</vt:i4>
      </vt:variant>
      <vt:variant>
        <vt:i4>5</vt:i4>
      </vt:variant>
      <vt:variant>
        <vt:lpwstr/>
      </vt:variant>
      <vt:variant>
        <vt:lpwstr>_Toc62128468</vt:lpwstr>
      </vt:variant>
      <vt:variant>
        <vt:i4>1310777</vt:i4>
      </vt:variant>
      <vt:variant>
        <vt:i4>206</vt:i4>
      </vt:variant>
      <vt:variant>
        <vt:i4>0</vt:i4>
      </vt:variant>
      <vt:variant>
        <vt:i4>5</vt:i4>
      </vt:variant>
      <vt:variant>
        <vt:lpwstr/>
      </vt:variant>
      <vt:variant>
        <vt:lpwstr>_Toc62128467</vt:lpwstr>
      </vt:variant>
      <vt:variant>
        <vt:i4>1376313</vt:i4>
      </vt:variant>
      <vt:variant>
        <vt:i4>200</vt:i4>
      </vt:variant>
      <vt:variant>
        <vt:i4>0</vt:i4>
      </vt:variant>
      <vt:variant>
        <vt:i4>5</vt:i4>
      </vt:variant>
      <vt:variant>
        <vt:lpwstr/>
      </vt:variant>
      <vt:variant>
        <vt:lpwstr>_Toc62128466</vt:lpwstr>
      </vt:variant>
      <vt:variant>
        <vt:i4>1441849</vt:i4>
      </vt:variant>
      <vt:variant>
        <vt:i4>194</vt:i4>
      </vt:variant>
      <vt:variant>
        <vt:i4>0</vt:i4>
      </vt:variant>
      <vt:variant>
        <vt:i4>5</vt:i4>
      </vt:variant>
      <vt:variant>
        <vt:lpwstr/>
      </vt:variant>
      <vt:variant>
        <vt:lpwstr>_Toc62128465</vt:lpwstr>
      </vt:variant>
      <vt:variant>
        <vt:i4>1507385</vt:i4>
      </vt:variant>
      <vt:variant>
        <vt:i4>188</vt:i4>
      </vt:variant>
      <vt:variant>
        <vt:i4>0</vt:i4>
      </vt:variant>
      <vt:variant>
        <vt:i4>5</vt:i4>
      </vt:variant>
      <vt:variant>
        <vt:lpwstr/>
      </vt:variant>
      <vt:variant>
        <vt:lpwstr>_Toc62128464</vt:lpwstr>
      </vt:variant>
      <vt:variant>
        <vt:i4>1048633</vt:i4>
      </vt:variant>
      <vt:variant>
        <vt:i4>182</vt:i4>
      </vt:variant>
      <vt:variant>
        <vt:i4>0</vt:i4>
      </vt:variant>
      <vt:variant>
        <vt:i4>5</vt:i4>
      </vt:variant>
      <vt:variant>
        <vt:lpwstr/>
      </vt:variant>
      <vt:variant>
        <vt:lpwstr>_Toc62128463</vt:lpwstr>
      </vt:variant>
      <vt:variant>
        <vt:i4>1114169</vt:i4>
      </vt:variant>
      <vt:variant>
        <vt:i4>176</vt:i4>
      </vt:variant>
      <vt:variant>
        <vt:i4>0</vt:i4>
      </vt:variant>
      <vt:variant>
        <vt:i4>5</vt:i4>
      </vt:variant>
      <vt:variant>
        <vt:lpwstr/>
      </vt:variant>
      <vt:variant>
        <vt:lpwstr>_Toc62128462</vt:lpwstr>
      </vt:variant>
      <vt:variant>
        <vt:i4>1179705</vt:i4>
      </vt:variant>
      <vt:variant>
        <vt:i4>170</vt:i4>
      </vt:variant>
      <vt:variant>
        <vt:i4>0</vt:i4>
      </vt:variant>
      <vt:variant>
        <vt:i4>5</vt:i4>
      </vt:variant>
      <vt:variant>
        <vt:lpwstr/>
      </vt:variant>
      <vt:variant>
        <vt:lpwstr>_Toc62128461</vt:lpwstr>
      </vt:variant>
      <vt:variant>
        <vt:i4>1245241</vt:i4>
      </vt:variant>
      <vt:variant>
        <vt:i4>164</vt:i4>
      </vt:variant>
      <vt:variant>
        <vt:i4>0</vt:i4>
      </vt:variant>
      <vt:variant>
        <vt:i4>5</vt:i4>
      </vt:variant>
      <vt:variant>
        <vt:lpwstr/>
      </vt:variant>
      <vt:variant>
        <vt:lpwstr>_Toc62128460</vt:lpwstr>
      </vt:variant>
      <vt:variant>
        <vt:i4>1703994</vt:i4>
      </vt:variant>
      <vt:variant>
        <vt:i4>158</vt:i4>
      </vt:variant>
      <vt:variant>
        <vt:i4>0</vt:i4>
      </vt:variant>
      <vt:variant>
        <vt:i4>5</vt:i4>
      </vt:variant>
      <vt:variant>
        <vt:lpwstr/>
      </vt:variant>
      <vt:variant>
        <vt:lpwstr>_Toc62128459</vt:lpwstr>
      </vt:variant>
      <vt:variant>
        <vt:i4>1769530</vt:i4>
      </vt:variant>
      <vt:variant>
        <vt:i4>152</vt:i4>
      </vt:variant>
      <vt:variant>
        <vt:i4>0</vt:i4>
      </vt:variant>
      <vt:variant>
        <vt:i4>5</vt:i4>
      </vt:variant>
      <vt:variant>
        <vt:lpwstr/>
      </vt:variant>
      <vt:variant>
        <vt:lpwstr>_Toc62128458</vt:lpwstr>
      </vt:variant>
      <vt:variant>
        <vt:i4>1310778</vt:i4>
      </vt:variant>
      <vt:variant>
        <vt:i4>146</vt:i4>
      </vt:variant>
      <vt:variant>
        <vt:i4>0</vt:i4>
      </vt:variant>
      <vt:variant>
        <vt:i4>5</vt:i4>
      </vt:variant>
      <vt:variant>
        <vt:lpwstr/>
      </vt:variant>
      <vt:variant>
        <vt:lpwstr>_Toc62128457</vt:lpwstr>
      </vt:variant>
      <vt:variant>
        <vt:i4>1376314</vt:i4>
      </vt:variant>
      <vt:variant>
        <vt:i4>140</vt:i4>
      </vt:variant>
      <vt:variant>
        <vt:i4>0</vt:i4>
      </vt:variant>
      <vt:variant>
        <vt:i4>5</vt:i4>
      </vt:variant>
      <vt:variant>
        <vt:lpwstr/>
      </vt:variant>
      <vt:variant>
        <vt:lpwstr>_Toc62128456</vt:lpwstr>
      </vt:variant>
      <vt:variant>
        <vt:i4>1441850</vt:i4>
      </vt:variant>
      <vt:variant>
        <vt:i4>134</vt:i4>
      </vt:variant>
      <vt:variant>
        <vt:i4>0</vt:i4>
      </vt:variant>
      <vt:variant>
        <vt:i4>5</vt:i4>
      </vt:variant>
      <vt:variant>
        <vt:lpwstr/>
      </vt:variant>
      <vt:variant>
        <vt:lpwstr>_Toc62128455</vt:lpwstr>
      </vt:variant>
      <vt:variant>
        <vt:i4>1507386</vt:i4>
      </vt:variant>
      <vt:variant>
        <vt:i4>128</vt:i4>
      </vt:variant>
      <vt:variant>
        <vt:i4>0</vt:i4>
      </vt:variant>
      <vt:variant>
        <vt:i4>5</vt:i4>
      </vt:variant>
      <vt:variant>
        <vt:lpwstr/>
      </vt:variant>
      <vt:variant>
        <vt:lpwstr>_Toc62128454</vt:lpwstr>
      </vt:variant>
      <vt:variant>
        <vt:i4>1048634</vt:i4>
      </vt:variant>
      <vt:variant>
        <vt:i4>122</vt:i4>
      </vt:variant>
      <vt:variant>
        <vt:i4>0</vt:i4>
      </vt:variant>
      <vt:variant>
        <vt:i4>5</vt:i4>
      </vt:variant>
      <vt:variant>
        <vt:lpwstr/>
      </vt:variant>
      <vt:variant>
        <vt:lpwstr>_Toc62128453</vt:lpwstr>
      </vt:variant>
      <vt:variant>
        <vt:i4>1114170</vt:i4>
      </vt:variant>
      <vt:variant>
        <vt:i4>116</vt:i4>
      </vt:variant>
      <vt:variant>
        <vt:i4>0</vt:i4>
      </vt:variant>
      <vt:variant>
        <vt:i4>5</vt:i4>
      </vt:variant>
      <vt:variant>
        <vt:lpwstr/>
      </vt:variant>
      <vt:variant>
        <vt:lpwstr>_Toc62128452</vt:lpwstr>
      </vt:variant>
      <vt:variant>
        <vt:i4>1179706</vt:i4>
      </vt:variant>
      <vt:variant>
        <vt:i4>110</vt:i4>
      </vt:variant>
      <vt:variant>
        <vt:i4>0</vt:i4>
      </vt:variant>
      <vt:variant>
        <vt:i4>5</vt:i4>
      </vt:variant>
      <vt:variant>
        <vt:lpwstr/>
      </vt:variant>
      <vt:variant>
        <vt:lpwstr>_Toc62128451</vt:lpwstr>
      </vt:variant>
      <vt:variant>
        <vt:i4>1245242</vt:i4>
      </vt:variant>
      <vt:variant>
        <vt:i4>104</vt:i4>
      </vt:variant>
      <vt:variant>
        <vt:i4>0</vt:i4>
      </vt:variant>
      <vt:variant>
        <vt:i4>5</vt:i4>
      </vt:variant>
      <vt:variant>
        <vt:lpwstr/>
      </vt:variant>
      <vt:variant>
        <vt:lpwstr>_Toc62128450</vt:lpwstr>
      </vt:variant>
      <vt:variant>
        <vt:i4>1703995</vt:i4>
      </vt:variant>
      <vt:variant>
        <vt:i4>98</vt:i4>
      </vt:variant>
      <vt:variant>
        <vt:i4>0</vt:i4>
      </vt:variant>
      <vt:variant>
        <vt:i4>5</vt:i4>
      </vt:variant>
      <vt:variant>
        <vt:lpwstr/>
      </vt:variant>
      <vt:variant>
        <vt:lpwstr>_Toc62128449</vt:lpwstr>
      </vt:variant>
      <vt:variant>
        <vt:i4>1769531</vt:i4>
      </vt:variant>
      <vt:variant>
        <vt:i4>92</vt:i4>
      </vt:variant>
      <vt:variant>
        <vt:i4>0</vt:i4>
      </vt:variant>
      <vt:variant>
        <vt:i4>5</vt:i4>
      </vt:variant>
      <vt:variant>
        <vt:lpwstr/>
      </vt:variant>
      <vt:variant>
        <vt:lpwstr>_Toc62128448</vt:lpwstr>
      </vt:variant>
      <vt:variant>
        <vt:i4>1310779</vt:i4>
      </vt:variant>
      <vt:variant>
        <vt:i4>86</vt:i4>
      </vt:variant>
      <vt:variant>
        <vt:i4>0</vt:i4>
      </vt:variant>
      <vt:variant>
        <vt:i4>5</vt:i4>
      </vt:variant>
      <vt:variant>
        <vt:lpwstr/>
      </vt:variant>
      <vt:variant>
        <vt:lpwstr>_Toc62128447</vt:lpwstr>
      </vt:variant>
      <vt:variant>
        <vt:i4>1376315</vt:i4>
      </vt:variant>
      <vt:variant>
        <vt:i4>80</vt:i4>
      </vt:variant>
      <vt:variant>
        <vt:i4>0</vt:i4>
      </vt:variant>
      <vt:variant>
        <vt:i4>5</vt:i4>
      </vt:variant>
      <vt:variant>
        <vt:lpwstr/>
      </vt:variant>
      <vt:variant>
        <vt:lpwstr>_Toc62128446</vt:lpwstr>
      </vt:variant>
      <vt:variant>
        <vt:i4>1441851</vt:i4>
      </vt:variant>
      <vt:variant>
        <vt:i4>74</vt:i4>
      </vt:variant>
      <vt:variant>
        <vt:i4>0</vt:i4>
      </vt:variant>
      <vt:variant>
        <vt:i4>5</vt:i4>
      </vt:variant>
      <vt:variant>
        <vt:lpwstr/>
      </vt:variant>
      <vt:variant>
        <vt:lpwstr>_Toc62128445</vt:lpwstr>
      </vt:variant>
      <vt:variant>
        <vt:i4>1507387</vt:i4>
      </vt:variant>
      <vt:variant>
        <vt:i4>68</vt:i4>
      </vt:variant>
      <vt:variant>
        <vt:i4>0</vt:i4>
      </vt:variant>
      <vt:variant>
        <vt:i4>5</vt:i4>
      </vt:variant>
      <vt:variant>
        <vt:lpwstr/>
      </vt:variant>
      <vt:variant>
        <vt:lpwstr>_Toc62128444</vt:lpwstr>
      </vt:variant>
      <vt:variant>
        <vt:i4>1048635</vt:i4>
      </vt:variant>
      <vt:variant>
        <vt:i4>62</vt:i4>
      </vt:variant>
      <vt:variant>
        <vt:i4>0</vt:i4>
      </vt:variant>
      <vt:variant>
        <vt:i4>5</vt:i4>
      </vt:variant>
      <vt:variant>
        <vt:lpwstr/>
      </vt:variant>
      <vt:variant>
        <vt:lpwstr>_Toc62128443</vt:lpwstr>
      </vt:variant>
      <vt:variant>
        <vt:i4>1114171</vt:i4>
      </vt:variant>
      <vt:variant>
        <vt:i4>56</vt:i4>
      </vt:variant>
      <vt:variant>
        <vt:i4>0</vt:i4>
      </vt:variant>
      <vt:variant>
        <vt:i4>5</vt:i4>
      </vt:variant>
      <vt:variant>
        <vt:lpwstr/>
      </vt:variant>
      <vt:variant>
        <vt:lpwstr>_Toc62128442</vt:lpwstr>
      </vt:variant>
      <vt:variant>
        <vt:i4>1179707</vt:i4>
      </vt:variant>
      <vt:variant>
        <vt:i4>50</vt:i4>
      </vt:variant>
      <vt:variant>
        <vt:i4>0</vt:i4>
      </vt:variant>
      <vt:variant>
        <vt:i4>5</vt:i4>
      </vt:variant>
      <vt:variant>
        <vt:lpwstr/>
      </vt:variant>
      <vt:variant>
        <vt:lpwstr>_Toc62128441</vt:lpwstr>
      </vt:variant>
      <vt:variant>
        <vt:i4>1245243</vt:i4>
      </vt:variant>
      <vt:variant>
        <vt:i4>44</vt:i4>
      </vt:variant>
      <vt:variant>
        <vt:i4>0</vt:i4>
      </vt:variant>
      <vt:variant>
        <vt:i4>5</vt:i4>
      </vt:variant>
      <vt:variant>
        <vt:lpwstr/>
      </vt:variant>
      <vt:variant>
        <vt:lpwstr>_Toc62128440</vt:lpwstr>
      </vt:variant>
      <vt:variant>
        <vt:i4>1703996</vt:i4>
      </vt:variant>
      <vt:variant>
        <vt:i4>38</vt:i4>
      </vt:variant>
      <vt:variant>
        <vt:i4>0</vt:i4>
      </vt:variant>
      <vt:variant>
        <vt:i4>5</vt:i4>
      </vt:variant>
      <vt:variant>
        <vt:lpwstr/>
      </vt:variant>
      <vt:variant>
        <vt:lpwstr>_Toc62128439</vt:lpwstr>
      </vt:variant>
      <vt:variant>
        <vt:i4>1769532</vt:i4>
      </vt:variant>
      <vt:variant>
        <vt:i4>32</vt:i4>
      </vt:variant>
      <vt:variant>
        <vt:i4>0</vt:i4>
      </vt:variant>
      <vt:variant>
        <vt:i4>5</vt:i4>
      </vt:variant>
      <vt:variant>
        <vt:lpwstr/>
      </vt:variant>
      <vt:variant>
        <vt:lpwstr>_Toc62128438</vt:lpwstr>
      </vt:variant>
      <vt:variant>
        <vt:i4>1310780</vt:i4>
      </vt:variant>
      <vt:variant>
        <vt:i4>26</vt:i4>
      </vt:variant>
      <vt:variant>
        <vt:i4>0</vt:i4>
      </vt:variant>
      <vt:variant>
        <vt:i4>5</vt:i4>
      </vt:variant>
      <vt:variant>
        <vt:lpwstr/>
      </vt:variant>
      <vt:variant>
        <vt:lpwstr>_Toc62128437</vt:lpwstr>
      </vt:variant>
      <vt:variant>
        <vt:i4>1376316</vt:i4>
      </vt:variant>
      <vt:variant>
        <vt:i4>20</vt:i4>
      </vt:variant>
      <vt:variant>
        <vt:i4>0</vt:i4>
      </vt:variant>
      <vt:variant>
        <vt:i4>5</vt:i4>
      </vt:variant>
      <vt:variant>
        <vt:lpwstr/>
      </vt:variant>
      <vt:variant>
        <vt:lpwstr>_Toc62128436</vt:lpwstr>
      </vt:variant>
      <vt:variant>
        <vt:i4>1441852</vt:i4>
      </vt:variant>
      <vt:variant>
        <vt:i4>14</vt:i4>
      </vt:variant>
      <vt:variant>
        <vt:i4>0</vt:i4>
      </vt:variant>
      <vt:variant>
        <vt:i4>5</vt:i4>
      </vt:variant>
      <vt:variant>
        <vt:lpwstr/>
      </vt:variant>
      <vt:variant>
        <vt:lpwstr>_Toc62128435</vt:lpwstr>
      </vt:variant>
      <vt:variant>
        <vt:i4>1507388</vt:i4>
      </vt:variant>
      <vt:variant>
        <vt:i4>8</vt:i4>
      </vt:variant>
      <vt:variant>
        <vt:i4>0</vt:i4>
      </vt:variant>
      <vt:variant>
        <vt:i4>5</vt:i4>
      </vt:variant>
      <vt:variant>
        <vt:lpwstr/>
      </vt:variant>
      <vt:variant>
        <vt:lpwstr>_Toc62128434</vt:lpwstr>
      </vt:variant>
      <vt:variant>
        <vt:i4>1048636</vt:i4>
      </vt:variant>
      <vt:variant>
        <vt:i4>2</vt:i4>
      </vt:variant>
      <vt:variant>
        <vt:i4>0</vt:i4>
      </vt:variant>
      <vt:variant>
        <vt:i4>5</vt:i4>
      </vt:variant>
      <vt:variant>
        <vt:lpwstr/>
      </vt:variant>
      <vt:variant>
        <vt:lpwstr>_Toc62128433</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Groundwater potential mapping_by_Abdii</dc:title>
  <dc:subject/>
  <dc:creator>Abdulgefar_Muhidin</dc:creator>
  <cp:keywords/>
  <dc:description/>
  <cp:lastModifiedBy>hp</cp:lastModifiedBy>
  <cp:revision>104</cp:revision>
  <cp:lastPrinted>2021-04-08T05:12:00Z</cp:lastPrinted>
  <dcterms:created xsi:type="dcterms:W3CDTF">2021-01-22T05:28:00Z</dcterms:created>
  <dcterms:modified xsi:type="dcterms:W3CDTF">2021-04-08T05:18:00Z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e6205111-fa5b-33df-97f0-d481df687db3</vt:lpwstr>
  </property>
  <property fmtid="{D5CDD505-2E9C-101B-9397-08002B2CF9AE}" pid="4" name="Mendeley Citation Style_1">
    <vt:lpwstr>http://www.zotero.org/styles/apa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 11th edition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7th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 6th edition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